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540" w:hanging="519"/>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or</w:t>
      </w:r>
    </w:p>
    <w:p>
      <w:pPr>
        <w:spacing w:after="0" w:line="1"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1" w:lineRule="exact"/>
        <w:rPr>
          <w:sz w:val="24"/>
          <w:szCs w:val="24"/>
          <w:color w:val="auto"/>
        </w:rPr>
      </w:pPr>
    </w:p>
    <w:p>
      <w:pPr>
        <w:ind w:left="3320"/>
        <w:spacing w:after="0"/>
        <w:tabs>
          <w:tab w:leader="none" w:pos="6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-5080</wp:posOffset>
            </wp:positionV>
            <wp:extent cx="628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234315</wp:posOffset>
            </wp:positionV>
            <wp:extent cx="71120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2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CECO ENVIRONMENTAL CORP.</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97" w:lineRule="exact"/>
        <w:rPr>
          <w:sz w:val="24"/>
          <w:szCs w:val="24"/>
          <w:color w:val="auto"/>
        </w:rPr>
      </w:pPr>
    </w:p>
    <w:tbl>
      <w:tblPr>
        <w:tblLayout w:type="fixed"/>
        <w:tblInd w:w="670" w:type="dxa"/>
        <w:tblCellMar>
          <w:top w:w="0" w:type="dxa"/>
          <w:left w:w="0" w:type="dxa"/>
          <w:bottom w:w="0" w:type="dxa"/>
          <w:right w:w="0" w:type="dxa"/>
        </w:tblCellMar>
      </w:tblPr>
      <w:tr>
        <w:trPr>
          <w:trHeight w:val="227"/>
        </w:trPr>
        <w:tc>
          <w:tcPr>
            <w:tcW w:w="3320" w:type="dxa"/>
            <w:vAlign w:val="bottom"/>
          </w:tcPr>
          <w:p>
            <w:pPr>
              <w:jc w:val="center"/>
              <w:ind w:left="79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620" w:type="dxa"/>
            <w:vAlign w:val="bottom"/>
          </w:tcPr>
          <w:p>
            <w:pPr>
              <w:jc w:val="right"/>
              <w:ind w:right="1660"/>
              <w:spacing w:after="0"/>
              <w:rPr>
                <w:sz w:val="20"/>
                <w:szCs w:val="20"/>
                <w:color w:val="auto"/>
              </w:rPr>
            </w:pPr>
            <w:r>
              <w:rPr>
                <w:rFonts w:ascii="Times New Roman" w:cs="Times New Roman" w:eastAsia="Times New Roman" w:hAnsi="Times New Roman"/>
                <w:sz w:val="18"/>
                <w:szCs w:val="18"/>
                <w:b w:val="1"/>
                <w:bCs w:val="1"/>
                <w:color w:val="auto"/>
              </w:rPr>
              <w:t>13-2566064</w:t>
            </w:r>
          </w:p>
        </w:tc>
        <w:tc>
          <w:tcPr>
            <w:tcW w:w="0" w:type="dxa"/>
            <w:vAlign w:val="bottom"/>
          </w:tcPr>
          <w:p>
            <w:pPr>
              <w:spacing w:after="0"/>
              <w:rPr>
                <w:sz w:val="1"/>
                <w:szCs w:val="1"/>
                <w:color w:val="auto"/>
              </w:rPr>
            </w:pPr>
          </w:p>
        </w:tc>
      </w:tr>
      <w:tr>
        <w:trPr>
          <w:trHeight w:val="162"/>
        </w:trPr>
        <w:tc>
          <w:tcPr>
            <w:tcW w:w="3320" w:type="dxa"/>
            <w:vAlign w:val="bottom"/>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6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320" w:type="dxa"/>
            <w:vAlign w:val="bottom"/>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66"/>
        </w:trPr>
        <w:tc>
          <w:tcPr>
            <w:tcW w:w="3320" w:type="dxa"/>
            <w:vAlign w:val="bottom"/>
          </w:tcPr>
          <w:p>
            <w:pPr>
              <w:jc w:val="center"/>
              <w:ind w:left="797"/>
              <w:spacing w:after="0"/>
              <w:rPr>
                <w:sz w:val="20"/>
                <w:szCs w:val="20"/>
                <w:color w:val="auto"/>
              </w:rPr>
            </w:pPr>
            <w:r>
              <w:rPr>
                <w:rFonts w:ascii="Times New Roman" w:cs="Times New Roman" w:eastAsia="Times New Roman" w:hAnsi="Times New Roman"/>
                <w:sz w:val="18"/>
                <w:szCs w:val="18"/>
                <w:b w:val="1"/>
                <w:bCs w:val="1"/>
                <w:color w:val="auto"/>
                <w:w w:val="99"/>
              </w:rPr>
              <w:t>14651 North Dallas Parkway</w:t>
            </w:r>
          </w:p>
        </w:tc>
        <w:tc>
          <w:tcPr>
            <w:tcW w:w="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20" w:type="dxa"/>
            <w:vAlign w:val="bottom"/>
          </w:tcPr>
          <w:p>
            <w:pPr>
              <w:jc w:val="center"/>
              <w:ind w:left="797"/>
              <w:spacing w:after="0" w:line="189" w:lineRule="exact"/>
              <w:rPr>
                <w:sz w:val="20"/>
                <w:szCs w:val="20"/>
                <w:color w:val="auto"/>
              </w:rPr>
            </w:pPr>
            <w:r>
              <w:rPr>
                <w:rFonts w:ascii="Times New Roman" w:cs="Times New Roman" w:eastAsia="Times New Roman" w:hAnsi="Times New Roman"/>
                <w:sz w:val="18"/>
                <w:szCs w:val="18"/>
                <w:b w:val="1"/>
                <w:bCs w:val="1"/>
                <w:color w:val="auto"/>
              </w:rPr>
              <w:t>Suite 500</w:t>
            </w:r>
          </w:p>
        </w:tc>
        <w:tc>
          <w:tcPr>
            <w:tcW w:w="2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20" w:type="dxa"/>
            <w:vAlign w:val="bottom"/>
            <w:vMerge w:val="restart"/>
          </w:tcPr>
          <w:p>
            <w:pPr>
              <w:jc w:val="right"/>
              <w:ind w:right="1860"/>
              <w:spacing w:after="0"/>
              <w:rPr>
                <w:sz w:val="20"/>
                <w:szCs w:val="20"/>
                <w:color w:val="auto"/>
              </w:rPr>
            </w:pPr>
            <w:r>
              <w:rPr>
                <w:rFonts w:ascii="Times New Roman" w:cs="Times New Roman" w:eastAsia="Times New Roman" w:hAnsi="Times New Roman"/>
                <w:sz w:val="18"/>
                <w:szCs w:val="18"/>
                <w:b w:val="1"/>
                <w:bCs w:val="1"/>
                <w:color w:val="auto"/>
              </w:rPr>
              <w:t>75254</w:t>
            </w:r>
          </w:p>
        </w:tc>
        <w:tc>
          <w:tcPr>
            <w:tcW w:w="0" w:type="dxa"/>
            <w:vAlign w:val="bottom"/>
          </w:tcPr>
          <w:p>
            <w:pPr>
              <w:spacing w:after="0"/>
              <w:rPr>
                <w:sz w:val="1"/>
                <w:szCs w:val="1"/>
                <w:color w:val="auto"/>
              </w:rPr>
            </w:pPr>
          </w:p>
        </w:tc>
      </w:tr>
      <w:tr>
        <w:trPr>
          <w:trHeight w:val="227"/>
        </w:trPr>
        <w:tc>
          <w:tcPr>
            <w:tcW w:w="3320" w:type="dxa"/>
            <w:vAlign w:val="bottom"/>
          </w:tcPr>
          <w:p>
            <w:pPr>
              <w:jc w:val="center"/>
              <w:ind w:left="837"/>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320" w:type="dxa"/>
            <w:vAlign w:val="bottom"/>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15"/>
        </w:trPr>
        <w:tc>
          <w:tcPr>
            <w:tcW w:w="10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(214) 357-6181</w:t>
            </w:r>
          </w:p>
        </w:tc>
        <w:tc>
          <w:tcPr>
            <w:tcW w:w="0" w:type="dxa"/>
            <w:vAlign w:val="bottom"/>
          </w:tcPr>
          <w:p>
            <w:pPr>
              <w:spacing w:after="0"/>
              <w:rPr>
                <w:sz w:val="1"/>
                <w:szCs w:val="1"/>
                <w:color w:val="auto"/>
              </w:rPr>
            </w:pPr>
          </w:p>
        </w:tc>
      </w:tr>
      <w:tr>
        <w:trPr>
          <w:trHeight w:val="299"/>
        </w:trPr>
        <w:tc>
          <w:tcPr>
            <w:tcW w:w="33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192"/>
        </w:trPr>
        <w:tc>
          <w:tcPr>
            <w:tcW w:w="3320" w:type="dxa"/>
            <w:vAlign w:val="bottom"/>
            <w:tcBorders>
              <w:left w:val="single" w:sz="8" w:color="auto"/>
            </w:tcBorders>
          </w:tcPr>
          <w:p>
            <w:pPr>
              <w:jc w:val="center"/>
              <w:ind w:left="177"/>
              <w:spacing w:after="0"/>
              <w:rPr>
                <w:sz w:val="20"/>
                <w:szCs w:val="20"/>
                <w:color w:val="auto"/>
              </w:rPr>
            </w:pPr>
            <w:r>
              <w:rPr>
                <w:rFonts w:ascii="Times New Roman" w:cs="Times New Roman" w:eastAsia="Times New Roman" w:hAnsi="Times New Roman"/>
                <w:sz w:val="16"/>
                <w:szCs w:val="16"/>
                <w:color w:val="auto"/>
              </w:rPr>
              <w:t>Title of each class</w:t>
            </w:r>
          </w:p>
        </w:tc>
        <w:tc>
          <w:tcPr>
            <w:tcW w:w="24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46"/>
        </w:trPr>
        <w:tc>
          <w:tcPr>
            <w:tcW w:w="332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320" w:type="dxa"/>
            <w:vAlign w:val="bottom"/>
            <w:tcBorders>
              <w:left w:val="single" w:sz="8" w:color="auto"/>
            </w:tcBorders>
          </w:tcPr>
          <w:p>
            <w:pPr>
              <w:jc w:val="center"/>
              <w:ind w:left="177"/>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4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CECO</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9"/>
        </w:trPr>
        <w:tc>
          <w:tcPr>
            <w:tcW w:w="332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right="60" w:firstLine="26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jc w:val="both"/>
        <w:ind w:right="100" w:firstLine="26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40" w:firstLine="26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26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78" w:lineRule="exact"/>
        <w:rPr>
          <w:sz w:val="24"/>
          <w:szCs w:val="24"/>
          <w:color w:val="auto"/>
        </w:rPr>
      </w:pPr>
    </w:p>
    <w:p>
      <w:pPr>
        <w:ind w:right="240" w:firstLine="269"/>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7" w:lineRule="exact"/>
        <w:rPr>
          <w:sz w:val="24"/>
          <w:szCs w:val="24"/>
          <w:color w:val="auto"/>
        </w:rPr>
      </w:pPr>
    </w:p>
    <w:p>
      <w:pPr>
        <w:ind w:left="280"/>
        <w:spacing w:after="0" w:line="207" w:lineRule="exact"/>
        <w:tabs>
          <w:tab w:leader="none" w:pos="92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44" w:lineRule="exact"/>
        <w:rPr>
          <w:sz w:val="24"/>
          <w:szCs w:val="24"/>
          <w:color w:val="auto"/>
        </w:rPr>
      </w:pPr>
    </w:p>
    <w:p>
      <w:pPr>
        <w:ind w:firstLine="269"/>
        <w:spacing w:after="0" w:line="243" w:lineRule="auto"/>
        <w:rPr>
          <w:sz w:val="20"/>
          <w:szCs w:val="20"/>
          <w:color w:val="auto"/>
        </w:rPr>
      </w:pPr>
      <w:r>
        <w:rPr>
          <w:rFonts w:ascii="Times New Roman" w:cs="Times New Roman" w:eastAsia="Times New Roman" w:hAnsi="Times New Roman"/>
          <w:sz w:val="18"/>
          <w:szCs w:val="18"/>
          <w:color w:val="auto"/>
        </w:rPr>
        <w:t>The number of shares outstanding of each of the issuer’s classes of common equity, as of the latest practical date: 34,270,494 shares of common stock, par value $0.01 per share, as of November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346075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1" w:name="page2"/>
    <w:bookmarkEnd w:id="1"/>
    <w:p>
      <w:pPr>
        <w:ind w:left="310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2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QUARTERLY REPORT ON FORM 10-Q</w:t>
      </w:r>
    </w:p>
    <w:p>
      <w:pPr>
        <w:jc w:val="center"/>
        <w:ind w:left="700"/>
        <w:spacing w:after="0"/>
        <w:rPr>
          <w:sz w:val="20"/>
          <w:szCs w:val="20"/>
          <w:color w:val="auto"/>
        </w:rPr>
      </w:pPr>
      <w:r>
        <w:rPr>
          <w:rFonts w:ascii="Times New Roman" w:cs="Times New Roman" w:eastAsia="Times New Roman" w:hAnsi="Times New Roman"/>
          <w:sz w:val="18"/>
          <w:szCs w:val="18"/>
          <w:color w:val="auto"/>
        </w:rPr>
        <w:t>For the quarter ended September 30, 2022</w:t>
      </w:r>
    </w:p>
    <w:p>
      <w:pPr>
        <w:spacing w:after="0" w:line="8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Part I –</w:t>
      </w:r>
      <w:r>
        <w:rPr>
          <w:sz w:val="20"/>
          <w:szCs w:val="20"/>
          <w:color w:val="auto"/>
        </w:rPr>
        <w:tab/>
      </w:r>
      <w:r>
        <w:rPr>
          <w:rFonts w:ascii="Times New Roman" w:cs="Times New Roman" w:eastAsia="Times New Roman" w:hAnsi="Times New Roman"/>
          <w:sz w:val="17"/>
          <w:szCs w:val="17"/>
          <w:u w:val="single" w:color="auto"/>
          <w:color w:val="0000FF"/>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999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as of September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41757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75760" cy="8255"/>
                    </a:xfrm>
                    <a:prstGeom prst="rect">
                      <a:avLst/>
                    </a:prstGeom>
                    <a:noFill/>
                  </pic:spPr>
                </pic:pic>
              </a:graphicData>
            </a:graphic>
          </wp:anchor>
        </w:drawing>
      </w:r>
    </w:p>
    <w:p>
      <w:pPr>
        <w:spacing w:after="0" w:line="124" w:lineRule="exact"/>
        <w:rPr>
          <w:sz w:val="20"/>
          <w:szCs w:val="20"/>
          <w:color w:val="auto"/>
        </w:rPr>
      </w:pPr>
    </w:p>
    <w:p>
      <w:pPr>
        <w:ind w:left="1340" w:right="20"/>
        <w:spacing w:after="0" w:line="250"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 for the three months and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-149860</wp:posOffset>
            </wp:positionV>
            <wp:extent cx="55276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27675" cy="8255"/>
                    </a:xfrm>
                    <a:prstGeom prst="rect">
                      <a:avLst/>
                    </a:prstGeom>
                    <a:noFill/>
                  </pic:spPr>
                </pic:pic>
              </a:graphicData>
            </a:graphic>
          </wp:anchor>
        </w:drawing>
        <w:drawing>
          <wp:anchor simplePos="0" relativeHeight="251657728" behindDoc="1" locked="0" layoutInCell="0" allowOverlap="1">
            <wp:simplePos x="0" y="0"/>
            <wp:positionH relativeFrom="column">
              <wp:posOffset>848360</wp:posOffset>
            </wp:positionH>
            <wp:positionV relativeFrom="paragraph">
              <wp:posOffset>-29845</wp:posOffset>
            </wp:positionV>
            <wp:extent cx="228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5" w:lineRule="exact"/>
        <w:rPr>
          <w:sz w:val="20"/>
          <w:szCs w:val="20"/>
          <w:color w:val="auto"/>
        </w:rPr>
      </w:pPr>
    </w:p>
    <w:p>
      <w:pPr>
        <w:ind w:left="1340" w:right="380"/>
        <w:spacing w:after="0" w:line="250"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Income (Loss) for the three months and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-149860</wp:posOffset>
            </wp:positionV>
            <wp:extent cx="52959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95900" cy="8255"/>
                    </a:xfrm>
                    <a:prstGeom prst="rect">
                      <a:avLst/>
                    </a:prstGeom>
                    <a:noFill/>
                  </pic:spPr>
                </pic:pic>
              </a:graphicData>
            </a:graphic>
          </wp:anchor>
        </w:drawing>
        <w:drawing>
          <wp:anchor simplePos="0" relativeHeight="251657728" behindDoc="1" locked="0" layoutInCell="0" allowOverlap="1">
            <wp:simplePos x="0" y="0"/>
            <wp:positionH relativeFrom="column">
              <wp:posOffset>848360</wp:posOffset>
            </wp:positionH>
            <wp:positionV relativeFrom="paragraph">
              <wp:posOffset>-29845</wp:posOffset>
            </wp:positionV>
            <wp:extent cx="1367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75" w:lineRule="exact"/>
        <w:rPr>
          <w:sz w:val="20"/>
          <w:szCs w:val="20"/>
          <w:color w:val="auto"/>
        </w:rPr>
      </w:pPr>
    </w:p>
    <w:p>
      <w:pPr>
        <w:ind w:left="1340"/>
        <w:spacing w:after="0" w:line="250"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Shareholders’ Equity for the three months and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-149860</wp:posOffset>
            </wp:positionV>
            <wp:extent cx="5543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43550" cy="8255"/>
                    </a:xfrm>
                    <a:prstGeom prst="rect">
                      <a:avLst/>
                    </a:prstGeom>
                    <a:noFill/>
                  </pic:spPr>
                </pic:pic>
              </a:graphicData>
            </a:graphic>
          </wp:anchor>
        </w:drawing>
        <w:drawing>
          <wp:anchor simplePos="0" relativeHeight="251657728" behindDoc="1" locked="0" layoutInCell="0" allowOverlap="1">
            <wp:simplePos x="0" y="0"/>
            <wp:positionH relativeFrom="column">
              <wp:posOffset>848360</wp:posOffset>
            </wp:positionH>
            <wp:positionV relativeFrom="paragraph">
              <wp:posOffset>-29845</wp:posOffset>
            </wp:positionV>
            <wp:extent cx="6788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8815" cy="8890"/>
                    </a:xfrm>
                    <a:prstGeom prst="rect">
                      <a:avLst/>
                    </a:prstGeom>
                    <a:noFill/>
                  </pic:spPr>
                </pic:pic>
              </a:graphicData>
            </a:graphic>
          </wp:anchor>
        </w:drawing>
      </w:r>
    </w:p>
    <w:p>
      <w:pPr>
        <w:spacing w:after="0" w:line="7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for the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49758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75860" cy="8890"/>
                    </a:xfrm>
                    <a:prstGeom prst="rect">
                      <a:avLst/>
                    </a:prstGeom>
                    <a:noFill/>
                  </pic:spPr>
                </pic:pic>
              </a:graphicData>
            </a:graphic>
          </wp:anchor>
        </w:drawing>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25355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44519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51985"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30873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475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12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Part II –</w:t>
      </w:r>
      <w:r>
        <w:rPr>
          <w:sz w:val="20"/>
          <w:szCs w:val="20"/>
          <w:color w:val="auto"/>
        </w:rPr>
        <w:tab/>
      </w:r>
      <w:r>
        <w:rPr>
          <w:rFonts w:ascii="Times New Roman" w:cs="Times New Roman" w:eastAsia="Times New Roman" w:hAnsi="Times New Roman"/>
          <w:sz w:val="17"/>
          <w:szCs w:val="17"/>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8343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1995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99515" cy="8890"/>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0090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09015" cy="8890"/>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3112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827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7530"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4751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1868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7327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826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2">
            <w:col w:w="10020" w:space="540"/>
            <w:col w:w="180"/>
          </w:cols>
          <w:pgMar w:left="580" w:top="320" w:right="5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CECO ENVIRONMENTAL CORP. AND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6"/>
                <w:szCs w:val="16"/>
                <w:color w:val="auto"/>
              </w:rPr>
            </w:pPr>
          </w:p>
        </w:tc>
        <w:tc>
          <w:tcPr>
            <w:tcW w:w="16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5"/>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160" w:type="dxa"/>
            <w:vAlign w:val="bottom"/>
          </w:tcPr>
          <w:p>
            <w:pPr>
              <w:spacing w:after="0"/>
              <w:rPr>
                <w:sz w:val="17"/>
                <w:szCs w:val="17"/>
                <w:color w:val="auto"/>
              </w:rPr>
            </w:pPr>
          </w:p>
        </w:tc>
        <w:tc>
          <w:tcPr>
            <w:tcW w:w="18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35,188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89,959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56,775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 net</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24,740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income taxes</w:t>
            </w:r>
          </w:p>
        </w:tc>
        <w:tc>
          <w:tcPr>
            <w:tcW w:w="16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222,694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20,260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from operating leases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182,365</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161,183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 finite life, net</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 – indefinite life</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16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486,229</w:t>
            </w:r>
          </w:p>
        </w:tc>
        <w:tc>
          <w:tcPr>
            <w:tcW w:w="2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portion of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100,354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33,871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Note payable - current</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139,827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14,986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less current portion</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107,034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 liability, net</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9,153</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280,809</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210,240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Shareholders’ equity:</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$.01 par value; 10,000 shares authorized, none issued</w:t>
            </w:r>
          </w:p>
        </w:tc>
        <w:tc>
          <w:tcPr>
            <w:tcW w:w="160" w:type="dxa"/>
            <w:vAlign w:val="bottom"/>
          </w:tcPr>
          <w:p>
            <w:pPr>
              <w:spacing w:after="0"/>
              <w:rPr>
                <w:sz w:val="17"/>
                <w:szCs w:val="17"/>
                <w:color w:val="auto"/>
              </w:rPr>
            </w:pP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360" w:type="dxa"/>
            <w:vAlign w:val="bottom"/>
            <w:shd w:val="clear" w:color="auto" w:fill="CFF0FC"/>
          </w:tcPr>
          <w:p>
            <w:pPr>
              <w:ind w:left="200"/>
              <w:spacing w:after="0" w:line="161" w:lineRule="exact"/>
              <w:rPr>
                <w:sz w:val="20"/>
                <w:szCs w:val="20"/>
                <w:color w:val="auto"/>
              </w:rPr>
            </w:pPr>
            <w:r>
              <w:rPr>
                <w:rFonts w:ascii="Times New Roman" w:cs="Times New Roman" w:eastAsia="Times New Roman" w:hAnsi="Times New Roman"/>
                <w:sz w:val="16"/>
                <w:szCs w:val="16"/>
                <w:color w:val="auto"/>
              </w:rPr>
              <w:t>Common stock, $.01 par value; 100,000,000 shares authorized, 34,329,751 and</w:t>
            </w:r>
          </w:p>
        </w:tc>
        <w:tc>
          <w:tcPr>
            <w:tcW w:w="16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6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6"/>
                <w:szCs w:val="16"/>
                <w:color w:val="auto"/>
              </w:rPr>
              <w:t>35,028,197 shares issued and outstanding at September 30, 2022 and</w:t>
            </w:r>
          </w:p>
        </w:tc>
        <w:tc>
          <w:tcPr>
            <w:tcW w:w="160" w:type="dxa"/>
            <w:vAlign w:val="bottom"/>
            <w:shd w:val="clear" w:color="auto" w:fill="CFF0FC"/>
          </w:tcPr>
          <w:p>
            <w:pPr>
              <w:spacing w:after="0"/>
              <w:rPr>
                <w:sz w:val="14"/>
                <w:szCs w:val="14"/>
                <w:color w:val="auto"/>
              </w:rPr>
            </w:pP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160" w:type="dxa"/>
            <w:vAlign w:val="bottom"/>
            <w:shd w:val="clear" w:color="auto" w:fill="CFF0FC"/>
          </w:tcPr>
          <w:p>
            <w:pPr>
              <w:spacing w:after="0"/>
              <w:rPr>
                <w:sz w:val="18"/>
                <w:szCs w:val="18"/>
                <w:color w:val="auto"/>
              </w:rPr>
            </w:pPr>
          </w:p>
        </w:tc>
        <w:tc>
          <w:tcPr>
            <w:tcW w:w="16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249,248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loss</w:t>
            </w:r>
          </w:p>
        </w:tc>
        <w:tc>
          <w:tcPr>
            <w:tcW w:w="16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(27,595 )</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(36,715 )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Pr>
          <w:p>
            <w:pPr>
              <w:spacing w:after="0"/>
              <w:rPr>
                <w:sz w:val="17"/>
                <w:szCs w:val="17"/>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(21,457 )</w:t>
            </w:r>
          </w:p>
        </w:tc>
        <w:tc>
          <w:tcPr>
            <w:tcW w:w="16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(12,070 )</w:t>
            </w: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CECO shareholders' equity</w:t>
            </w:r>
          </w:p>
        </w:tc>
        <w:tc>
          <w:tcPr>
            <w:tcW w:w="16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200,539</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204,554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205,420</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205,957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486,229</w:t>
            </w:r>
          </w:p>
        </w:tc>
        <w:tc>
          <w:tcPr>
            <w:tcW w:w="2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-4577080</wp:posOffset>
            </wp:positionV>
            <wp:extent cx="6858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-4577080</wp:posOffset>
            </wp:positionV>
            <wp:extent cx="6858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-3539490</wp:posOffset>
            </wp:positionV>
            <wp:extent cx="685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-2476500</wp:posOffset>
            </wp:positionV>
            <wp:extent cx="6858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-1688465</wp:posOffset>
            </wp:positionV>
            <wp:extent cx="6858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-1688465</wp:posOffset>
            </wp:positionV>
            <wp:extent cx="6858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-162560</wp:posOffset>
            </wp:positionV>
            <wp:extent cx="6858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5"/>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1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108,414</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79,979</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306,225</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230,551</w:t>
            </w: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75,988</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57,254</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215,696</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158,164</w:t>
            </w:r>
          </w:p>
        </w:tc>
        <w:tc>
          <w:tcPr>
            <w:tcW w:w="100" w:type="dxa"/>
            <w:vAlign w:val="bottom"/>
          </w:tcPr>
          <w:p>
            <w:pPr>
              <w:spacing w:after="0"/>
              <w:rPr>
                <w:sz w:val="17"/>
                <w:szCs w:val="17"/>
                <w:color w:val="auto"/>
              </w:rPr>
            </w:pPr>
          </w:p>
        </w:tc>
      </w:tr>
      <w:tr>
        <w:trPr>
          <w:trHeight w:val="19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32,426</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22,725</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90,529</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72,387</w:t>
            </w: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60,894</w:t>
            </w:r>
          </w:p>
        </w:tc>
        <w:tc>
          <w:tcPr>
            <w:tcW w:w="10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4,939</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160" w:type="dxa"/>
            <w:vAlign w:val="bottom"/>
          </w:tcPr>
          <w:p>
            <w:pPr>
              <w:spacing w:after="0"/>
              <w:rPr>
                <w:sz w:val="17"/>
                <w:szCs w:val="17"/>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transition expenses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r>
      <w:tr>
        <w:trPr>
          <w:trHeight w:val="19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13,723</w:t>
            </w:r>
          </w:p>
        </w:tc>
        <w:tc>
          <w:tcPr>
            <w:tcW w:w="2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(1,155 )</w:t>
            </w: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(1,569 )</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(722 )</w:t>
            </w: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(3,489 )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(2,152 )</w:t>
            </w:r>
          </w:p>
        </w:tc>
      </w:tr>
      <w:tr>
        <w:trPr>
          <w:trHeight w:val="20"/>
        </w:trPr>
        <w:tc>
          <w:tcPr>
            <w:tcW w:w="5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(1,133 )</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tcPr>
          <w:p>
            <w:pPr>
              <w:spacing w:after="0"/>
              <w:rPr>
                <w:sz w:val="17"/>
                <w:szCs w:val="17"/>
                <w:color w:val="auto"/>
              </w:rPr>
            </w:pPr>
          </w:p>
        </w:tc>
      </w:tr>
      <w:tr>
        <w:trPr>
          <w:trHeight w:val="203"/>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3,287</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(1,196 )</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7"/>
                <w:szCs w:val="17"/>
                <w:color w:val="auto"/>
              </w:rPr>
            </w:pPr>
          </w:p>
        </w:tc>
      </w:tr>
      <w:tr>
        <w:trPr>
          <w:trHeight w:val="203"/>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 attributable to CECO Environmental Corp.</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26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(1,249 )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9,122</w:t>
            </w:r>
          </w:p>
        </w:tc>
        <w:tc>
          <w:tcPr>
            <w:tcW w:w="2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7"/>
                <w:szCs w:val="17"/>
                <w:color w:val="auto"/>
              </w:rPr>
            </w:pPr>
          </w:p>
        </w:tc>
      </w:tr>
      <w:tr>
        <w:trPr>
          <w:trHeight w:val="19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(loss) per share:</w:t>
            </w:r>
          </w:p>
        </w:tc>
        <w:tc>
          <w:tcPr>
            <w:tcW w:w="1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6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(0.04 )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0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34,455,657</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35,472,298</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34,791,129</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35,463,279</w:t>
            </w:r>
          </w:p>
        </w:tc>
        <w:tc>
          <w:tcPr>
            <w:tcW w:w="100" w:type="dxa"/>
            <w:vAlign w:val="bottom"/>
            <w:shd w:val="clear" w:color="auto" w:fill="CFF0FC"/>
          </w:tcPr>
          <w:p>
            <w:pPr>
              <w:spacing w:after="0"/>
              <w:rPr>
                <w:sz w:val="17"/>
                <w:szCs w:val="17"/>
                <w:color w:val="auto"/>
              </w:rPr>
            </w:pPr>
          </w:p>
        </w:tc>
      </w:tr>
      <w:tr>
        <w:trPr>
          <w:trHeight w:val="210"/>
        </w:trPr>
        <w:tc>
          <w:tcPr>
            <w:tcW w:w="5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34,871,313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35,472,298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35,035,041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35,729,887</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-1504315</wp:posOffset>
            </wp:positionV>
            <wp:extent cx="7747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-1504315</wp:posOffset>
            </wp:positionV>
            <wp:extent cx="6858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-1504315</wp:posOffset>
            </wp:positionV>
            <wp:extent cx="6858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-1504315</wp:posOffset>
            </wp:positionV>
            <wp:extent cx="6858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-1238885</wp:posOffset>
            </wp:positionV>
            <wp:extent cx="7747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-1238885</wp:posOffset>
            </wp:positionV>
            <wp:extent cx="6858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-1238885</wp:posOffset>
            </wp:positionV>
            <wp:extent cx="6858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-1238885</wp:posOffset>
            </wp:positionV>
            <wp:extent cx="6858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-972820</wp:posOffset>
            </wp:positionV>
            <wp:extent cx="7747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-972820</wp:posOffset>
            </wp:positionV>
            <wp:extent cx="6858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-972820</wp:posOffset>
            </wp:positionV>
            <wp:extent cx="6858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-972820</wp:posOffset>
            </wp:positionV>
            <wp:extent cx="6858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-415925</wp:posOffset>
            </wp:positionV>
            <wp:extent cx="296608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66085" cy="15430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5"/>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60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18"/>
                <w:szCs w:val="18"/>
                <w:color w:val="auto"/>
              </w:rPr>
            </w:pPr>
          </w:p>
        </w:tc>
      </w:tr>
      <w:tr>
        <w:trPr>
          <w:trHeight w:val="202"/>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30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(loss) gain</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(5,890 )</w:t>
            </w: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(250 )</w:t>
            </w: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(9,387 )</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FF0FC"/>
          </w:tcPr>
          <w:p>
            <w:pPr>
              <w:spacing w:after="0"/>
              <w:rPr>
                <w:sz w:val="17"/>
                <w:szCs w:val="17"/>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(3,724 )</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(1,446 )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-427990</wp:posOffset>
            </wp:positionV>
            <wp:extent cx="7683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-427990</wp:posOffset>
            </wp:positionV>
            <wp:extent cx="6858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-427990</wp:posOffset>
            </wp:positionV>
            <wp:extent cx="6858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-162560</wp:posOffset>
            </wp:positionV>
            <wp:extent cx="7683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-162560</wp:posOffset>
            </wp:positionV>
            <wp:extent cx="6858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-162560</wp:posOffset>
            </wp:positionV>
            <wp:extent cx="6858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5"/>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60" w:type="dxa"/>
            <w:vAlign w:val="bottom"/>
          </w:tcPr>
          <w:p>
            <w:pPr>
              <w:spacing w:after="0"/>
              <w:rPr>
                <w:sz w:val="16"/>
                <w:szCs w:val="16"/>
                <w:color w:val="auto"/>
              </w:rPr>
            </w:pPr>
          </w:p>
        </w:tc>
        <w:tc>
          <w:tcPr>
            <w:tcW w:w="8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4"/>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4"/>
          </w:tcPr>
          <w:p>
            <w:pPr>
              <w:jc w:val="center"/>
              <w:ind w:right="359"/>
              <w:spacing w:after="0" w:line="165" w:lineRule="exact"/>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w w:val="89"/>
              </w:rPr>
              <w:t>in</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5"/>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w:t>
            </w:r>
          </w:p>
        </w:tc>
        <w:tc>
          <w:tcPr>
            <w:tcW w:w="1320" w:type="dxa"/>
            <w:vAlign w:val="bottom"/>
            <w:gridSpan w:val="10"/>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920" w:type="dxa"/>
            <w:vAlign w:val="bottom"/>
            <w:gridSpan w:val="5"/>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w:t>
            </w:r>
          </w:p>
        </w:tc>
        <w:tc>
          <w:tcPr>
            <w:tcW w:w="1100" w:type="dxa"/>
            <w:vAlign w:val="bottom"/>
            <w:gridSpan w:val="4"/>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5"/>
            <w:vMerge w:val="continu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excess of</w:t>
            </w: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e</w:t>
            </w:r>
          </w:p>
        </w:tc>
        <w:tc>
          <w:tcPr>
            <w:tcW w:w="1320" w:type="dxa"/>
            <w:vAlign w:val="bottom"/>
            <w:gridSpan w:val="10"/>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g</w:t>
            </w:r>
          </w:p>
        </w:tc>
        <w:tc>
          <w:tcPr>
            <w:tcW w:w="26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8"/>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Borders>
              <w:top w:val="single" w:sz="8" w:color="auto"/>
            </w:tcBorders>
            <w:vMerge w:val="restart"/>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vMerge w:val="restart"/>
          </w:tcPr>
          <w:p>
            <w:pPr>
              <w:spacing w:after="0"/>
              <w:rPr>
                <w:sz w:val="13"/>
                <w:szCs w:val="13"/>
                <w:color w:val="auto"/>
              </w:rPr>
            </w:pPr>
          </w:p>
        </w:tc>
        <w:tc>
          <w:tcPr>
            <w:tcW w:w="5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Borders>
              <w:top w:val="single" w:sz="8" w:color="auto"/>
            </w:tcBorders>
            <w:vMerge w:val="restart"/>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jc w:val="center"/>
              <w:ind w:right="4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par</w:t>
            </w:r>
          </w:p>
        </w:tc>
        <w:tc>
          <w:tcPr>
            <w:tcW w:w="320" w:type="dxa"/>
            <w:vAlign w:val="bottom"/>
          </w:tcPr>
          <w:p>
            <w:pPr>
              <w:spacing w:after="0"/>
              <w:rPr>
                <w:sz w:val="13"/>
                <w:szCs w:val="13"/>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520" w:type="dxa"/>
            <w:vAlign w:val="bottom"/>
            <w:gridSpan w:val="2"/>
            <w:vMerge w:val="restart"/>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4"/>
            <w:vMerge w:val="restart"/>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Loss</w:t>
            </w: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5"/>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Sha</w:t>
            </w:r>
          </w:p>
        </w:tc>
        <w:tc>
          <w:tcPr>
            <w:tcW w:w="540" w:type="dxa"/>
            <w:vAlign w:val="bottom"/>
            <w:tcBorders>
              <w:top w:val="single" w:sz="8" w:color="auto"/>
            </w:tcBorders>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Amoun</w:t>
            </w:r>
          </w:p>
        </w:tc>
        <w:tc>
          <w:tcPr>
            <w:tcW w:w="200" w:type="dxa"/>
            <w:vAlign w:val="bottom"/>
          </w:tcPr>
          <w:p>
            <w:pPr>
              <w:spacing w:after="0"/>
              <w:rPr>
                <w:sz w:val="13"/>
                <w:szCs w:val="13"/>
                <w:color w:val="auto"/>
              </w:rPr>
            </w:pPr>
          </w:p>
        </w:tc>
        <w:tc>
          <w:tcPr>
            <w:tcW w:w="9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60" w:type="dxa"/>
            <w:vAlign w:val="bottom"/>
          </w:tcPr>
          <w:p>
            <w:pPr>
              <w:spacing w:after="0"/>
              <w:rPr>
                <w:sz w:val="13"/>
                <w:szCs w:val="13"/>
                <w:color w:val="auto"/>
              </w:rPr>
            </w:pPr>
          </w:p>
        </w:tc>
        <w:tc>
          <w:tcPr>
            <w:tcW w:w="8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42"/>
        </w:trPr>
        <w:tc>
          <w:tcPr>
            <w:tcW w:w="2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vMerge w:val="continue"/>
          </w:tcPr>
          <w:p>
            <w:pPr>
              <w:spacing w:after="0"/>
              <w:rPr>
                <w:sz w:val="12"/>
                <w:szCs w:val="12"/>
                <w:color w:val="auto"/>
              </w:rPr>
            </w:pPr>
          </w:p>
        </w:tc>
        <w:tc>
          <w:tcPr>
            <w:tcW w:w="100" w:type="dxa"/>
            <w:vAlign w:val="bottom"/>
            <w:tcBorders>
              <w:top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vMerge w:val="continue"/>
          </w:tcPr>
          <w:p>
            <w:pPr>
              <w:spacing w:after="0"/>
              <w:rPr>
                <w:sz w:val="12"/>
                <w:szCs w:val="12"/>
                <w:color w:val="auto"/>
              </w:rPr>
            </w:pPr>
          </w:p>
        </w:tc>
        <w:tc>
          <w:tcPr>
            <w:tcW w:w="580" w:type="dxa"/>
            <w:vAlign w:val="bottom"/>
            <w:tcBorders>
              <w:top w:val="single" w:sz="8" w:color="auto"/>
            </w:tcBorders>
            <w:gridSpan w:val="2"/>
            <w:vMerge w:val="continue"/>
          </w:tcPr>
          <w:p>
            <w:pPr>
              <w:spacing w:after="0"/>
              <w:rPr>
                <w:sz w:val="12"/>
                <w:szCs w:val="12"/>
                <w:color w:val="auto"/>
              </w:rPr>
            </w:pPr>
          </w:p>
        </w:tc>
        <w:tc>
          <w:tcPr>
            <w:tcW w:w="80" w:type="dxa"/>
            <w:vAlign w:val="bottom"/>
            <w:tcBorders>
              <w:top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87"/>
              </w:rPr>
              <w:t>value</w:t>
            </w:r>
          </w:p>
        </w:tc>
        <w:tc>
          <w:tcPr>
            <w:tcW w:w="40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res</w:t>
            </w:r>
          </w:p>
        </w:tc>
        <w:tc>
          <w:tcPr>
            <w:tcW w:w="280" w:type="dxa"/>
            <w:vAlign w:val="bottom"/>
            <w:gridSpan w:val="2"/>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59"/>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t</w:t>
            </w:r>
          </w:p>
        </w:tc>
        <w:tc>
          <w:tcPr>
            <w:tcW w:w="220" w:type="dxa"/>
            <w:vAlign w:val="bottom"/>
            <w:gridSpan w:val="2"/>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Balance December 31, 2020</w:t>
            </w: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35,505</w:t>
            </w:r>
          </w:p>
        </w:tc>
        <w:tc>
          <w:tcPr>
            <w:tcW w:w="700" w:type="dxa"/>
            <w:vAlign w:val="bottom"/>
            <w:gridSpan w:val="3"/>
            <w:shd w:val="clear" w:color="auto" w:fill="CFF0FC"/>
          </w:tcPr>
          <w:p>
            <w:pPr>
              <w:jc w:val="right"/>
              <w:ind w:right="2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w w:val="99"/>
              </w:rPr>
              <w:t>355</w:t>
            </w:r>
          </w:p>
        </w:tc>
        <w:tc>
          <w:tcPr>
            <w:tcW w:w="920" w:type="dxa"/>
            <w:vAlign w:val="bottom"/>
            <w:gridSpan w:val="4"/>
            <w:shd w:val="clear" w:color="auto" w:fill="CFF0FC"/>
          </w:tcPr>
          <w:p>
            <w:pPr>
              <w:jc w:val="right"/>
              <w:spacing w:after="0" w:line="162" w:lineRule="exact"/>
              <w:rPr>
                <w:sz w:val="20"/>
                <w:szCs w:val="20"/>
                <w:color w:val="auto"/>
              </w:rPr>
            </w:pPr>
            <w:r>
              <w:rPr>
                <w:rFonts w:ascii="Times New Roman" w:cs="Times New Roman" w:eastAsia="Times New Roman" w:hAnsi="Times New Roman"/>
                <w:sz w:val="16"/>
                <w:szCs w:val="16"/>
                <w:color w:val="auto"/>
              </w:rPr>
              <w:t>$ 255,296</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FF0FC"/>
          </w:tcPr>
          <w:p>
            <w:pPr>
              <w:jc w:val="right"/>
              <w:ind w:right="59"/>
              <w:spacing w:after="0" w:line="162" w:lineRule="exact"/>
              <w:rPr>
                <w:sz w:val="20"/>
                <w:szCs w:val="20"/>
                <w:color w:val="auto"/>
              </w:rPr>
            </w:pPr>
            <w:r>
              <w:rPr>
                <w:rFonts w:ascii="Times New Roman" w:cs="Times New Roman" w:eastAsia="Times New Roman" w:hAnsi="Times New Roman"/>
                <w:sz w:val="16"/>
                <w:szCs w:val="16"/>
                <w:color w:val="auto"/>
              </w:rPr>
              <w:t>(38,141 )</w:t>
            </w:r>
          </w:p>
        </w:tc>
        <w:tc>
          <w:tcPr>
            <w:tcW w:w="2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4"/>
            <w:shd w:val="clear" w:color="auto" w:fill="CFF0FC"/>
          </w:tcPr>
          <w:p>
            <w:pPr>
              <w:jc w:val="right"/>
              <w:ind w:right="59"/>
              <w:spacing w:after="0" w:line="162" w:lineRule="exact"/>
              <w:rPr>
                <w:sz w:val="20"/>
                <w:szCs w:val="20"/>
                <w:color w:val="auto"/>
              </w:rPr>
            </w:pPr>
            <w:r>
              <w:rPr>
                <w:rFonts w:ascii="Times New Roman" w:cs="Times New Roman" w:eastAsia="Times New Roman" w:hAnsi="Times New Roman"/>
                <w:sz w:val="16"/>
                <w:szCs w:val="16"/>
                <w:color w:val="auto"/>
              </w:rPr>
              <w:t>(14,496 )</w:t>
            </w:r>
          </w:p>
        </w:tc>
        <w:tc>
          <w:tcPr>
            <w:tcW w:w="580" w:type="dxa"/>
            <w:vAlign w:val="bottom"/>
            <w:gridSpan w:val="6"/>
            <w:shd w:val="clear" w:color="auto" w:fill="CFF0FC"/>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(13 )</w:t>
            </w:r>
          </w:p>
        </w:tc>
        <w:tc>
          <w:tcPr>
            <w:tcW w:w="1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shd w:val="clear" w:color="auto" w:fill="CFF0FC"/>
          </w:tcPr>
          <w:p>
            <w:pPr>
              <w:jc w:val="right"/>
              <w:ind w:right="59"/>
              <w:spacing w:after="0" w:line="162" w:lineRule="exact"/>
              <w:rPr>
                <w:sz w:val="20"/>
                <w:szCs w:val="20"/>
                <w:color w:val="auto"/>
              </w:rPr>
            </w:pPr>
            <w:r>
              <w:rPr>
                <w:rFonts w:ascii="Times New Roman" w:cs="Times New Roman" w:eastAsia="Times New Roman" w:hAnsi="Times New Roman"/>
                <w:sz w:val="16"/>
                <w:szCs w:val="16"/>
                <w:color w:val="auto"/>
              </w:rPr>
              <w:t>(356 )</w:t>
            </w:r>
          </w:p>
        </w:tc>
        <w:tc>
          <w:tcPr>
            <w:tcW w:w="140" w:type="dxa"/>
            <w:vAlign w:val="bottom"/>
            <w:gridSpan w:val="2"/>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953</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203,611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Net income for the three months</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gridSpan w:val="2"/>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gridSpan w:val="2"/>
          </w:tcPr>
          <w:p>
            <w:pPr>
              <w:jc w:val="right"/>
              <w:ind w:right="260"/>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4"/>
                <w:szCs w:val="14"/>
                <w:color w:val="auto"/>
              </w:rPr>
            </w:pPr>
          </w:p>
        </w:tc>
        <w:tc>
          <w:tcPr>
            <w:tcW w:w="6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1,181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right"/>
              <w:ind w:right="139"/>
              <w:spacing w:after="0" w:line="161"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4"/>
          </w:tcPr>
          <w:p>
            <w:pPr>
              <w:jc w:val="right"/>
              <w:ind w:right="159"/>
              <w:spacing w:after="0" w:line="161"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00" w:type="dxa"/>
            <w:vAlign w:val="bottom"/>
            <w:gridSpan w:val="3"/>
          </w:tcPr>
          <w:p>
            <w:pPr>
              <w:jc w:val="right"/>
              <w:ind w:right="139"/>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117</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1,298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ended March 31, 2021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gridSpan w:val="4"/>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60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 issued</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color w:val="auto"/>
              </w:rPr>
              <w:t>(134 )</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(133 )</w:t>
            </w:r>
          </w:p>
        </w:tc>
        <w:tc>
          <w:tcPr>
            <w:tcW w:w="0" w:type="dxa"/>
            <w:vAlign w:val="bottom"/>
          </w:tcPr>
          <w:p>
            <w:pPr>
              <w:spacing w:after="0"/>
              <w:rPr>
                <w:sz w:val="1"/>
                <w:szCs w:val="1"/>
                <w:color w:val="auto"/>
              </w:rPr>
            </w:pPr>
          </w:p>
        </w:tc>
      </w:tr>
      <w:tr>
        <w:trPr>
          <w:trHeight w:val="20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 based compensation earned</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gridSpan w:val="4"/>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60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gain</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6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Balance March 31, 2021</w:t>
            </w:r>
          </w:p>
        </w:tc>
        <w:tc>
          <w:tcPr>
            <w:tcW w:w="680" w:type="dxa"/>
            <w:vAlign w:val="bottom"/>
            <w:tcBorders>
              <w:top w:val="single" w:sz="8" w:color="auto"/>
            </w:tcBorders>
            <w:gridSpan w:val="3"/>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rPr>
              <w:t>35,568</w:t>
            </w:r>
          </w:p>
        </w:tc>
        <w:tc>
          <w:tcPr>
            <w:tcW w:w="240" w:type="dxa"/>
            <w:vAlign w:val="bottom"/>
            <w:shd w:val="clear" w:color="auto" w:fill="CFF0FC"/>
          </w:tcPr>
          <w:p>
            <w:pPr>
              <w:spacing w:after="0"/>
              <w:rPr>
                <w:sz w:val="13"/>
                <w:szCs w:val="13"/>
                <w:color w:val="auto"/>
              </w:rPr>
            </w:pPr>
          </w:p>
        </w:tc>
        <w:tc>
          <w:tcPr>
            <w:tcW w:w="460" w:type="dxa"/>
            <w:vAlign w:val="bottom"/>
            <w:tcBorders>
              <w:top w:val="single" w:sz="8" w:color="auto"/>
            </w:tcBorders>
            <w:gridSpan w:val="2"/>
            <w:shd w:val="clear" w:color="auto" w:fill="CFF0FC"/>
          </w:tcPr>
          <w:p>
            <w:pPr>
              <w:jc w:val="right"/>
              <w:ind w:right="279"/>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w w:val="99"/>
              </w:rPr>
              <w:t>356</w:t>
            </w:r>
          </w:p>
        </w:tc>
        <w:tc>
          <w:tcPr>
            <w:tcW w:w="240" w:type="dxa"/>
            <w:vAlign w:val="bottom"/>
            <w:shd w:val="clear" w:color="auto" w:fill="CFF0FC"/>
          </w:tcPr>
          <w:p>
            <w:pPr>
              <w:spacing w:after="0"/>
              <w:rPr>
                <w:sz w:val="13"/>
                <w:szCs w:val="13"/>
                <w:color w:val="auto"/>
              </w:rPr>
            </w:pPr>
          </w:p>
        </w:tc>
        <w:tc>
          <w:tcPr>
            <w:tcW w:w="68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w w:val="99"/>
              </w:rPr>
              <w:t>$ 255,982</w:t>
            </w:r>
          </w:p>
        </w:tc>
        <w:tc>
          <w:tcPr>
            <w:tcW w:w="24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(36,960</w:t>
            </w:r>
          </w:p>
        </w:tc>
        <w:tc>
          <w:tcPr>
            <w:tcW w:w="220" w:type="dxa"/>
            <w:vAlign w:val="bottom"/>
            <w:shd w:val="clear" w:color="auto" w:fill="CFF0FC"/>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(14,441</w:t>
            </w:r>
          </w:p>
        </w:tc>
        <w:tc>
          <w:tcPr>
            <w:tcW w:w="220" w:type="dxa"/>
            <w:vAlign w:val="bottom"/>
            <w:shd w:val="clear" w:color="auto" w:fill="CFF0FC"/>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gridSpan w:val="5"/>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FF0FC"/>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rPr>
              <w:t>(356</w:t>
            </w:r>
          </w:p>
        </w:tc>
        <w:tc>
          <w:tcPr>
            <w:tcW w:w="200" w:type="dxa"/>
            <w:vAlign w:val="bottom"/>
            <w:shd w:val="clear" w:color="auto" w:fill="CFF0FC"/>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gridSpan w:val="2"/>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rPr>
              <w:t>1,070</w:t>
            </w:r>
          </w:p>
        </w:tc>
        <w:tc>
          <w:tcPr>
            <w:tcW w:w="20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rPr>
              <w:t>205,651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right w:val="single" w:sz="8" w:color="CFF0FC"/>
            </w:tcBorders>
            <w:shd w:val="clear" w:color="auto" w:fill="CFF0FC"/>
          </w:tcPr>
          <w:p>
            <w:pPr>
              <w:spacing w:after="0"/>
              <w:rPr>
                <w:sz w:val="21"/>
                <w:szCs w:val="21"/>
                <w:color w:val="auto"/>
              </w:rPr>
            </w:pPr>
          </w:p>
        </w:tc>
        <w:tc>
          <w:tcPr>
            <w:tcW w:w="320" w:type="dxa"/>
            <w:vAlign w:val="bottom"/>
            <w:tcBorders>
              <w:bottom w:val="single" w:sz="8" w:color="auto"/>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for the three months</w:t>
            </w: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293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4"/>
          </w:tcPr>
          <w:p>
            <w:pPr>
              <w:jc w:val="right"/>
              <w:ind w:right="159"/>
              <w:spacing w:after="0" w:line="14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600" w:type="dxa"/>
            <w:vAlign w:val="bottom"/>
            <w:gridSpan w:val="3"/>
          </w:tcPr>
          <w:p>
            <w:pPr>
              <w:jc w:val="right"/>
              <w:ind w:right="139"/>
              <w:spacing w:after="0" w:line="14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6"/>
                <w:szCs w:val="16"/>
                <w:color w:val="auto"/>
              </w:rPr>
              <w:t>89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ended June 30, 2021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issued</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181</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16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(271 )</w:t>
            </w: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gridSpan w:val="4"/>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60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(270 )</w:t>
            </w: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based compensation earned</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Translation gain</w:t>
            </w:r>
          </w:p>
        </w:tc>
        <w:tc>
          <w:tcPr>
            <w:tcW w:w="1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gridSpan w:val="4"/>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60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 distribution</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(107 )</w:t>
            </w:r>
          </w:p>
        </w:tc>
        <w:tc>
          <w:tcPr>
            <w:tcW w:w="26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155"/>
        </w:trPr>
        <w:tc>
          <w:tcPr>
            <w:tcW w:w="26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Balance June 30, 2021</w:t>
            </w:r>
          </w:p>
        </w:tc>
        <w:tc>
          <w:tcPr>
            <w:tcW w:w="680" w:type="dxa"/>
            <w:vAlign w:val="bottom"/>
            <w:tcBorders>
              <w:top w:val="single" w:sz="8" w:color="auto"/>
            </w:tcBorders>
            <w:gridSpan w:val="3"/>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rPr>
              <w:t>35,749</w:t>
            </w:r>
          </w:p>
        </w:tc>
        <w:tc>
          <w:tcPr>
            <w:tcW w:w="240" w:type="dxa"/>
            <w:vAlign w:val="bottom"/>
            <w:shd w:val="clear" w:color="auto" w:fill="CFF0FC"/>
          </w:tcPr>
          <w:p>
            <w:pPr>
              <w:spacing w:after="0"/>
              <w:rPr>
                <w:sz w:val="13"/>
                <w:szCs w:val="13"/>
                <w:color w:val="auto"/>
              </w:rPr>
            </w:pPr>
          </w:p>
        </w:tc>
        <w:tc>
          <w:tcPr>
            <w:tcW w:w="460" w:type="dxa"/>
            <w:vAlign w:val="bottom"/>
            <w:tcBorders>
              <w:top w:val="single" w:sz="8" w:color="auto"/>
            </w:tcBorders>
            <w:gridSpan w:val="2"/>
            <w:shd w:val="clear" w:color="auto" w:fill="CFF0FC"/>
          </w:tcPr>
          <w:p>
            <w:pPr>
              <w:jc w:val="right"/>
              <w:ind w:right="279"/>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w w:val="99"/>
              </w:rPr>
              <w:t>357</w:t>
            </w:r>
          </w:p>
        </w:tc>
        <w:tc>
          <w:tcPr>
            <w:tcW w:w="240" w:type="dxa"/>
            <w:vAlign w:val="bottom"/>
            <w:shd w:val="clear" w:color="auto" w:fill="CFF0FC"/>
          </w:tcPr>
          <w:p>
            <w:pPr>
              <w:spacing w:after="0"/>
              <w:rPr>
                <w:sz w:val="13"/>
                <w:szCs w:val="13"/>
                <w:color w:val="auto"/>
              </w:rPr>
            </w:pPr>
          </w:p>
        </w:tc>
        <w:tc>
          <w:tcPr>
            <w:tcW w:w="68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w w:val="99"/>
              </w:rPr>
              <w:t>$ 256,598</w:t>
            </w:r>
          </w:p>
        </w:tc>
        <w:tc>
          <w:tcPr>
            <w:tcW w:w="24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(36,667</w:t>
            </w:r>
          </w:p>
        </w:tc>
        <w:tc>
          <w:tcPr>
            <w:tcW w:w="220" w:type="dxa"/>
            <w:vAlign w:val="bottom"/>
            <w:shd w:val="clear" w:color="auto" w:fill="CFF0FC"/>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(14,151</w:t>
            </w:r>
          </w:p>
        </w:tc>
        <w:tc>
          <w:tcPr>
            <w:tcW w:w="220" w:type="dxa"/>
            <w:vAlign w:val="bottom"/>
            <w:shd w:val="clear" w:color="auto" w:fill="CFF0FC"/>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gridSpan w:val="5"/>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FF0FC"/>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rPr>
              <w:t>(356</w:t>
            </w:r>
          </w:p>
        </w:tc>
        <w:tc>
          <w:tcPr>
            <w:tcW w:w="200" w:type="dxa"/>
            <w:vAlign w:val="bottom"/>
            <w:shd w:val="clear" w:color="auto" w:fill="CFF0FC"/>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gridSpan w:val="2"/>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rPr>
              <w:t>1,052</w:t>
            </w:r>
          </w:p>
        </w:tc>
        <w:tc>
          <w:tcPr>
            <w:tcW w:w="20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rPr>
              <w:t>206,833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right w:val="single" w:sz="8" w:color="CFF0FC"/>
            </w:tcBorders>
            <w:shd w:val="clear" w:color="auto" w:fill="CFF0FC"/>
          </w:tcPr>
          <w:p>
            <w:pPr>
              <w:spacing w:after="0"/>
              <w:rPr>
                <w:sz w:val="21"/>
                <w:szCs w:val="21"/>
                <w:color w:val="auto"/>
              </w:rPr>
            </w:pPr>
          </w:p>
        </w:tc>
        <w:tc>
          <w:tcPr>
            <w:tcW w:w="320" w:type="dxa"/>
            <w:vAlign w:val="bottom"/>
            <w:tcBorders>
              <w:bottom w:val="single" w:sz="8" w:color="auto"/>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Net loss for the three months ended</w:t>
            </w: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2"/>
                <w:szCs w:val="12"/>
                <w:color w:val="auto"/>
              </w:rPr>
            </w:pPr>
          </w:p>
        </w:tc>
        <w:tc>
          <w:tcPr>
            <w:tcW w:w="840" w:type="dxa"/>
            <w:vAlign w:val="bottom"/>
            <w:gridSpan w:val="3"/>
          </w:tcPr>
          <w:p>
            <w:pPr>
              <w:jc w:val="right"/>
              <w:ind w:right="59"/>
              <w:spacing w:after="0" w:line="142" w:lineRule="exact"/>
              <w:rPr>
                <w:sz w:val="20"/>
                <w:szCs w:val="20"/>
                <w:color w:val="auto"/>
              </w:rPr>
            </w:pPr>
            <w:r>
              <w:rPr>
                <w:rFonts w:ascii="Times New Roman" w:cs="Times New Roman" w:eastAsia="Times New Roman" w:hAnsi="Times New Roman"/>
                <w:sz w:val="16"/>
                <w:szCs w:val="16"/>
                <w:color w:val="auto"/>
              </w:rPr>
              <w:t>(1,249 )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4"/>
          </w:tcPr>
          <w:p>
            <w:pPr>
              <w:jc w:val="right"/>
              <w:ind w:right="159"/>
              <w:spacing w:after="0" w:line="14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600" w:type="dxa"/>
            <w:vAlign w:val="bottom"/>
            <w:gridSpan w:val="3"/>
          </w:tcPr>
          <w:p>
            <w:pPr>
              <w:jc w:val="right"/>
              <w:ind w:right="139"/>
              <w:spacing w:after="0" w:line="14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6"/>
                <w:szCs w:val="16"/>
                <w:color w:val="auto"/>
              </w:rPr>
              <w:t>(1,196 )</w:t>
            </w: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issued</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16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(111 )</w:t>
            </w: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gridSpan w:val="4"/>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60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based compensation earned</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Translation loss</w:t>
            </w:r>
          </w:p>
        </w:tc>
        <w:tc>
          <w:tcPr>
            <w:tcW w:w="1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4"/>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(250 )</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gridSpan w:val="4"/>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60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(250 )</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repurchase (See Note</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gridSpan w:val="2"/>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gridSpan w:val="2"/>
          </w:tcPr>
          <w:p>
            <w:pPr>
              <w:jc w:val="right"/>
              <w:ind w:right="260"/>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39"/>
              <w:spacing w:after="0" w:line="16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right"/>
              <w:ind w:right="139"/>
              <w:spacing w:after="0" w:line="161"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6"/>
          </w:tcPr>
          <w:p>
            <w:pPr>
              <w:jc w:val="right"/>
              <w:ind w:right="79"/>
              <w:spacing w:after="0" w:line="161" w:lineRule="exact"/>
              <w:rPr>
                <w:sz w:val="20"/>
                <w:szCs w:val="20"/>
                <w:color w:val="auto"/>
              </w:rPr>
            </w:pPr>
            <w:r>
              <w:rPr>
                <w:rFonts w:ascii="Times New Roman" w:cs="Times New Roman" w:eastAsia="Times New Roman" w:hAnsi="Times New Roman"/>
                <w:sz w:val="16"/>
                <w:szCs w:val="16"/>
                <w:color w:val="auto"/>
              </w:rPr>
              <w:t>(52 )</w:t>
            </w:r>
          </w:p>
        </w:tc>
        <w:tc>
          <w:tcPr>
            <w:tcW w:w="140" w:type="dxa"/>
            <w:vAlign w:val="bottom"/>
          </w:tcPr>
          <w:p>
            <w:pPr>
              <w:spacing w:after="0"/>
              <w:rPr>
                <w:sz w:val="14"/>
                <w:szCs w:val="14"/>
                <w:color w:val="auto"/>
              </w:rPr>
            </w:pPr>
          </w:p>
        </w:tc>
        <w:tc>
          <w:tcPr>
            <w:tcW w:w="600" w:type="dxa"/>
            <w:vAlign w:val="bottom"/>
            <w:gridSpan w:val="3"/>
          </w:tcPr>
          <w:p>
            <w:pPr>
              <w:jc w:val="right"/>
              <w:ind w:right="59"/>
              <w:spacing w:after="0" w:line="161" w:lineRule="exact"/>
              <w:rPr>
                <w:sz w:val="20"/>
                <w:szCs w:val="20"/>
                <w:color w:val="auto"/>
              </w:rPr>
            </w:pPr>
            <w:r>
              <w:rPr>
                <w:rFonts w:ascii="Times New Roman" w:cs="Times New Roman" w:eastAsia="Times New Roman" w:hAnsi="Times New Roman"/>
                <w:sz w:val="16"/>
                <w:szCs w:val="16"/>
                <w:color w:val="auto"/>
              </w:rPr>
              <w:t>(3,74 )</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right"/>
              <w:ind w:right="22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40" w:type="dxa"/>
            <w:vAlign w:val="bottom"/>
            <w:gridSpan w:val="3"/>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(3,745 )</w:t>
            </w: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6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Balance September 30, 2021</w:t>
            </w:r>
          </w:p>
        </w:tc>
        <w:tc>
          <w:tcPr>
            <w:tcW w:w="680" w:type="dxa"/>
            <w:vAlign w:val="bottom"/>
            <w:gridSpan w:val="3"/>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rPr>
              <w:t>35,809</w:t>
            </w:r>
          </w:p>
        </w:tc>
        <w:tc>
          <w:tcPr>
            <w:tcW w:w="24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79"/>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w w:val="99"/>
              </w:rPr>
              <w:t>358</w:t>
            </w:r>
          </w:p>
        </w:tc>
        <w:tc>
          <w:tcPr>
            <w:tcW w:w="240" w:type="dxa"/>
            <w:vAlign w:val="bottom"/>
            <w:shd w:val="clear" w:color="auto" w:fill="CFF0FC"/>
          </w:tcPr>
          <w:p>
            <w:pPr>
              <w:spacing w:after="0"/>
              <w:rPr>
                <w:sz w:val="13"/>
                <w:szCs w:val="13"/>
                <w:color w:val="auto"/>
              </w:rPr>
            </w:pPr>
          </w:p>
        </w:tc>
        <w:tc>
          <w:tcPr>
            <w:tcW w:w="680" w:type="dxa"/>
            <w:vAlign w:val="bottom"/>
            <w:gridSpan w:val="3"/>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w w:val="99"/>
              </w:rPr>
              <w:t>$ 257,482</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(37,916</w:t>
            </w:r>
          </w:p>
        </w:tc>
        <w:tc>
          <w:tcPr>
            <w:tcW w:w="220" w:type="dxa"/>
            <w:vAlign w:val="bottom"/>
            <w:shd w:val="clear" w:color="auto" w:fill="CFF0FC"/>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(14,401</w:t>
            </w:r>
          </w:p>
        </w:tc>
        <w:tc>
          <w:tcPr>
            <w:tcW w:w="220" w:type="dxa"/>
            <w:vAlign w:val="bottom"/>
            <w:shd w:val="clear" w:color="auto" w:fill="CFF0FC"/>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5"/>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rPr>
              <w:t>(65</w:t>
            </w:r>
          </w:p>
        </w:tc>
        <w:tc>
          <w:tcPr>
            <w:tcW w:w="220" w:type="dxa"/>
            <w:vAlign w:val="bottom"/>
            <w:shd w:val="clear" w:color="auto" w:fill="CFF0FC"/>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rPr>
              <w:t>(4,10</w:t>
            </w:r>
          </w:p>
        </w:tc>
        <w:tc>
          <w:tcPr>
            <w:tcW w:w="200" w:type="dxa"/>
            <w:vAlign w:val="bottom"/>
            <w:shd w:val="clear" w:color="auto" w:fill="CFF0FC"/>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gridSpan w:val="2"/>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rPr>
              <w:t>1,105</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6"/>
                <w:szCs w:val="16"/>
                <w:color w:val="auto"/>
              </w:rPr>
              <w:t>202,527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right w:val="single" w:sz="8" w:color="CFF0FC"/>
            </w:tcBorders>
            <w:shd w:val="clear" w:color="auto" w:fill="CFF0FC"/>
          </w:tcPr>
          <w:p>
            <w:pPr>
              <w:spacing w:after="0"/>
              <w:rPr>
                <w:sz w:val="21"/>
                <w:szCs w:val="21"/>
                <w:color w:val="auto"/>
              </w:rPr>
            </w:pPr>
          </w:p>
        </w:tc>
        <w:tc>
          <w:tcPr>
            <w:tcW w:w="320" w:type="dxa"/>
            <w:vAlign w:val="bottom"/>
            <w:tcBorders>
              <w:bottom w:val="single" w:sz="8" w:color="auto"/>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-2150745</wp:posOffset>
            </wp:positionV>
            <wp:extent cx="5031740" cy="257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31740" cy="25717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-1139190</wp:posOffset>
            </wp:positionV>
            <wp:extent cx="5031740" cy="257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31740" cy="25717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-24765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-7620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-24765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5"/>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6"/>
                <w:szCs w:val="16"/>
                <w:color w:val="auto"/>
              </w:rPr>
            </w:pPr>
          </w:p>
        </w:tc>
        <w:tc>
          <w:tcPr>
            <w:tcW w:w="80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4"/>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tcPr>
          <w:p>
            <w:pPr>
              <w:jc w:val="center"/>
              <w:ind w:right="379"/>
              <w:spacing w:after="0" w:line="165"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3"/>
          </w:tcPr>
          <w:p>
            <w:pPr>
              <w:jc w:val="center"/>
              <w:ind w:right="440"/>
              <w:spacing w:after="0" w:line="175" w:lineRule="exact"/>
              <w:rPr>
                <w:sz w:val="20"/>
                <w:szCs w:val="20"/>
                <w:color w:val="auto"/>
              </w:rPr>
            </w:pPr>
            <w:r>
              <w:rPr>
                <w:rFonts w:ascii="Times New Roman" w:cs="Times New Roman" w:eastAsia="Times New Roman" w:hAnsi="Times New Roman"/>
                <w:sz w:val="16"/>
                <w:szCs w:val="16"/>
                <w:b w:val="1"/>
                <w:bCs w:val="1"/>
                <w:color w:val="auto"/>
              </w:rPr>
              <w:t>in</w:t>
            </w:r>
          </w:p>
        </w:tc>
        <w:tc>
          <w:tcPr>
            <w:tcW w:w="1140" w:type="dxa"/>
            <w:vAlign w:val="bottom"/>
            <w:gridSpan w:val="4"/>
          </w:tcPr>
          <w:p>
            <w:pPr>
              <w:jc w:val="center"/>
              <w:ind w:right="139"/>
              <w:spacing w:after="0" w:line="175" w:lineRule="exact"/>
              <w:rPr>
                <w:sz w:val="20"/>
                <w:szCs w:val="20"/>
                <w:color w:val="auto"/>
              </w:rPr>
            </w:pPr>
            <w:r>
              <w:rPr>
                <w:rFonts w:ascii="Times New Roman" w:cs="Times New Roman" w:eastAsia="Times New Roman" w:hAnsi="Times New Roman"/>
                <w:sz w:val="16"/>
                <w:szCs w:val="16"/>
                <w:b w:val="1"/>
                <w:bCs w:val="1"/>
                <w:color w:val="auto"/>
              </w:rPr>
              <w:t>Accumulate</w:t>
            </w:r>
          </w:p>
        </w:tc>
        <w:tc>
          <w:tcPr>
            <w:tcW w:w="128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Comprehensiv</w:t>
            </w:r>
          </w:p>
        </w:tc>
        <w:tc>
          <w:tcPr>
            <w:tcW w:w="1220" w:type="dxa"/>
            <w:vAlign w:val="bottom"/>
            <w:gridSpan w:val="6"/>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controllin</w:t>
            </w:r>
          </w:p>
        </w:tc>
        <w:tc>
          <w:tcPr>
            <w:tcW w:w="104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Shareholder</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excess of</w:t>
            </w:r>
          </w:p>
        </w:tc>
        <w:tc>
          <w:tcPr>
            <w:tcW w:w="300" w:type="dxa"/>
            <w:vAlign w:val="bottom"/>
          </w:tcPr>
          <w:p>
            <w:pPr>
              <w:spacing w:after="0"/>
              <w:rPr>
                <w:sz w:val="16"/>
                <w:szCs w:val="16"/>
                <w:color w:val="auto"/>
              </w:rPr>
            </w:pPr>
          </w:p>
        </w:tc>
        <w:tc>
          <w:tcPr>
            <w:tcW w:w="840" w:type="dxa"/>
            <w:vAlign w:val="bottom"/>
            <w:gridSpan w:val="3"/>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w w:val="89"/>
              </w:rPr>
              <w:t>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e</w:t>
            </w:r>
          </w:p>
        </w:tc>
        <w:tc>
          <w:tcPr>
            <w:tcW w:w="1220" w:type="dxa"/>
            <w:vAlign w:val="bottom"/>
            <w:tcBorders>
              <w:bottom w:val="single" w:sz="8" w:color="auto"/>
            </w:tcBorders>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g</w:t>
            </w:r>
          </w:p>
        </w:tc>
        <w:tc>
          <w:tcPr>
            <w:tcW w:w="240" w:type="dxa"/>
            <w:vAlign w:val="bottom"/>
          </w:tcPr>
          <w:p>
            <w:pPr>
              <w:spacing w:after="0"/>
              <w:rPr>
                <w:sz w:val="16"/>
                <w:szCs w:val="16"/>
                <w:color w:val="auto"/>
              </w:rPr>
            </w:pPr>
          </w:p>
        </w:tc>
        <w:tc>
          <w:tcPr>
            <w:tcW w:w="8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3"/>
              </w:rPr>
              <w:t>s'</w:t>
            </w:r>
          </w:p>
        </w:tc>
        <w:tc>
          <w:tcPr>
            <w:tcW w:w="0" w:type="dxa"/>
            <w:vAlign w:val="bottom"/>
          </w:tcPr>
          <w:p>
            <w:pPr>
              <w:spacing w:after="0"/>
              <w:rPr>
                <w:sz w:val="1"/>
                <w:szCs w:val="1"/>
                <w:color w:val="auto"/>
              </w:rPr>
            </w:pPr>
          </w:p>
        </w:tc>
      </w:tr>
      <w:tr>
        <w:trPr>
          <w:trHeight w:val="155"/>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vMerge w:val="restart"/>
          </w:tcPr>
          <w:p>
            <w:pPr>
              <w:spacing w:after="0"/>
              <w:rPr>
                <w:sz w:val="13"/>
                <w:szCs w:val="13"/>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340" w:type="dxa"/>
            <w:vAlign w:val="bottom"/>
            <w:gridSpan w:val="2"/>
            <w:vMerge w:val="restart"/>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20" w:type="dxa"/>
            <w:vAlign w:val="bottom"/>
            <w:gridSpan w:val="2"/>
            <w:vMerge w:val="restart"/>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3"/>
          </w:tcPr>
          <w:p>
            <w:pPr>
              <w:jc w:val="center"/>
              <w:ind w:right="460"/>
              <w:spacing w:after="0" w:line="155" w:lineRule="exact"/>
              <w:rPr>
                <w:sz w:val="20"/>
                <w:szCs w:val="20"/>
                <w:color w:val="auto"/>
              </w:rPr>
            </w:pPr>
            <w:r>
              <w:rPr>
                <w:rFonts w:ascii="Times New Roman" w:cs="Times New Roman" w:eastAsia="Times New Roman" w:hAnsi="Times New Roman"/>
                <w:sz w:val="16"/>
                <w:szCs w:val="16"/>
                <w:b w:val="1"/>
                <w:bCs w:val="1"/>
                <w:color w:val="auto"/>
                <w:w w:val="99"/>
              </w:rPr>
              <w:t>par</w:t>
            </w:r>
          </w:p>
        </w:tc>
        <w:tc>
          <w:tcPr>
            <w:tcW w:w="300" w:type="dxa"/>
            <w:vAlign w:val="bottom"/>
          </w:tcPr>
          <w:p>
            <w:pPr>
              <w:spacing w:after="0"/>
              <w:rPr>
                <w:sz w:val="13"/>
                <w:szCs w:val="13"/>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Loss</w:t>
            </w:r>
          </w:p>
        </w:tc>
        <w:tc>
          <w:tcPr>
            <w:tcW w:w="520" w:type="dxa"/>
            <w:vAlign w:val="bottom"/>
            <w:gridSpan w:val="2"/>
            <w:vMerge w:val="restart"/>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4"/>
            <w:vMerge w:val="restart"/>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Loss</w:t>
            </w:r>
          </w:p>
        </w:tc>
        <w:tc>
          <w:tcPr>
            <w:tcW w:w="62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Shar</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40" w:type="dxa"/>
            <w:vAlign w:val="bottom"/>
          </w:tcPr>
          <w:p>
            <w:pPr>
              <w:spacing w:after="0"/>
              <w:rPr>
                <w:sz w:val="13"/>
                <w:szCs w:val="13"/>
                <w:color w:val="auto"/>
              </w:rPr>
            </w:pPr>
          </w:p>
        </w:tc>
        <w:tc>
          <w:tcPr>
            <w:tcW w:w="8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42"/>
        </w:trPr>
        <w:tc>
          <w:tcPr>
            <w:tcW w:w="26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7"/>
              </w:rPr>
              <w:t>value</w:t>
            </w:r>
          </w:p>
        </w:tc>
        <w:tc>
          <w:tcPr>
            <w:tcW w:w="38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es</w:t>
            </w:r>
          </w:p>
        </w:tc>
        <w:tc>
          <w:tcPr>
            <w:tcW w:w="2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1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35,028</w:t>
            </w: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9"/>
              </w:rPr>
              <w:t>350</w:t>
            </w:r>
          </w:p>
        </w:tc>
        <w:tc>
          <w:tcPr>
            <w:tcW w:w="240" w:type="dxa"/>
            <w:vAlign w:val="bottom"/>
            <w:shd w:val="clear" w:color="auto" w:fill="CFF0FC"/>
          </w:tcPr>
          <w:p>
            <w:pPr>
              <w:spacing w:after="0"/>
              <w:rPr>
                <w:sz w:val="17"/>
                <w:szCs w:val="17"/>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$ 252,989</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(36,715 )</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CFF0FC"/>
            </w:tcBorders>
            <w:gridSpan w:val="4"/>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(12,070 )</w:t>
            </w:r>
          </w:p>
        </w:tc>
        <w:tc>
          <w:tcPr>
            <w:tcW w:w="100" w:type="dxa"/>
            <w:vAlign w:val="bottom"/>
            <w:shd w:val="clear" w:color="auto" w:fill="CFF0FC"/>
          </w:tcPr>
          <w:p>
            <w:pPr>
              <w:spacing w:after="0"/>
              <w:rPr>
                <w:sz w:val="17"/>
                <w:szCs w:val="17"/>
                <w:color w:val="auto"/>
              </w:rPr>
            </w:pPr>
          </w:p>
        </w:tc>
        <w:tc>
          <w:tcPr>
            <w:tcW w:w="520" w:type="dxa"/>
            <w:vAlign w:val="bottom"/>
            <w:tcBorders>
              <w:right w:val="single" w:sz="8" w:color="CCECFF"/>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right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CFF"/>
          </w:tcPr>
          <w:p>
            <w:pPr>
              <w:spacing w:after="0"/>
              <w:rPr>
                <w:sz w:val="17"/>
                <w:szCs w:val="17"/>
                <w:color w:val="auto"/>
              </w:rPr>
            </w:pPr>
          </w:p>
        </w:tc>
        <w:tc>
          <w:tcPr>
            <w:tcW w:w="2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205,957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Net income for the three months</w:t>
            </w:r>
          </w:p>
        </w:tc>
        <w:tc>
          <w:tcPr>
            <w:tcW w:w="100" w:type="dxa"/>
            <w:vAlign w:val="bottom"/>
          </w:tcPr>
          <w:p>
            <w:pPr>
              <w:spacing w:after="0"/>
              <w:rPr>
                <w:sz w:val="14"/>
                <w:szCs w:val="14"/>
                <w:color w:val="auto"/>
              </w:rPr>
            </w:pPr>
          </w:p>
        </w:tc>
        <w:tc>
          <w:tcPr>
            <w:tcW w:w="820" w:type="dxa"/>
            <w:vAlign w:val="bottom"/>
            <w:gridSpan w:val="3"/>
          </w:tcPr>
          <w:p>
            <w:pPr>
              <w:jc w:val="right"/>
              <w:ind w:right="2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gridSpan w:val="3"/>
          </w:tcPr>
          <w:p>
            <w:pPr>
              <w:jc w:val="right"/>
              <w:ind w:right="2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tcPr>
          <w:p>
            <w:pPr>
              <w:jc w:val="right"/>
              <w:ind w:right="240"/>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4"/>
                <w:szCs w:val="14"/>
                <w:color w:val="auto"/>
              </w:rPr>
            </w:pPr>
          </w:p>
        </w:tc>
        <w:tc>
          <w:tcPr>
            <w:tcW w:w="6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2,792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jc w:val="right"/>
              <w:ind w:right="179"/>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520" w:type="dxa"/>
            <w:vAlign w:val="bottom"/>
            <w:gridSpan w:val="3"/>
          </w:tcPr>
          <w:p>
            <w:pPr>
              <w:ind w:left="10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360" w:type="dxa"/>
            <w:vAlign w:val="bottom"/>
          </w:tcPr>
          <w:p>
            <w:pPr>
              <w:ind w:left="200"/>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2,810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ended March 31, 2022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issued</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(67 )</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520" w:type="dxa"/>
            <w:vAlign w:val="bottom"/>
            <w:tcBorders>
              <w:right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3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based compensation earned</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Translation loss</w:t>
            </w:r>
          </w:p>
        </w:tc>
        <w:tc>
          <w:tcPr>
            <w:tcW w:w="10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4"/>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(531 )</w:t>
            </w:r>
          </w:p>
        </w:tc>
        <w:tc>
          <w:tcPr>
            <w:tcW w:w="100" w:type="dxa"/>
            <w:vAlign w:val="bottom"/>
            <w:shd w:val="clear" w:color="auto" w:fill="CFF0FC"/>
          </w:tcPr>
          <w:p>
            <w:pPr>
              <w:spacing w:after="0"/>
              <w:rPr>
                <w:sz w:val="17"/>
                <w:szCs w:val="17"/>
                <w:color w:val="auto"/>
              </w:rPr>
            </w:pPr>
          </w:p>
        </w:tc>
        <w:tc>
          <w:tcPr>
            <w:tcW w:w="520" w:type="dxa"/>
            <w:vAlign w:val="bottom"/>
            <w:tcBorders>
              <w:right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3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(531 )</w:t>
            </w: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10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(900 )</w:t>
            </w:r>
          </w:p>
        </w:tc>
        <w:tc>
          <w:tcPr>
            <w:tcW w:w="24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(900 )</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ind w:left="20"/>
              <w:spacing w:after="0" w:line="161" w:lineRule="exact"/>
              <w:rPr>
                <w:sz w:val="20"/>
                <w:szCs w:val="20"/>
                <w:color w:val="auto"/>
              </w:rPr>
            </w:pPr>
            <w:r>
              <w:rPr>
                <w:rFonts w:ascii="Times New Roman" w:cs="Times New Roman" w:eastAsia="Times New Roman" w:hAnsi="Times New Roman"/>
                <w:sz w:val="16"/>
                <w:szCs w:val="16"/>
                <w:color w:val="auto"/>
              </w:rPr>
              <w:t>Fair value of noncontrolling interest</w:t>
            </w:r>
          </w:p>
        </w:tc>
        <w:tc>
          <w:tcPr>
            <w:tcW w:w="10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2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20" w:type="dxa"/>
            <w:vAlign w:val="bottom"/>
            <w:gridSpan w:val="3"/>
            <w:shd w:val="clear" w:color="auto" w:fill="CFF0FC"/>
          </w:tcPr>
          <w:p>
            <w:pPr>
              <w:jc w:val="right"/>
              <w:ind w:right="2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380" w:type="dxa"/>
            <w:vAlign w:val="bottom"/>
            <w:gridSpan w:val="2"/>
            <w:shd w:val="clear" w:color="auto" w:fill="CFF0FC"/>
          </w:tcPr>
          <w:p>
            <w:pPr>
              <w:jc w:val="right"/>
              <w:ind w:right="240"/>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59"/>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tcBorders>
              <w:right w:val="single" w:sz="8" w:color="CFF0FC"/>
            </w:tcBorders>
            <w:gridSpan w:val="2"/>
            <w:shd w:val="clear" w:color="auto" w:fill="CFF0FC"/>
          </w:tcPr>
          <w:p>
            <w:pPr>
              <w:jc w:val="right"/>
              <w:ind w:right="179"/>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4"/>
                <w:szCs w:val="14"/>
                <w:color w:val="auto"/>
              </w:rPr>
            </w:pPr>
          </w:p>
        </w:tc>
        <w:tc>
          <w:tcPr>
            <w:tcW w:w="520" w:type="dxa"/>
            <w:vAlign w:val="bottom"/>
            <w:tcBorders>
              <w:right w:val="single" w:sz="8" w:color="CFF0FC"/>
            </w:tcBorders>
            <w:gridSpan w:val="3"/>
            <w:shd w:val="clear" w:color="auto" w:fill="CFF0FC"/>
          </w:tcPr>
          <w:p>
            <w:pPr>
              <w:ind w:left="10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ind w:left="200"/>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spacing w:after="0" w:line="161" w:lineRule="exact"/>
              <w:rPr>
                <w:sz w:val="20"/>
                <w:szCs w:val="20"/>
                <w:color w:val="auto"/>
              </w:rPr>
            </w:pPr>
            <w:r>
              <w:rPr>
                <w:rFonts w:ascii="Times New Roman" w:cs="Times New Roman" w:eastAsia="Times New Roman" w:hAnsi="Times New Roman"/>
                <w:sz w:val="16"/>
                <w:szCs w:val="16"/>
                <w:color w:val="auto"/>
              </w:rPr>
              <w:t>5,000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(see Note 14)</w:t>
            </w:r>
          </w:p>
        </w:tc>
        <w:tc>
          <w:tcPr>
            <w:tcW w:w="1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right w:val="single" w:sz="8" w:color="CFF0FC"/>
            </w:tcBorders>
            <w:shd w:val="clear" w:color="auto" w:fill="CFF0FC"/>
          </w:tcPr>
          <w:p>
            <w:pPr>
              <w:spacing w:after="0"/>
              <w:rPr>
                <w:sz w:val="16"/>
                <w:szCs w:val="16"/>
                <w:color w:val="auto"/>
              </w:rPr>
            </w:pPr>
          </w:p>
        </w:tc>
        <w:tc>
          <w:tcPr>
            <w:tcW w:w="320" w:type="dxa"/>
            <w:vAlign w:val="bottom"/>
            <w:tcBorders>
              <w:bottom w:val="single" w:sz="8" w:color="auto"/>
              <w:right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CFF0FC"/>
              <w:right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right w:val="single" w:sz="8" w:color="CFF0FC"/>
            </w:tcBorders>
            <w:shd w:val="clear" w:color="auto" w:fill="CFF0FC"/>
          </w:tcPr>
          <w:p>
            <w:pPr>
              <w:spacing w:after="0"/>
              <w:rPr>
                <w:sz w:val="16"/>
                <w:szCs w:val="16"/>
                <w:color w:val="auto"/>
              </w:rPr>
            </w:pPr>
          </w:p>
        </w:tc>
        <w:tc>
          <w:tcPr>
            <w:tcW w:w="240" w:type="dxa"/>
            <w:vAlign w:val="bottom"/>
            <w:tcBorders>
              <w:bottom w:val="single" w:sz="8" w:color="CFF0FC"/>
              <w:right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360" w:type="dxa"/>
            <w:vAlign w:val="bottom"/>
            <w:tcBorders>
              <w:bottom w:val="single" w:sz="8" w:color="auto"/>
              <w:right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2022</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35,076</w:t>
            </w:r>
          </w:p>
        </w:tc>
        <w:tc>
          <w:tcPr>
            <w:tcW w:w="240" w:type="dxa"/>
            <w:vAlign w:val="bottom"/>
          </w:tcPr>
          <w:p>
            <w:pPr>
              <w:spacing w:after="0"/>
              <w:rPr>
                <w:sz w:val="17"/>
                <w:szCs w:val="17"/>
                <w:color w:val="auto"/>
              </w:rPr>
            </w:pPr>
          </w:p>
        </w:tc>
        <w:tc>
          <w:tcPr>
            <w:tcW w:w="4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350</w:t>
            </w:r>
          </w:p>
        </w:tc>
        <w:tc>
          <w:tcPr>
            <w:tcW w:w="24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$ 253,875</w:t>
            </w:r>
          </w:p>
        </w:tc>
        <w:tc>
          <w:tcPr>
            <w:tcW w:w="2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(33,923 )</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color w:val="auto"/>
              </w:rPr>
              <w:t>(12,601 )</w:t>
            </w:r>
          </w:p>
        </w:tc>
        <w:tc>
          <w:tcPr>
            <w:tcW w:w="100" w:type="dxa"/>
            <w:vAlign w:val="bottom"/>
          </w:tcPr>
          <w:p>
            <w:pPr>
              <w:spacing w:after="0"/>
              <w:rPr>
                <w:sz w:val="17"/>
                <w:szCs w:val="17"/>
                <w:color w:val="auto"/>
              </w:rPr>
            </w:pP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5,521</w:t>
            </w:r>
          </w:p>
        </w:tc>
        <w:tc>
          <w:tcPr>
            <w:tcW w:w="2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213,222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for the three months</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rPr>
              <w:t>4,385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tcBorders>
              <w:right w:val="single" w:sz="8" w:color="CFF0FC"/>
            </w:tcBorders>
            <w:gridSpan w:val="2"/>
            <w:shd w:val="clear" w:color="auto" w:fill="CFF0FC"/>
          </w:tcPr>
          <w:p>
            <w:pPr>
              <w:ind w:left="100"/>
              <w:spacing w:after="0" w:line="142" w:lineRule="exact"/>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ind w:left="200"/>
              <w:spacing w:after="0" w:line="142"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rPr>
              <w:t>339</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6"/>
                <w:szCs w:val="16"/>
                <w:color w:val="auto"/>
              </w:rPr>
              <w:t>4,724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ended June 30, 2022</w:t>
            </w: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 issued</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183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(211 )</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(209 )</w:t>
            </w: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 based compensation earned</w:t>
            </w:r>
          </w:p>
        </w:tc>
        <w:tc>
          <w:tcPr>
            <w:tcW w:w="10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520" w:type="dxa"/>
            <w:vAlign w:val="bottom"/>
            <w:tcBorders>
              <w:right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3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repurchase and</w:t>
            </w:r>
          </w:p>
        </w:tc>
        <w:tc>
          <w:tcPr>
            <w:tcW w:w="920" w:type="dxa"/>
            <w:vAlign w:val="bottom"/>
            <w:gridSpan w:val="4"/>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(725 )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gridSpan w:val="3"/>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(7 )</w:t>
            </w:r>
          </w:p>
        </w:tc>
        <w:tc>
          <w:tcPr>
            <w:tcW w:w="900" w:type="dxa"/>
            <w:vAlign w:val="bottom"/>
            <w:gridSpan w:val="4"/>
          </w:tcPr>
          <w:p>
            <w:pPr>
              <w:jc w:val="right"/>
              <w:ind w:right="160"/>
              <w:spacing w:after="0" w:line="161" w:lineRule="exact"/>
              <w:rPr>
                <w:sz w:val="20"/>
                <w:szCs w:val="20"/>
                <w:color w:val="auto"/>
              </w:rPr>
            </w:pPr>
            <w:r>
              <w:rPr>
                <w:rFonts w:ascii="Times New Roman" w:cs="Times New Roman" w:eastAsia="Times New Roman" w:hAnsi="Times New Roman"/>
                <w:sz w:val="16"/>
                <w:szCs w:val="16"/>
                <w:color w:val="auto"/>
              </w:rPr>
              <w:t>(4,317 )</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59"/>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jc w:val="right"/>
              <w:ind w:right="179"/>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520" w:type="dxa"/>
            <w:vAlign w:val="bottom"/>
            <w:gridSpan w:val="3"/>
          </w:tcPr>
          <w:p>
            <w:pPr>
              <w:ind w:left="10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360" w:type="dxa"/>
            <w:vAlign w:val="bottom"/>
          </w:tcPr>
          <w:p>
            <w:pPr>
              <w:ind w:left="200"/>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right"/>
              <w:ind w:right="22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00" w:type="dxa"/>
            <w:vAlign w:val="bottom"/>
            <w:gridSpan w:val="3"/>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(4,324 )</w:t>
            </w: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(see Note 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Translation loss</w:t>
            </w:r>
          </w:p>
        </w:tc>
        <w:tc>
          <w:tcPr>
            <w:tcW w:w="10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4"/>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(2,966 )</w:t>
            </w:r>
          </w:p>
        </w:tc>
        <w:tc>
          <w:tcPr>
            <w:tcW w:w="100" w:type="dxa"/>
            <w:vAlign w:val="bottom"/>
            <w:shd w:val="clear" w:color="auto" w:fill="CFF0FC"/>
          </w:tcPr>
          <w:p>
            <w:pPr>
              <w:spacing w:after="0"/>
              <w:rPr>
                <w:sz w:val="17"/>
                <w:szCs w:val="17"/>
                <w:color w:val="auto"/>
              </w:rPr>
            </w:pPr>
          </w:p>
        </w:tc>
        <w:tc>
          <w:tcPr>
            <w:tcW w:w="520" w:type="dxa"/>
            <w:vAlign w:val="bottom"/>
            <w:tcBorders>
              <w:right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3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(2,966 )</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Fair value of noncontrolling interest</w:t>
            </w:r>
          </w:p>
        </w:tc>
        <w:tc>
          <w:tcPr>
            <w:tcW w:w="100" w:type="dxa"/>
            <w:vAlign w:val="bottom"/>
          </w:tcPr>
          <w:p>
            <w:pPr>
              <w:spacing w:after="0"/>
              <w:rPr>
                <w:sz w:val="14"/>
                <w:szCs w:val="14"/>
                <w:color w:val="auto"/>
              </w:rPr>
            </w:pPr>
          </w:p>
        </w:tc>
        <w:tc>
          <w:tcPr>
            <w:tcW w:w="820" w:type="dxa"/>
            <w:vAlign w:val="bottom"/>
            <w:gridSpan w:val="3"/>
          </w:tcPr>
          <w:p>
            <w:pPr>
              <w:jc w:val="right"/>
              <w:ind w:right="2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gridSpan w:val="3"/>
          </w:tcPr>
          <w:p>
            <w:pPr>
              <w:jc w:val="right"/>
              <w:ind w:right="2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tcPr>
          <w:p>
            <w:pPr>
              <w:jc w:val="right"/>
              <w:ind w:right="240"/>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59"/>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jc w:val="right"/>
              <w:ind w:right="179"/>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520" w:type="dxa"/>
            <w:vAlign w:val="bottom"/>
            <w:gridSpan w:val="3"/>
          </w:tcPr>
          <w:p>
            <w:pPr>
              <w:ind w:left="10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360" w:type="dxa"/>
            <w:vAlign w:val="bottom"/>
          </w:tcPr>
          <w:p>
            <w:pPr>
              <w:ind w:left="200"/>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right"/>
              <w:ind w:right="140"/>
              <w:spacing w:after="0" w:line="161" w:lineRule="exact"/>
              <w:rPr>
                <w:sz w:val="20"/>
                <w:szCs w:val="20"/>
                <w:color w:val="auto"/>
              </w:rPr>
            </w:pPr>
            <w:r>
              <w:rPr>
                <w:rFonts w:ascii="Times New Roman" w:cs="Times New Roman" w:eastAsia="Times New Roman" w:hAnsi="Times New Roman"/>
                <w:sz w:val="16"/>
                <w:szCs w:val="16"/>
                <w:color w:val="auto"/>
              </w:rPr>
              <w:t>(901 )</w:t>
            </w:r>
          </w:p>
        </w:tc>
        <w:tc>
          <w:tcPr>
            <w:tcW w:w="240" w:type="dxa"/>
            <w:vAlign w:val="bottom"/>
          </w:tcPr>
          <w:p>
            <w:pPr>
              <w:spacing w:after="0"/>
              <w:rPr>
                <w:sz w:val="14"/>
                <w:szCs w:val="14"/>
                <w:color w:val="auto"/>
              </w:rPr>
            </w:pPr>
          </w:p>
        </w:tc>
        <w:tc>
          <w:tcPr>
            <w:tcW w:w="800" w:type="dxa"/>
            <w:vAlign w:val="bottom"/>
            <w:gridSpan w:val="3"/>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(901 )</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(see Note 14)</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June 30, 2022</w:t>
            </w:r>
          </w:p>
        </w:tc>
        <w:tc>
          <w:tcPr>
            <w:tcW w:w="6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34,534</w:t>
            </w:r>
          </w:p>
        </w:tc>
        <w:tc>
          <w:tcPr>
            <w:tcW w:w="2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9"/>
              </w:rPr>
              <w:t>345</w:t>
            </w:r>
          </w:p>
        </w:tc>
        <w:tc>
          <w:tcPr>
            <w:tcW w:w="24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$ 250,262</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(29,538</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(15,567</w:t>
            </w:r>
          </w:p>
        </w:tc>
        <w:tc>
          <w:tcPr>
            <w:tcW w:w="240" w:type="dxa"/>
            <w:vAlign w:val="bottom"/>
            <w:tcBorders>
              <w:bottom w:val="single" w:sz="8" w:color="CFF0FC"/>
              <w:right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right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14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4,959</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210,461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6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for the three months</w:t>
            </w:r>
          </w:p>
        </w:tc>
        <w:tc>
          <w:tcPr>
            <w:tcW w:w="100" w:type="dxa"/>
            <w:vAlign w:val="bottom"/>
          </w:tcPr>
          <w:p>
            <w:pPr>
              <w:spacing w:after="0"/>
              <w:rPr>
                <w:sz w:val="12"/>
                <w:szCs w:val="12"/>
                <w:color w:val="auto"/>
              </w:rPr>
            </w:pPr>
          </w:p>
        </w:tc>
        <w:tc>
          <w:tcPr>
            <w:tcW w:w="82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1,943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52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360" w:type="dxa"/>
            <w:vAlign w:val="bottom"/>
          </w:tcPr>
          <w:p>
            <w:pPr>
              <w:ind w:left="200"/>
              <w:spacing w:after="0" w:line="142"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223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6"/>
                <w:szCs w:val="16"/>
                <w:color w:val="auto"/>
              </w:rPr>
              <w:t>2,166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ended September 30, 2022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issued</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(65 )</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520" w:type="dxa"/>
            <w:vAlign w:val="bottom"/>
            <w:tcBorders>
              <w:right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3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based compensation earned</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repurchase and</w:t>
            </w:r>
          </w:p>
        </w:tc>
        <w:tc>
          <w:tcPr>
            <w:tcW w:w="920" w:type="dxa"/>
            <w:vAlign w:val="bottom"/>
            <w:gridSpan w:val="4"/>
            <w:shd w:val="clear" w:color="auto" w:fill="CFF0FC"/>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(256 )</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20" w:type="dxa"/>
            <w:vAlign w:val="bottom"/>
            <w:gridSpan w:val="3"/>
            <w:shd w:val="clear" w:color="auto" w:fill="CFF0FC"/>
          </w:tcPr>
          <w:p>
            <w:pPr>
              <w:jc w:val="right"/>
              <w:ind w:right="180"/>
              <w:spacing w:after="0" w:line="161" w:lineRule="exact"/>
              <w:rPr>
                <w:sz w:val="20"/>
                <w:szCs w:val="20"/>
                <w:color w:val="auto"/>
              </w:rPr>
            </w:pPr>
            <w:r>
              <w:rPr>
                <w:rFonts w:ascii="Times New Roman" w:cs="Times New Roman" w:eastAsia="Times New Roman" w:hAnsi="Times New Roman"/>
                <w:sz w:val="16"/>
                <w:szCs w:val="16"/>
                <w:color w:val="auto"/>
              </w:rPr>
              <w:t>(2 )</w:t>
            </w:r>
          </w:p>
        </w:tc>
        <w:tc>
          <w:tcPr>
            <w:tcW w:w="900" w:type="dxa"/>
            <w:vAlign w:val="bottom"/>
            <w:gridSpan w:val="4"/>
            <w:shd w:val="clear" w:color="auto" w:fill="CFF0FC"/>
          </w:tcPr>
          <w:p>
            <w:pPr>
              <w:jc w:val="right"/>
              <w:ind w:right="160"/>
              <w:spacing w:after="0" w:line="161" w:lineRule="exact"/>
              <w:rPr>
                <w:sz w:val="20"/>
                <w:szCs w:val="20"/>
                <w:color w:val="auto"/>
              </w:rPr>
            </w:pPr>
            <w:r>
              <w:rPr>
                <w:rFonts w:ascii="Times New Roman" w:cs="Times New Roman" w:eastAsia="Times New Roman" w:hAnsi="Times New Roman"/>
                <w:sz w:val="16"/>
                <w:szCs w:val="16"/>
                <w:color w:val="auto"/>
              </w:rPr>
              <w:t>(2,191 )</w:t>
            </w: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59"/>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tcBorders>
              <w:right w:val="single" w:sz="8" w:color="CFF0FC"/>
            </w:tcBorders>
            <w:gridSpan w:val="2"/>
            <w:shd w:val="clear" w:color="auto" w:fill="CFF0FC"/>
          </w:tcPr>
          <w:p>
            <w:pPr>
              <w:jc w:val="right"/>
              <w:ind w:right="179"/>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4"/>
                <w:szCs w:val="14"/>
                <w:color w:val="auto"/>
              </w:rPr>
            </w:pPr>
          </w:p>
        </w:tc>
        <w:tc>
          <w:tcPr>
            <w:tcW w:w="520" w:type="dxa"/>
            <w:vAlign w:val="bottom"/>
            <w:tcBorders>
              <w:right w:val="single" w:sz="8" w:color="CFF0FC"/>
            </w:tcBorders>
            <w:gridSpan w:val="3"/>
            <w:shd w:val="clear" w:color="auto" w:fill="CFF0FC"/>
          </w:tcPr>
          <w:p>
            <w:pPr>
              <w:ind w:left="10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ind w:left="200"/>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20"/>
              <w:spacing w:after="0" w:line="16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rPr>
              <w:t>(2,193 )</w:t>
            </w: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retirement (see Note 8)</w:t>
            </w: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loss</w:t>
            </w:r>
          </w:p>
        </w:tc>
        <w:tc>
          <w:tcPr>
            <w:tcW w:w="10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8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color w:val="auto"/>
              </w:rPr>
              <w:t>(5,890 )</w:t>
            </w:r>
          </w:p>
        </w:tc>
        <w:tc>
          <w:tcPr>
            <w:tcW w:w="100" w:type="dxa"/>
            <w:vAlign w:val="bottom"/>
          </w:tcPr>
          <w:p>
            <w:pPr>
              <w:spacing w:after="0"/>
              <w:rPr>
                <w:sz w:val="17"/>
                <w:szCs w:val="17"/>
                <w:color w:val="auto"/>
              </w:rPr>
            </w:pP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(5,890 )</w:t>
            </w: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1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tcBorders>
              <w:right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(301 )</w:t>
            </w:r>
          </w:p>
        </w:tc>
        <w:tc>
          <w:tcPr>
            <w:tcW w:w="240" w:type="dxa"/>
            <w:vAlign w:val="bottom"/>
            <w:shd w:val="clear" w:color="auto" w:fill="CFF0FC"/>
          </w:tcPr>
          <w:p>
            <w:pPr>
              <w:spacing w:after="0"/>
              <w:rPr>
                <w:sz w:val="17"/>
                <w:szCs w:val="17"/>
                <w:color w:val="auto"/>
              </w:rPr>
            </w:pPr>
          </w:p>
        </w:tc>
        <w:tc>
          <w:tcPr>
            <w:tcW w:w="8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(301 )</w:t>
            </w: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September 30, 2022</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34,330</w:t>
            </w:r>
          </w:p>
        </w:tc>
        <w:tc>
          <w:tcPr>
            <w:tcW w:w="240" w:type="dxa"/>
            <w:vAlign w:val="bottom"/>
          </w:tcPr>
          <w:p>
            <w:pPr>
              <w:spacing w:after="0"/>
              <w:rPr>
                <w:sz w:val="17"/>
                <w:szCs w:val="17"/>
                <w:color w:val="auto"/>
              </w:rPr>
            </w:pPr>
          </w:p>
        </w:tc>
        <w:tc>
          <w:tcPr>
            <w:tcW w:w="4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343</w:t>
            </w:r>
          </w:p>
        </w:tc>
        <w:tc>
          <w:tcPr>
            <w:tcW w:w="24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$ 249,248</w:t>
            </w:r>
          </w:p>
        </w:tc>
        <w:tc>
          <w:tcPr>
            <w:tcW w:w="2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(27,595 )</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color w:val="auto"/>
              </w:rPr>
              <w:t>(21,457 )</w:t>
            </w:r>
          </w:p>
        </w:tc>
        <w:tc>
          <w:tcPr>
            <w:tcW w:w="100" w:type="dxa"/>
            <w:vAlign w:val="bottom"/>
          </w:tcPr>
          <w:p>
            <w:pPr>
              <w:spacing w:after="0"/>
              <w:rPr>
                <w:sz w:val="17"/>
                <w:szCs w:val="17"/>
                <w:color w:val="auto"/>
              </w:rPr>
            </w:pP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2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205,420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-2536825</wp:posOffset>
            </wp:positionV>
            <wp:extent cx="76835"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-2536825</wp:posOffset>
            </wp:positionV>
            <wp:extent cx="76835"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-2536825</wp:posOffset>
            </wp:positionV>
            <wp:extent cx="76835"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-2536825</wp:posOffset>
            </wp:positionV>
            <wp:extent cx="6858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-2536825</wp:posOffset>
            </wp:positionV>
            <wp:extent cx="6858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-2536825</wp:posOffset>
            </wp:positionV>
            <wp:extent cx="6858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-2536825</wp:posOffset>
            </wp:positionV>
            <wp:extent cx="68580"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-2536825</wp:posOffset>
            </wp:positionV>
            <wp:extent cx="68580"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-1165225</wp:posOffset>
            </wp:positionV>
            <wp:extent cx="5040630" cy="257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40630" cy="25717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-162560</wp:posOffset>
            </wp:positionV>
            <wp:extent cx="76835"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-162560</wp:posOffset>
            </wp:positionV>
            <wp:extent cx="76835"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-162560</wp:posOffset>
            </wp:positionV>
            <wp:extent cx="76835"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-162560</wp:posOffset>
            </wp:positionV>
            <wp:extent cx="6858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-162560</wp:posOffset>
            </wp:positionV>
            <wp:extent cx="6858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-162560</wp:posOffset>
            </wp:positionV>
            <wp:extent cx="6858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-162560</wp:posOffset>
            </wp:positionV>
            <wp:extent cx="68580"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-162560</wp:posOffset>
            </wp:positionV>
            <wp:extent cx="6858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20" w:type="dxa"/>
            <w:vAlign w:val="bottom"/>
            <w:gridSpan w:val="5"/>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26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7,609</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Unrealized foreign currency loss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Fair value adjustment to earnout liabilities</w:t>
            </w:r>
          </w:p>
        </w:tc>
        <w:tc>
          <w:tcPr>
            <w:tcW w:w="400" w:type="dxa"/>
            <w:vAlign w:val="bottom"/>
          </w:tcPr>
          <w:p>
            <w:pPr>
              <w:spacing w:after="0"/>
              <w:rPr>
                <w:sz w:val="17"/>
                <w:szCs w:val="17"/>
                <w:color w:val="auto"/>
              </w:rPr>
            </w:pPr>
          </w:p>
        </w:tc>
        <w:tc>
          <w:tcPr>
            <w:tcW w:w="16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Earnout payments</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(1,007 )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(587 )</w:t>
            </w: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400" w:type="dxa"/>
            <w:vAlign w:val="bottom"/>
          </w:tcPr>
          <w:p>
            <w:pPr>
              <w:spacing w:after="0"/>
              <w:rPr>
                <w:sz w:val="17"/>
                <w:szCs w:val="17"/>
                <w:color w:val="auto"/>
              </w:rPr>
            </w:pP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(7 )</w:t>
            </w: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Bad debt expense</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 and divestitures: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400" w:type="dxa"/>
            <w:vAlign w:val="bottom"/>
          </w:tcPr>
          <w:p>
            <w:pPr>
              <w:spacing w:after="0"/>
              <w:rPr>
                <w:sz w:val="17"/>
                <w:szCs w:val="17"/>
                <w:color w:val="auto"/>
              </w:rPr>
            </w:pP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(15,772 )</w:t>
            </w: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(7,502 )</w:t>
            </w: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(4,846 )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(5,091 )</w:t>
            </w: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tcPr>
          <w:p>
            <w:pPr>
              <w:spacing w:after="0"/>
              <w:rPr>
                <w:sz w:val="17"/>
                <w:szCs w:val="17"/>
                <w:color w:val="auto"/>
              </w:rPr>
            </w:pP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(4,620 )</w:t>
            </w: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(2,172 )</w:t>
            </w: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(1,900 )</w:t>
            </w: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3,448</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17,648</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5,655</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6,567</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Income taxes payable</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(51 )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liabilities</w:t>
            </w:r>
          </w:p>
        </w:tc>
        <w:tc>
          <w:tcPr>
            <w:tcW w:w="400" w:type="dxa"/>
            <w:vAlign w:val="bottom"/>
          </w:tcPr>
          <w:p>
            <w:pPr>
              <w:spacing w:after="0"/>
              <w:rPr>
                <w:sz w:val="17"/>
                <w:szCs w:val="17"/>
                <w:color w:val="auto"/>
              </w:rPr>
            </w:pP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(2,538 )</w:t>
            </w: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(916 )</w:t>
            </w:r>
          </w:p>
        </w:tc>
      </w:tr>
      <w:tr>
        <w:trPr>
          <w:trHeight w:val="196"/>
        </w:trPr>
        <w:tc>
          <w:tcPr>
            <w:tcW w:w="73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19,696</w:t>
            </w:r>
          </w:p>
        </w:tc>
        <w:tc>
          <w:tcPr>
            <w:tcW w:w="2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(2,367 )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(1,740 )</w:t>
            </w:r>
          </w:p>
        </w:tc>
      </w:tr>
      <w:tr>
        <w:trPr>
          <w:trHeight w:val="20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proceeds from sale of assets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paid for acquisitions</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(44,900 )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00" w:type="dxa"/>
            <w:vAlign w:val="bottom"/>
          </w:tcPr>
          <w:p>
            <w:pPr>
              <w:spacing w:after="0"/>
              <w:rPr>
                <w:sz w:val="17"/>
                <w:szCs w:val="17"/>
                <w:color w:val="auto"/>
              </w:rPr>
            </w:pP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(47,260 )</w:t>
            </w: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(1,207 )</w:t>
            </w:r>
          </w:p>
        </w:tc>
      </w:tr>
      <w:tr>
        <w:trPr>
          <w:trHeight w:val="19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73,600</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32,100</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(35,900 )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(36,900 )</w:t>
            </w:r>
          </w:p>
        </w:tc>
      </w:tr>
      <w:tr>
        <w:trPr>
          <w:trHeight w:val="20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on long-term debt</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(2,294 )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(2,188 )</w:t>
            </w:r>
          </w:p>
        </w:tc>
      </w:tr>
      <w:tr>
        <w:trPr>
          <w:trHeight w:val="20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financing fees paid</w:t>
            </w:r>
          </w:p>
        </w:tc>
        <w:tc>
          <w:tcPr>
            <w:tcW w:w="400" w:type="dxa"/>
            <w:vAlign w:val="bottom"/>
          </w:tcPr>
          <w:p>
            <w:pPr>
              <w:spacing w:after="0"/>
              <w:rPr>
                <w:sz w:val="17"/>
                <w:szCs w:val="17"/>
                <w:color w:val="auto"/>
              </w:rPr>
            </w:pP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(130 )</w:t>
            </w:r>
          </w:p>
        </w:tc>
        <w:tc>
          <w:tcPr>
            <w:tcW w:w="420" w:type="dxa"/>
            <w:vAlign w:val="bottom"/>
          </w:tcPr>
          <w:p>
            <w:pPr>
              <w:spacing w:after="0"/>
              <w:rPr>
                <w:sz w:val="17"/>
                <w:szCs w:val="17"/>
                <w:color w:val="auto"/>
              </w:rPr>
            </w:pP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(444 )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(411 )</w:t>
            </w:r>
          </w:p>
        </w:tc>
      </w:tr>
      <w:tr>
        <w:trPr>
          <w:trHeight w:val="20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Earnout payments</w:t>
            </w:r>
          </w:p>
        </w:tc>
        <w:tc>
          <w:tcPr>
            <w:tcW w:w="400" w:type="dxa"/>
            <w:vAlign w:val="bottom"/>
          </w:tcPr>
          <w:p>
            <w:pPr>
              <w:spacing w:after="0"/>
              <w:rPr>
                <w:sz w:val="17"/>
                <w:szCs w:val="17"/>
                <w:color w:val="auto"/>
              </w:rPr>
            </w:pPr>
          </w:p>
        </w:tc>
        <w:tc>
          <w:tcPr>
            <w:tcW w:w="16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(823 )</w:t>
            </w: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400" w:type="dxa"/>
            <w:vAlign w:val="bottom"/>
          </w:tcPr>
          <w:p>
            <w:pPr>
              <w:spacing w:after="0"/>
              <w:rPr>
                <w:sz w:val="17"/>
                <w:szCs w:val="17"/>
                <w:color w:val="auto"/>
              </w:rPr>
            </w:pP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(1,201 )</w:t>
            </w: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(107 )</w:t>
            </w: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repurchase</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(6,558 )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(3,745 )</w:t>
            </w:r>
          </w:p>
        </w:tc>
      </w:tr>
      <w:tr>
        <w:trPr>
          <w:trHeight w:val="20"/>
        </w:trPr>
        <w:tc>
          <w:tcPr>
            <w:tcW w:w="7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38,242</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(11,835 )</w:t>
            </w:r>
          </w:p>
        </w:tc>
      </w:tr>
      <w:tr>
        <w:trPr>
          <w:trHeight w:val="19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(6,459</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(3,345 )</w:t>
            </w:r>
          </w:p>
        </w:tc>
      </w:tr>
      <w:tr>
        <w:trPr>
          <w:trHeight w:val="20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31,995</w:t>
            </w:r>
          </w:p>
        </w:tc>
        <w:tc>
          <w:tcPr>
            <w:tcW w:w="2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36,214</w:t>
            </w:r>
          </w:p>
        </w:tc>
        <w:tc>
          <w:tcPr>
            <w:tcW w:w="26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34,466</w:t>
            </w:r>
          </w:p>
        </w:tc>
        <w:tc>
          <w:tcPr>
            <w:tcW w:w="10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(received) during the period for:</w:t>
            </w:r>
          </w:p>
        </w:tc>
        <w:tc>
          <w:tcPr>
            <w:tcW w:w="4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26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4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-3230880</wp:posOffset>
            </wp:positionV>
            <wp:extent cx="6858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-2708275</wp:posOffset>
            </wp:positionV>
            <wp:extent cx="6858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-1148080</wp:posOffset>
            </wp:positionV>
            <wp:extent cx="6858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-873760</wp:posOffset>
            </wp:positionV>
            <wp:extent cx="6858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-607695</wp:posOffset>
            </wp:positionV>
            <wp:extent cx="6858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-316230</wp:posOffset>
            </wp:positionV>
            <wp:extent cx="68580"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137160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ind w:left="3452"/>
        <w:spacing w:after="0"/>
        <w:rPr>
          <w:sz w:val="20"/>
          <w:szCs w:val="20"/>
          <w:color w:val="auto"/>
        </w:rPr>
      </w:pPr>
      <w:r>
        <w:rPr>
          <w:rFonts w:ascii="Times New Roman" w:cs="Times New Roman" w:eastAsia="Times New Roman" w:hAnsi="Times New Roman"/>
          <w:sz w:val="18"/>
          <w:szCs w:val="18"/>
          <w:u w:val="single" w:color="auto"/>
          <w:color w:val="auto"/>
        </w:rPr>
        <w:t>CECO ENVIRONMENTAL CORP. AND SUBSIDIARIES</w:t>
      </w:r>
    </w:p>
    <w:p>
      <w:pPr>
        <w:spacing w:after="0" w:line="25" w:lineRule="exact"/>
        <w:rPr>
          <w:sz w:val="20"/>
          <w:szCs w:val="20"/>
          <w:color w:val="auto"/>
        </w:rPr>
      </w:pPr>
    </w:p>
    <w:p>
      <w:pPr>
        <w:ind w:left="2812"/>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w:t>
      </w:r>
    </w:p>
    <w:p>
      <w:pPr>
        <w:jc w:val="center"/>
        <w:ind w:right="-31"/>
        <w:spacing w:after="0"/>
        <w:rPr>
          <w:sz w:val="20"/>
          <w:szCs w:val="20"/>
          <w:color w:val="auto"/>
        </w:rPr>
      </w:pPr>
      <w:r>
        <w:rPr>
          <w:rFonts w:ascii="Times New Roman" w:cs="Times New Roman" w:eastAsia="Times New Roman" w:hAnsi="Times New Roman"/>
          <w:sz w:val="18"/>
          <w:szCs w:val="18"/>
          <w:u w:val="single" w:color="auto"/>
          <w:color w:val="auto"/>
        </w:rPr>
        <w:t>(unaudited)</w:t>
      </w:r>
    </w:p>
    <w:p>
      <w:pPr>
        <w:spacing w:after="0" w:line="188" w:lineRule="exact"/>
        <w:rPr>
          <w:sz w:val="20"/>
          <w:szCs w:val="20"/>
          <w:color w:val="auto"/>
        </w:rPr>
      </w:pPr>
    </w:p>
    <w:p>
      <w:pPr>
        <w:ind w:left="352" w:hanging="352"/>
        <w:spacing w:after="0"/>
        <w:tabs>
          <w:tab w:leader="none" w:pos="3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Reporting for Consolidated Financial Statements</w:t>
      </w:r>
    </w:p>
    <w:p>
      <w:pPr>
        <w:spacing w:after="0" w:line="229" w:lineRule="exact"/>
        <w:rPr>
          <w:sz w:val="20"/>
          <w:szCs w:val="20"/>
          <w:color w:val="auto"/>
        </w:rPr>
      </w:pPr>
    </w:p>
    <w:p>
      <w:pPr>
        <w:ind w:left="512" w:right="80"/>
        <w:spacing w:after="0" w:line="24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September 30, 2022 and the results of operations, cash flows and shareholders’ equity for the three months and nine months ended September 30, 2022 and 2021. The results of operations for the three months and nine months ended September 30, 2022 are not necessarily indicative of the results to be expected for the full year. The balance sheet as of December 31, 2021 has been derived from the audited consolidated financial statements included in the Company’s Annual Report on Form 10-K for the year ended December 31, 2021 as filed with the SEC on March 14, 2022 (the “Form 10-K”).</w:t>
      </w:r>
    </w:p>
    <w:p>
      <w:pPr>
        <w:spacing w:after="0" w:line="203" w:lineRule="exact"/>
        <w:rPr>
          <w:sz w:val="20"/>
          <w:szCs w:val="20"/>
          <w:color w:val="auto"/>
        </w:rPr>
      </w:pPr>
    </w:p>
    <w:p>
      <w:pPr>
        <w:jc w:val="both"/>
        <w:ind w:left="512" w:right="60"/>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0" w:lineRule="exact"/>
        <w:rPr>
          <w:sz w:val="20"/>
          <w:szCs w:val="20"/>
          <w:color w:val="auto"/>
        </w:rPr>
      </w:pPr>
    </w:p>
    <w:p>
      <w:pPr>
        <w:ind w:left="512" w:right="580"/>
        <w:spacing w:after="0" w:line="266" w:lineRule="auto"/>
        <w:rPr>
          <w:sz w:val="20"/>
          <w:szCs w:val="20"/>
          <w:color w:val="auto"/>
        </w:rPr>
      </w:pPr>
      <w:r>
        <w:rPr>
          <w:rFonts w:ascii="Times New Roman" w:cs="Times New Roman" w:eastAsia="Times New Roman" w:hAnsi="Times New Roman"/>
          <w:sz w:val="18"/>
          <w:szCs w:val="18"/>
          <w:color w:val="auto"/>
        </w:rPr>
        <w:t>These financial statements and accompanying notes should be read in conjunction with the audited financial statements and the notes thereto included in the Form 10-K.</w:t>
      </w:r>
    </w:p>
    <w:p>
      <w:pPr>
        <w:spacing w:after="0" w:line="16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Unless otherwise indicated, all balances within tables are in thousands, except per share amounts.</w:t>
      </w:r>
    </w:p>
    <w:p>
      <w:pPr>
        <w:spacing w:after="0" w:line="22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214" w:lineRule="exact"/>
        <w:rPr>
          <w:sz w:val="20"/>
          <w:szCs w:val="20"/>
          <w:color w:val="auto"/>
        </w:rPr>
      </w:pPr>
    </w:p>
    <w:p>
      <w:pPr>
        <w:ind w:left="512" w:right="60"/>
        <w:spacing w:after="0" w:line="250" w:lineRule="auto"/>
        <w:rPr>
          <w:sz w:val="20"/>
          <w:szCs w:val="20"/>
          <w:color w:val="auto"/>
        </w:rPr>
      </w:pPr>
      <w:r>
        <w:rPr>
          <w:rFonts w:ascii="Times New Roman" w:cs="Times New Roman" w:eastAsia="Times New Roman" w:hAnsi="Times New Roman"/>
          <w:sz w:val="18"/>
          <w:szCs w:val="18"/>
          <w:color w:val="auto"/>
        </w:rPr>
        <w:t>A novel strain of coronavirus (“COVID-19”) surfaced in late 2019 and has spread around the world, including to the United States. In March 2020, the World Health Organization characterized COVID-19 as a pandemic. As of September 30, 2022, the virus, including new emerging variants, continues to spread and has had a significant impact on worldwide economic activity, macroeconomic conditions, and the end markets of the Company's business.</w:t>
      </w:r>
    </w:p>
    <w:p>
      <w:pPr>
        <w:spacing w:after="0" w:line="177" w:lineRule="exact"/>
        <w:rPr>
          <w:sz w:val="20"/>
          <w:szCs w:val="20"/>
          <w:color w:val="auto"/>
        </w:rPr>
      </w:pPr>
    </w:p>
    <w:p>
      <w:pPr>
        <w:ind w:left="512" w:right="80"/>
        <w:spacing w:after="0" w:line="245" w:lineRule="auto"/>
        <w:rPr>
          <w:sz w:val="20"/>
          <w:szCs w:val="20"/>
          <w:color w:val="auto"/>
        </w:rPr>
      </w:pPr>
      <w:r>
        <w:rPr>
          <w:rFonts w:ascii="Times New Roman" w:cs="Times New Roman" w:eastAsia="Times New Roman" w:hAnsi="Times New Roman"/>
          <w:sz w:val="18"/>
          <w:szCs w:val="18"/>
          <w:color w:val="auto"/>
        </w:rPr>
        <w:t>The outbreak and a continued spread of COVID-19 has resulted in a substantial curtailment of business activities worldwide and has caused weakened economic conditions, both in the United States and abroad. Although vaccines are available in various countries where the Company operates, it is possible the COVID-19 pandemic may continue to have a negative impact on the Company's ongoing operations and the end markets in which it serves. However, the full impact of the COVID-19 pandemic continues to evolve as of the date of this filing, and as such, it is uncertain as to the full magnitude or lasting impact that the pandemic will have on the Company’s financial condition, liquidity, and future results of operations. Management is actively monitoring the impact of the pandemic on its financial condition, liquidity, operations, suppliers, industry, and workforce.</w:t>
      </w:r>
    </w:p>
    <w:p>
      <w:pPr>
        <w:spacing w:after="0" w:line="177" w:lineRule="exact"/>
        <w:rPr>
          <w:sz w:val="20"/>
          <w:szCs w:val="20"/>
          <w:color w:val="auto"/>
        </w:rPr>
      </w:pPr>
    </w:p>
    <w:p>
      <w:pPr>
        <w:ind w:left="352" w:hanging="352"/>
        <w:spacing w:after="0"/>
        <w:tabs>
          <w:tab w:leader="none" w:pos="35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Financial Accounting Pronouncements</w:t>
      </w:r>
    </w:p>
    <w:p>
      <w:pPr>
        <w:spacing w:after="0" w:line="225"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Accounting Standards Adopted in Fiscal 2022</w:t>
      </w:r>
    </w:p>
    <w:p>
      <w:pPr>
        <w:spacing w:after="0" w:line="216"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Accounting Standards to be Adopted</w:t>
      </w:r>
    </w:p>
    <w:p>
      <w:pPr>
        <w:spacing w:after="0" w:line="229" w:lineRule="exact"/>
        <w:rPr>
          <w:sz w:val="20"/>
          <w:szCs w:val="20"/>
          <w:color w:val="auto"/>
        </w:rPr>
      </w:pPr>
    </w:p>
    <w:p>
      <w:pPr>
        <w:ind w:left="512"/>
        <w:spacing w:after="0" w:line="250"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which addresses how an acquirer should recognize and measure revenue contracts acquired in a business combination. This ASU is effective for fiscal years beginning after December 15, 2022, including interim periods within those fiscal years. The Company is currently evaluating the impact the adoption of the standard will have on the Company’s financial position and/or results of operations.</w:t>
      </w:r>
    </w:p>
    <w:p>
      <w:pPr>
        <w:spacing w:after="0" w:line="17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24" w:right="359" w:bottom="1440" w:gutter="0" w:footer="0" w:header="0"/>
        </w:sectPr>
      </w:pPr>
    </w:p>
    <w:bookmarkStart w:id="9" w:name="page10"/>
    <w:bookmarkEnd w:id="9"/>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Accounts Receivable</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8"/>
                <w:szCs w:val="18"/>
                <w:color w:val="auto"/>
              </w:rPr>
            </w:pP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6"/>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Contract receivables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70,580</w:t>
            </w: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65,932</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12,537</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6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(4,005 )</w:t>
            </w: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(3,478 )</w:t>
            </w:r>
          </w:p>
        </w:tc>
      </w:tr>
      <w:tr>
        <w:trPr>
          <w:trHeight w:val="196"/>
        </w:trPr>
        <w:tc>
          <w:tcPr>
            <w:tcW w:w="7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89,959</w:t>
            </w:r>
          </w:p>
        </w:tc>
        <w:tc>
          <w:tcPr>
            <w:tcW w:w="28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74,991</w:t>
            </w:r>
          </w:p>
        </w:tc>
        <w:tc>
          <w:tcPr>
            <w:tcW w:w="100" w:type="dxa"/>
            <w:vAlign w:val="bottom"/>
            <w:tcBorders>
              <w:top w:val="single" w:sz="8" w:color="CFF0FC"/>
            </w:tcBorders>
          </w:tcPr>
          <w:p>
            <w:pPr>
              <w:spacing w:after="0"/>
              <w:rPr>
                <w:sz w:val="17"/>
                <w:szCs w:val="17"/>
                <w:color w:val="auto"/>
              </w:rPr>
            </w:pP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-162560</wp:posOffset>
            </wp:positionV>
            <wp:extent cx="6858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78" w:lineRule="exact"/>
        <w:rPr>
          <w:sz w:val="20"/>
          <w:szCs w:val="20"/>
          <w:color w:val="auto"/>
        </w:rPr>
      </w:pPr>
    </w:p>
    <w:p>
      <w:pPr>
        <w:ind w:left="520" w:right="200"/>
        <w:spacing w:after="0" w:line="250" w:lineRule="auto"/>
        <w:rPr>
          <w:sz w:val="20"/>
          <w:szCs w:val="20"/>
          <w:color w:val="auto"/>
        </w:rPr>
      </w:pPr>
      <w:r>
        <w:rPr>
          <w:rFonts w:ascii="Times New Roman" w:cs="Times New Roman" w:eastAsia="Times New Roman" w:hAnsi="Times New Roman"/>
          <w:sz w:val="18"/>
          <w:szCs w:val="18"/>
          <w:color w:val="auto"/>
        </w:rPr>
        <w:t>Balances billed but not paid by customers under retainage provisions in contracts within the Condensed Consolidated Balance Sheets amounted to approximately $1.4 million and $1.8 million at September 30, 2022 and December 31, 2021, respectively. Retainage receivables on contracts in progress are generally collected within a year or two subsequent to contract completion, and are recorded in either accounts receivable, net or deferred charges and other assets within the Condensed Consolidated Balance Sheets depending on timing of expected collection.</w:t>
      </w:r>
    </w:p>
    <w:p>
      <w:pPr>
        <w:spacing w:after="0" w:line="177"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Bad debt expense was approximately $0.4 million for the three months ended September 30, 2022 and 2021, and $0.8 million and $0.5 million for the nine months ended September 30, 2022 and 2021, respectively.</w:t>
      </w:r>
    </w:p>
    <w:p>
      <w:pPr>
        <w:spacing w:after="0" w:line="14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Inventories</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8"/>
                <w:szCs w:val="18"/>
                <w:color w:val="auto"/>
              </w:rPr>
            </w:pPr>
          </w:p>
        </w:tc>
        <w:tc>
          <w:tcPr>
            <w:tcW w:w="19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18,125</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13,405</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5,147</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Obsolescence allowance</w:t>
            </w:r>
          </w:p>
        </w:tc>
        <w:tc>
          <w:tcPr>
            <w:tcW w:w="160" w:type="dxa"/>
            <w:vAlign w:val="bottom"/>
          </w:tcPr>
          <w:p>
            <w:pPr>
              <w:spacing w:after="0"/>
              <w:rPr>
                <w:sz w:val="17"/>
                <w:szCs w:val="17"/>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(2,818 )</w:t>
            </w:r>
          </w:p>
        </w:tc>
        <w:tc>
          <w:tcPr>
            <w:tcW w:w="180" w:type="dxa"/>
            <w:vAlign w:val="bottom"/>
          </w:tcPr>
          <w:p>
            <w:pPr>
              <w:spacing w:after="0"/>
              <w:rPr>
                <w:sz w:val="17"/>
                <w:szCs w:val="17"/>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(2,174 )</w:t>
            </w:r>
          </w:p>
        </w:tc>
      </w:tr>
      <w:tr>
        <w:trPr>
          <w:trHeight w:val="236"/>
        </w:trPr>
        <w:tc>
          <w:tcPr>
            <w:tcW w:w="7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inventories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24,740</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520"/>
        <w:spacing w:after="0" w:line="312" w:lineRule="auto"/>
        <w:rPr>
          <w:sz w:val="20"/>
          <w:szCs w:val="20"/>
          <w:color w:val="auto"/>
        </w:rPr>
      </w:pPr>
      <w:r>
        <w:rPr>
          <w:rFonts w:ascii="Times New Roman" w:cs="Times New Roman" w:eastAsia="Times New Roman" w:hAnsi="Times New Roman"/>
          <w:sz w:val="17"/>
          <w:szCs w:val="17"/>
          <w:color w:val="auto"/>
        </w:rPr>
        <w:t>Amounts credited to the allowance for obsolete inventory and charged to cost of sales amounted to zero and $0.2 million for the three months ended September 30, 2022 and 2021, respectively, and $0.1 million and $0.4 million for the nine months ended September 30, 2022 and 2021, respectively.</w:t>
      </w:r>
    </w:p>
    <w:p>
      <w:pPr>
        <w:spacing w:after="0" w:line="122"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Goodwill activity for the nine months ended September 30, 2022 and the year ended December 31, 2021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8"/>
                <w:szCs w:val="18"/>
                <w:color w:val="auto"/>
              </w:rPr>
            </w:pPr>
          </w:p>
        </w:tc>
        <w:tc>
          <w:tcPr>
            <w:tcW w:w="336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2022</w:t>
            </w:r>
          </w:p>
        </w:tc>
        <w:tc>
          <w:tcPr>
            <w:tcW w:w="200" w:type="dxa"/>
            <w:vAlign w:val="bottom"/>
          </w:tcPr>
          <w:p>
            <w:pPr>
              <w:spacing w:after="0"/>
              <w:rPr>
                <w:sz w:val="18"/>
                <w:szCs w:val="18"/>
                <w:color w:val="auto"/>
              </w:rPr>
            </w:pPr>
          </w:p>
        </w:tc>
        <w:tc>
          <w:tcPr>
            <w:tcW w:w="266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r>
      <w:tr>
        <w:trPr>
          <w:trHeight w:val="196"/>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Goodwill / Tradename</w:t>
            </w: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Tradename</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Tradename</w:t>
            </w:r>
          </w:p>
        </w:tc>
        <w:tc>
          <w:tcPr>
            <w:tcW w:w="100" w:type="dxa"/>
            <w:vAlign w:val="bottom"/>
          </w:tcPr>
          <w:p>
            <w:pPr>
              <w:spacing w:after="0"/>
              <w:rPr>
                <w:sz w:val="17"/>
                <w:szCs w:val="17"/>
                <w:color w:val="auto"/>
              </w:rPr>
            </w:pPr>
          </w:p>
        </w:tc>
      </w:tr>
      <w:tr>
        <w:trPr>
          <w:trHeight w:val="19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161,183</w:t>
            </w: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9,629</w:t>
            </w: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161,820</w:t>
            </w: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12,937</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Transfers to finite life classification</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(3,150 )</w:t>
            </w:r>
          </w:p>
        </w:tc>
      </w:tr>
      <w:tr>
        <w:trPr>
          <w:trHeight w:val="203"/>
        </w:trPr>
        <w:tc>
          <w:tcPr>
            <w:tcW w:w="4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(3,201 )</w:t>
            </w:r>
          </w:p>
        </w:tc>
        <w:tc>
          <w:tcPr>
            <w:tcW w:w="26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(283 )</w:t>
            </w:r>
          </w:p>
        </w:tc>
        <w:tc>
          <w:tcPr>
            <w:tcW w:w="2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(637 )</w:t>
            </w:r>
          </w:p>
        </w:tc>
        <w:tc>
          <w:tcPr>
            <w:tcW w:w="18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(158 )</w:t>
            </w:r>
          </w:p>
        </w:tc>
      </w:tr>
      <w:tr>
        <w:trPr>
          <w:trHeight w:val="236"/>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182,365</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9,346</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161,183</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-25400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Finite life intangible assets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Pr>
          <w:p>
            <w:pPr>
              <w:spacing w:after="0"/>
              <w:rPr>
                <w:sz w:val="18"/>
                <w:szCs w:val="18"/>
                <w:color w:val="auto"/>
              </w:rPr>
            </w:pPr>
          </w:p>
        </w:tc>
        <w:tc>
          <w:tcPr>
            <w:tcW w:w="2740" w:type="dxa"/>
            <w:vAlign w:val="bottom"/>
            <w:gridSpan w:val="5"/>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80" w:type="dxa"/>
            <w:vAlign w:val="bottom"/>
          </w:tcPr>
          <w:p>
            <w:pPr>
              <w:spacing w:after="0"/>
              <w:rPr>
                <w:sz w:val="18"/>
                <w:szCs w:val="18"/>
                <w:color w:val="auto"/>
              </w:rPr>
            </w:pPr>
          </w:p>
        </w:tc>
        <w:tc>
          <w:tcPr>
            <w:tcW w:w="256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6"/>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 – finite life</w:t>
            </w: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Accum. Amort.</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Accum. Amort.</w:t>
            </w:r>
          </w:p>
        </w:tc>
        <w:tc>
          <w:tcPr>
            <w:tcW w:w="100" w:type="dxa"/>
            <w:vAlign w:val="bottom"/>
          </w:tcPr>
          <w:p>
            <w:pPr>
              <w:spacing w:after="0"/>
              <w:rPr>
                <w:sz w:val="17"/>
                <w:szCs w:val="17"/>
                <w:color w:val="auto"/>
              </w:rPr>
            </w:pPr>
          </w:p>
        </w:tc>
      </w:tr>
      <w:tr>
        <w:trPr>
          <w:trHeight w:val="196"/>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14,457</w:t>
            </w:r>
          </w:p>
        </w:tc>
        <w:tc>
          <w:tcPr>
            <w:tcW w:w="2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14,702</w:t>
            </w:r>
          </w:p>
        </w:tc>
        <w:tc>
          <w:tcPr>
            <w:tcW w:w="240" w:type="dxa"/>
            <w:vAlign w:val="bottom"/>
          </w:tcPr>
          <w:p>
            <w:pPr>
              <w:spacing w:after="0"/>
              <w:rPr>
                <w:sz w:val="17"/>
                <w:szCs w:val="17"/>
                <w:color w:val="auto"/>
              </w:rPr>
            </w:pPr>
          </w:p>
        </w:tc>
        <w:tc>
          <w:tcPr>
            <w:tcW w:w="2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14,457</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13,704</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Customer lists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88,043</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57,091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73,199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53,970</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Tradename</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(3,620 )</w:t>
            </w: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(1,141 )</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(2,149 )</w:t>
            </w: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(1,025 )</w:t>
            </w:r>
          </w:p>
        </w:tc>
      </w:tr>
      <w:tr>
        <w:trPr>
          <w:trHeight w:val="196"/>
        </w:trPr>
        <w:tc>
          <w:tcPr>
            <w:tcW w:w="53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Total intangible assets – finite life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110,202</w:t>
            </w: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74,107</w:t>
            </w: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95,235</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69,394</w:t>
            </w:r>
          </w:p>
        </w:tc>
        <w:tc>
          <w:tcPr>
            <w:tcW w:w="100" w:type="dxa"/>
            <w:vAlign w:val="bottom"/>
            <w:tcBorders>
              <w:top w:val="single" w:sz="8" w:color="CFF0FC"/>
            </w:tcBorders>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-161925</wp:posOffset>
            </wp:positionV>
            <wp:extent cx="77470" cy="162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-161925</wp:posOffset>
            </wp:positionV>
            <wp:extent cx="68580"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-161925</wp:posOffset>
            </wp:positionV>
            <wp:extent cx="6858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color w:val="auto"/>
        </w:rPr>
        <w:t>Finite life intangible asset activity for the nine months ended September 30, 2022 and 2021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20" w:type="dxa"/>
            <w:vAlign w:val="bottom"/>
            <w:gridSpan w:val="5"/>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 finite life, net at beginning of period</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25,841</w:t>
            </w:r>
          </w:p>
        </w:tc>
        <w:tc>
          <w:tcPr>
            <w:tcW w:w="26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29,637</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expense</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(4,939 )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(5,029 )</w:t>
            </w:r>
          </w:p>
        </w:tc>
      </w:tr>
      <w:tr>
        <w:trPr>
          <w:trHeight w:val="20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Transfers from indefinite life classification</w:t>
            </w:r>
          </w:p>
        </w:tc>
        <w:tc>
          <w:tcPr>
            <w:tcW w:w="400" w:type="dxa"/>
            <w:vAlign w:val="bottom"/>
          </w:tcPr>
          <w:p>
            <w:pPr>
              <w:spacing w:after="0"/>
              <w:rPr>
                <w:sz w:val="17"/>
                <w:szCs w:val="17"/>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Acquisition</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16,438</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40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(1,245 )</w:t>
            </w:r>
          </w:p>
        </w:tc>
        <w:tc>
          <w:tcPr>
            <w:tcW w:w="420" w:type="dxa"/>
            <w:vAlign w:val="bottom"/>
          </w:tcPr>
          <w:p>
            <w:pPr>
              <w:spacing w:after="0"/>
              <w:rPr>
                <w:sz w:val="17"/>
                <w:szCs w:val="17"/>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(100 )</w:t>
            </w:r>
          </w:p>
        </w:tc>
      </w:tr>
      <w:tr>
        <w:trPr>
          <w:trHeight w:val="23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 – finite life, net at end of period</w:t>
            </w:r>
          </w:p>
        </w:tc>
        <w:tc>
          <w:tcPr>
            <w:tcW w:w="40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36,095</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27,658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-25400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60"/>
        <w:spacing w:after="0" w:line="250" w:lineRule="auto"/>
        <w:rPr>
          <w:sz w:val="20"/>
          <w:szCs w:val="20"/>
          <w:color w:val="auto"/>
        </w:rPr>
      </w:pPr>
      <w:r>
        <w:rPr>
          <w:rFonts w:ascii="Times New Roman" w:cs="Times New Roman" w:eastAsia="Times New Roman" w:hAnsi="Times New Roman"/>
          <w:sz w:val="18"/>
          <w:szCs w:val="18"/>
          <w:color w:val="auto"/>
        </w:rPr>
        <w:t>Amortization expense of finite life intangible assets was $2.0 million and $1.7 million for the three months ended September 30, 2022 and 2021, respectively, and $4.9 million and $5.0 million for the nine months ended September 30, 2022 and 2021, respectively. Amortization over the next five years for finite life intangibles is expected to be $1.9 million for the remainder of 2022, $6.6 million in 2023, $5.9 million in 2024, $4.8 million in 2025, and $3.5 million in 2026.</w:t>
      </w:r>
    </w:p>
    <w:p>
      <w:pPr>
        <w:spacing w:after="0" w:line="177" w:lineRule="exact"/>
        <w:rPr>
          <w:sz w:val="20"/>
          <w:szCs w:val="20"/>
          <w:color w:val="auto"/>
        </w:rPr>
      </w:pPr>
    </w:p>
    <w:p>
      <w:pPr>
        <w:ind w:left="520" w:right="40"/>
        <w:spacing w:after="0" w:line="245" w:lineRule="auto"/>
        <w:rPr>
          <w:sz w:val="20"/>
          <w:szCs w:val="20"/>
          <w:color w:val="auto"/>
        </w:rPr>
      </w:pPr>
      <w:r>
        <w:rPr>
          <w:rFonts w:ascii="Times New Roman" w:cs="Times New Roman" w:eastAsia="Times New Roman" w:hAnsi="Times New Roman"/>
          <w:sz w:val="18"/>
          <w:szCs w:val="18"/>
          <w:color w:val="auto"/>
        </w:rPr>
        <w:t>The Company completes an annual (or more often if circumstances require) goodwill and indefinite life intangible asset impairment assessment on October 1. As a part of its impairment assessment, the Company first qualitatively assesses whether current events or changes in circumstances lead to a determination that it is more likely than not (defined as a likelihood of more than 50 percent) that the fair value of a reporting unit or indefinite life intangible asset is less than its carrying amount. If there is a qualitative determination that the fair value is more likely than not greater than the carrying value, the Company does not need to quantitatively test for impairment. If this qualitative assessment indicates a more likely than not potential that the asset may be impaired, the estimated fair value is calculated. If the estimated fair value is less than carrying value, an impairment charge is recorded.</w:t>
      </w:r>
    </w:p>
    <w:p>
      <w:pPr>
        <w:spacing w:after="0" w:line="181" w:lineRule="exact"/>
        <w:rPr>
          <w:sz w:val="20"/>
          <w:szCs w:val="20"/>
          <w:color w:val="auto"/>
        </w:rPr>
      </w:pPr>
    </w:p>
    <w:p>
      <w:pPr>
        <w:ind w:left="520" w:right="120"/>
        <w:spacing w:after="0" w:line="250" w:lineRule="auto"/>
        <w:rPr>
          <w:sz w:val="20"/>
          <w:szCs w:val="20"/>
          <w:color w:val="auto"/>
        </w:rPr>
      </w:pPr>
      <w:r>
        <w:rPr>
          <w:rFonts w:ascii="Times New Roman" w:cs="Times New Roman" w:eastAsia="Times New Roman" w:hAnsi="Times New Roman"/>
          <w:sz w:val="18"/>
          <w:szCs w:val="18"/>
          <w:color w:val="auto"/>
        </w:rPr>
        <w:t>As of September 30, 2022, the Company reviewed its previous forecasts and assumptions based on its current projections, which are subject to various risks and uncertainties, including projected revenue, projected operational profit, terminal growth rates, and the cost of capital. The Company did not identify any triggering events during the three month period ended September 30, 2022 that would require an interim impairment assessment of goodwill or intangible assets.</w:t>
      </w:r>
    </w:p>
    <w:p>
      <w:pPr>
        <w:spacing w:after="0" w:line="177"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The Company’s assumptions about future conditions important to its assessment of potential impairment of its goodwill and indefinite life intangible assets, including the impacts of the COVID-19 pandemic, are subject to uncertainty, and the Company will continue to monitor these conditions in future periods as new information becomes available, and will update its analysis accordingly.</w:t>
      </w:r>
    </w:p>
    <w:p>
      <w:pPr>
        <w:spacing w:after="0" w:line="16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tab/>
        <w:t>Accounts Payable and Accrued Expenses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r>
      <w:tr>
        <w:trPr>
          <w:trHeight w:val="202"/>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accounts payable, including amounts due to subcontractors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65,284</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56,242</w:t>
            </w:r>
          </w:p>
        </w:tc>
        <w:tc>
          <w:tcPr>
            <w:tcW w:w="100" w:type="dxa"/>
            <w:vAlign w:val="bottom"/>
            <w:shd w:val="clear" w:color="auto" w:fill="CFF0FC"/>
          </w:tcPr>
          <w:p>
            <w:pPr>
              <w:spacing w:after="0"/>
              <w:rPr>
                <w:sz w:val="17"/>
                <w:szCs w:val="17"/>
                <w:color w:val="auto"/>
              </w:rPr>
            </w:pPr>
          </w:p>
        </w:tc>
      </w:tr>
      <w:tr>
        <w:trPr>
          <w:trHeight w:val="20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related benefits</w:t>
            </w: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6,065</w:t>
            </w:r>
          </w:p>
        </w:tc>
        <w:tc>
          <w:tcPr>
            <w:tcW w:w="100" w:type="dxa"/>
            <w:vAlign w:val="bottom"/>
          </w:tcPr>
          <w:p>
            <w:pPr>
              <w:spacing w:after="0"/>
              <w:rPr>
                <w:sz w:val="17"/>
                <w:szCs w:val="17"/>
                <w:color w:val="auto"/>
              </w:rPr>
            </w:pPr>
          </w:p>
        </w:tc>
      </w:tr>
      <w:tr>
        <w:trPr>
          <w:trHeight w:val="203"/>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warranty</w:t>
            </w: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100" w:type="dxa"/>
            <w:vAlign w:val="bottom"/>
            <w:shd w:val="clear" w:color="auto" w:fill="CFF0FC"/>
          </w:tcPr>
          <w:p>
            <w:pPr>
              <w:spacing w:after="0"/>
              <w:rPr>
                <w:sz w:val="17"/>
                <w:szCs w:val="17"/>
                <w:color w:val="auto"/>
              </w:rPr>
            </w:pPr>
          </w:p>
        </w:tc>
      </w:tr>
      <w:tr>
        <w:trPr>
          <w:trHeight w:val="20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00" w:type="dxa"/>
            <w:vAlign w:val="bottom"/>
          </w:tcPr>
          <w:p>
            <w:pPr>
              <w:spacing w:after="0"/>
              <w:rPr>
                <w:sz w:val="17"/>
                <w:szCs w:val="17"/>
                <w:color w:val="auto"/>
              </w:rPr>
            </w:pPr>
          </w:p>
        </w:tc>
      </w:tr>
      <w:tr>
        <w:trPr>
          <w:trHeight w:val="203"/>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Short-term lease liability</w:t>
            </w: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shd w:val="clear" w:color="auto" w:fill="CFF0FC"/>
          </w:tcPr>
          <w:p>
            <w:pPr>
              <w:spacing w:after="0"/>
              <w:rPr>
                <w:sz w:val="17"/>
                <w:szCs w:val="17"/>
                <w:color w:val="auto"/>
              </w:rPr>
            </w:pPr>
          </w:p>
        </w:tc>
      </w:tr>
      <w:tr>
        <w:trPr>
          <w:trHeight w:val="20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13,839</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11,881</w:t>
            </w:r>
          </w:p>
        </w:tc>
        <w:tc>
          <w:tcPr>
            <w:tcW w:w="100" w:type="dxa"/>
            <w:vAlign w:val="bottom"/>
          </w:tcPr>
          <w:p>
            <w:pPr>
              <w:spacing w:after="0"/>
              <w:rPr>
                <w:sz w:val="17"/>
                <w:szCs w:val="17"/>
                <w:color w:val="auto"/>
              </w:rPr>
            </w:pPr>
          </w:p>
        </w:tc>
      </w:tr>
      <w:tr>
        <w:trPr>
          <w:trHeight w:val="236"/>
        </w:trPr>
        <w:tc>
          <w:tcPr>
            <w:tcW w:w="7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accounts payable and accrued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100,354</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84,081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 w:name="page12"/>
    <w:bookmarkEnd w:id="11"/>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Senior Debt</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8"/>
                <w:szCs w:val="18"/>
                <w:color w:val="auto"/>
              </w:rPr>
            </w:pP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55"/>
        </w:trPr>
        <w:tc>
          <w:tcPr>
            <w:tcW w:w="726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Outstanding borrowings under the Credit Facility (defined below).</w:t>
            </w:r>
          </w:p>
        </w:tc>
        <w:tc>
          <w:tcPr>
            <w:tcW w:w="160" w:type="dxa"/>
            <w:vAlign w:val="bottom"/>
            <w:tcBorders>
              <w:top w:val="single" w:sz="8" w:color="auto"/>
            </w:tcBorders>
            <w:shd w:val="clear" w:color="auto" w:fill="CFF0FC"/>
          </w:tcPr>
          <w:p>
            <w:pPr>
              <w:spacing w:after="0"/>
              <w:rPr>
                <w:sz w:val="13"/>
                <w:szCs w:val="13"/>
                <w:color w:val="auto"/>
              </w:rPr>
            </w:pPr>
          </w:p>
        </w:tc>
        <w:tc>
          <w:tcPr>
            <w:tcW w:w="164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6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2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Term loan payable in quarterly principal installments of $550 through September 2023, and $825 through</w:t>
            </w: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2025 and $1,100 thereafter with balance due upon maturity in September 2026</w:t>
            </w: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Term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41,859</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43,511</w:t>
            </w:r>
          </w:p>
        </w:tc>
        <w:tc>
          <w:tcPr>
            <w:tcW w:w="100" w:type="dxa"/>
            <w:vAlign w:val="bottom"/>
          </w:tcPr>
          <w:p>
            <w:pPr>
              <w:spacing w:after="0"/>
              <w:rPr>
                <w:sz w:val="17"/>
                <w:szCs w:val="17"/>
                <w:color w:val="auto"/>
              </w:rPr>
            </w:pPr>
          </w:p>
        </w:tc>
      </w:tr>
      <w:tr>
        <w:trPr>
          <w:trHeight w:val="203"/>
        </w:trPr>
        <w:tc>
          <w:tcPr>
            <w:tcW w:w="7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 Revolving credit loan</w:t>
            </w:r>
          </w:p>
        </w:tc>
        <w:tc>
          <w:tcPr>
            <w:tcW w:w="16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59,700</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outstanding borrowing under the Credit Facility</w:t>
            </w: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101,559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65,511</w:t>
            </w:r>
          </w:p>
        </w:tc>
        <w:tc>
          <w:tcPr>
            <w:tcW w:w="100" w:type="dxa"/>
            <w:vAlign w:val="bottom"/>
          </w:tcPr>
          <w:p>
            <w:pPr>
              <w:spacing w:after="0"/>
              <w:rPr>
                <w:sz w:val="17"/>
                <w:szCs w:val="17"/>
                <w:color w:val="auto"/>
              </w:rPr>
            </w:pPr>
          </w:p>
        </w:tc>
      </w:tr>
      <w:tr>
        <w:trPr>
          <w:trHeight w:val="203"/>
        </w:trPr>
        <w:tc>
          <w:tcPr>
            <w:tcW w:w="7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Outstanding borrowing under the joint venture term debt</w:t>
            </w: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Unamortized debt discount</w:t>
            </w:r>
          </w:p>
        </w:tc>
        <w:tc>
          <w:tcPr>
            <w:tcW w:w="160" w:type="dxa"/>
            <w:vAlign w:val="bottom"/>
          </w:tcPr>
          <w:p>
            <w:pPr>
              <w:spacing w:after="0"/>
              <w:rPr>
                <w:sz w:val="17"/>
                <w:szCs w:val="17"/>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(1,452 )</w:t>
            </w:r>
          </w:p>
        </w:tc>
        <w:tc>
          <w:tcPr>
            <w:tcW w:w="160" w:type="dxa"/>
            <w:vAlign w:val="bottom"/>
          </w:tcPr>
          <w:p>
            <w:pPr>
              <w:spacing w:after="0"/>
              <w:rPr>
                <w:sz w:val="17"/>
                <w:szCs w:val="17"/>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(1,731 )</w:t>
            </w:r>
          </w:p>
        </w:tc>
      </w:tr>
      <w:tr>
        <w:trPr>
          <w:trHeight w:val="196"/>
        </w:trPr>
        <w:tc>
          <w:tcPr>
            <w:tcW w:w="7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outstanding borrowings</w:t>
            </w:r>
          </w:p>
        </w:tc>
        <w:tc>
          <w:tcPr>
            <w:tcW w:w="160" w:type="dxa"/>
            <w:vAlign w:val="bottom"/>
            <w:tcBorders>
              <w:top w:val="single" w:sz="8" w:color="auto"/>
            </w:tcBorders>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110,337</w:t>
            </w: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63,780</w:t>
            </w:r>
          </w:p>
        </w:tc>
        <w:tc>
          <w:tcPr>
            <w:tcW w:w="100" w:type="dxa"/>
            <w:vAlign w:val="bottom"/>
            <w:shd w:val="clear" w:color="auto" w:fill="CFF0FC"/>
          </w:tcPr>
          <w:p>
            <w:pPr>
              <w:spacing w:after="0"/>
              <w:rPr>
                <w:sz w:val="17"/>
                <w:szCs w:val="17"/>
                <w:color w:val="auto"/>
              </w:rPr>
            </w:pPr>
          </w:p>
        </w:tc>
      </w:tr>
      <w:tr>
        <w:trPr>
          <w:trHeight w:val="203"/>
        </w:trPr>
        <w:tc>
          <w:tcPr>
            <w:tcW w:w="7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current portion</w:t>
            </w:r>
          </w:p>
        </w:tc>
        <w:tc>
          <w:tcPr>
            <w:tcW w:w="160" w:type="dxa"/>
            <w:vAlign w:val="bottom"/>
          </w:tcPr>
          <w:p>
            <w:pPr>
              <w:spacing w:after="0"/>
              <w:rPr>
                <w:sz w:val="17"/>
                <w:szCs w:val="17"/>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(3,303 )</w:t>
            </w:r>
          </w:p>
        </w:tc>
        <w:tc>
          <w:tcPr>
            <w:tcW w:w="160" w:type="dxa"/>
            <w:vAlign w:val="bottom"/>
          </w:tcPr>
          <w:p>
            <w:pPr>
              <w:spacing w:after="0"/>
              <w:rPr>
                <w:sz w:val="17"/>
                <w:szCs w:val="17"/>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(2,203 )</w:t>
            </w:r>
          </w:p>
        </w:tc>
      </w:tr>
      <w:tr>
        <w:trPr>
          <w:trHeight w:val="236"/>
        </w:trPr>
        <w:tc>
          <w:tcPr>
            <w:tcW w:w="72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debt, less current portion</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107,034</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61,577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-822325</wp:posOffset>
            </wp:positionV>
            <wp:extent cx="6858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Scheduled principal payments under the Credit Facility and joint venture term debt are $0.8 million remaining in 2022, $3.6 million in 2023, $4.9 million in 2024, $5.2 million in 2025, $93.5 million in 2026, and $3.9 million in 2027.</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12" w:lineRule="exact"/>
        <w:rPr>
          <w:sz w:val="20"/>
          <w:szCs w:val="20"/>
          <w:color w:val="auto"/>
        </w:rPr>
      </w:pPr>
    </w:p>
    <w:p>
      <w:pPr>
        <w:ind w:left="520" w:right="100"/>
        <w:spacing w:after="0" w:line="246" w:lineRule="auto"/>
        <w:rPr>
          <w:sz w:val="20"/>
          <w:szCs w:val="20"/>
          <w:color w:val="auto"/>
        </w:rPr>
      </w:pPr>
      <w:r>
        <w:rPr>
          <w:rFonts w:ascii="Times New Roman" w:cs="Times New Roman" w:eastAsia="Times New Roman" w:hAnsi="Times New Roman"/>
          <w:sz w:val="18"/>
          <w:szCs w:val="18"/>
          <w:color w:val="auto"/>
        </w:rPr>
        <w:t>As of September 30, 2022 and December 31, 2021, $19.4 million and $14.5 million of letters of credit were outstanding, respectively. Total unused credit availability under the Company’s senior secured term loan and senior secured revolver loan with sub-facilities for letters of credit, swing-line loans and senior secured multi-currency loans (the "Credit Facility") was $60.9 million and $45.9 million at September 30, 2022 and December 31, 2021, respectively. Revolving loans may be borrowed, repaid and reborrowed until December 17, 2026, at which time all outstanding balances of the Credit Facility must be repaid.</w:t>
      </w:r>
    </w:p>
    <w:p>
      <w:pPr>
        <w:spacing w:after="0" w:line="195" w:lineRule="exact"/>
        <w:rPr>
          <w:sz w:val="20"/>
          <w:szCs w:val="20"/>
          <w:color w:val="auto"/>
        </w:rPr>
      </w:pPr>
    </w:p>
    <w:p>
      <w:pPr>
        <w:ind w:left="520" w:right="100"/>
        <w:spacing w:after="0" w:line="246" w:lineRule="auto"/>
        <w:rPr>
          <w:sz w:val="20"/>
          <w:szCs w:val="20"/>
          <w:color w:val="auto"/>
        </w:rPr>
      </w:pPr>
      <w:r>
        <w:rPr>
          <w:rFonts w:ascii="Times New Roman" w:cs="Times New Roman" w:eastAsia="Times New Roman" w:hAnsi="Times New Roman"/>
          <w:sz w:val="18"/>
          <w:szCs w:val="18"/>
          <w:color w:val="auto"/>
        </w:rPr>
        <w:t>At the Company’s option, revolving loans and the term loans accrue interest at a per annum rate based on either the highest of (a) the federal funds rate plus 0.5%, (b) the Agent’s prime lending rate, (c) Daily Simple SOFR plus the Daily Simple SOFR Adjustment of 0.11448% plus 1.0%, or (d) 1.0%, plus a margin ranging from 1.75% to 2.75% depending on the Company’s Consolidated Leverage Ratio (“Base Rate”), or (d) a one/three/six-month Term SOFR Rate (as defined in the Credit Facility) plus the Term SOFR Adjustment ranging from 0.11% to 0.43% plus 1.75% to 2.75% depending on the Company’s Consolidated Leverage Ratio. Interest on swing line loans is the Base Rate.</w:t>
      </w:r>
    </w:p>
    <w:p>
      <w:pPr>
        <w:spacing w:after="0" w:line="181" w:lineRule="exact"/>
        <w:rPr>
          <w:sz w:val="20"/>
          <w:szCs w:val="20"/>
          <w:color w:val="auto"/>
        </w:rPr>
      </w:pPr>
    </w:p>
    <w:p>
      <w:pPr>
        <w:ind w:left="520" w:right="20"/>
        <w:spacing w:after="0" w:line="247" w:lineRule="auto"/>
        <w:rPr>
          <w:sz w:val="20"/>
          <w:szCs w:val="20"/>
          <w:color w:val="auto"/>
        </w:rPr>
      </w:pPr>
      <w:r>
        <w:rPr>
          <w:rFonts w:ascii="Times New Roman" w:cs="Times New Roman" w:eastAsia="Times New Roman" w:hAnsi="Times New Roman"/>
          <w:sz w:val="18"/>
          <w:szCs w:val="18"/>
          <w:color w:val="auto"/>
        </w:rPr>
        <w:t>Interest on Base Rate loans is payable quarterly in arrears on the last day of each calendar quarter and at maturity. Interest on Term SOFR rate loans is payable on the last date of each applicable Interest Period (as defined in the agreement), but in no event less than once every three months and at maturity. The weighted average stated interest rate on outstanding borrowings was 5.44% and 2.54% at September 30, 2022 and December 31, 2021, respectively. Under the terms of the Credit Facility, the Company is required to maintain certain financial covenants, including the maintenance of a Consolidated Net Leverage Ratio (as defined in the Credit Facility). Through September 30, 2023, the maximum Consolidated Net Leverage Ratio is 3.75, after which time it will decrease to 3.50 until the end of the term of the Credit Facility.</w:t>
      </w:r>
    </w:p>
    <w:p>
      <w:pPr>
        <w:spacing w:after="0" w:line="396" w:lineRule="exact"/>
        <w:rPr>
          <w:sz w:val="20"/>
          <w:szCs w:val="20"/>
          <w:color w:val="auto"/>
        </w:rPr>
      </w:pPr>
    </w:p>
    <w:p>
      <w:pPr>
        <w:ind w:left="520" w:right="100"/>
        <w:spacing w:after="0" w:line="264" w:lineRule="auto"/>
        <w:rPr>
          <w:sz w:val="20"/>
          <w:szCs w:val="20"/>
          <w:color w:val="auto"/>
        </w:rPr>
      </w:pPr>
      <w:r>
        <w:rPr>
          <w:rFonts w:ascii="Times New Roman" w:cs="Times New Roman" w:eastAsia="Times New Roman" w:hAnsi="Times New Roman"/>
          <w:sz w:val="17"/>
          <w:szCs w:val="17"/>
          <w:color w:val="auto"/>
        </w:rPr>
        <w:t>The Company has granted a security interest in substantially all of its assets to secure its obligations pursuant to the Credit Facility. The Company’s obligations under the Credit Facility are guaranteed by the Company’s U.S. subsidiaries and such guaranty obligations are secured by a security interest on substantially all the assets of such subsidiaries, including certain real property. The Company’s obligations under the Credit Facility may also be guaranteed by the Company’s material foreign subsidiaries to the extent no adverse tax consequences would result to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2" w:name="page13"/>
    <w:bookmarkEnd w:id="12"/>
    <w:p>
      <w:pPr>
        <w:ind w:left="520" w:right="140"/>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was in compliance with all related financial and other restrictive covenants under the Credit Facility.</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Joint Venture Debt</w:t>
      </w:r>
    </w:p>
    <w:p>
      <w:pPr>
        <w:spacing w:after="0" w:line="212" w:lineRule="exact"/>
        <w:rPr>
          <w:sz w:val="20"/>
          <w:szCs w:val="20"/>
          <w:color w:val="auto"/>
        </w:rPr>
      </w:pPr>
    </w:p>
    <w:p>
      <w:pPr>
        <w:jc w:val="both"/>
        <w:ind w:left="520"/>
        <w:spacing w:after="0" w:line="245" w:lineRule="auto"/>
        <w:rPr>
          <w:sz w:val="20"/>
          <w:szCs w:val="20"/>
          <w:color w:val="auto"/>
        </w:rPr>
      </w:pPr>
      <w:r>
        <w:rPr>
          <w:rFonts w:ascii="Times New Roman" w:cs="Times New Roman" w:eastAsia="Times New Roman" w:hAnsi="Times New Roman"/>
          <w:sz w:val="18"/>
          <w:szCs w:val="18"/>
          <w:color w:val="auto"/>
        </w:rPr>
        <w:t>On March 7, 2022, the Company's Effox-Flextor-Mader, Inc. joint venture ("EFM JV") entered into a loan agreement secured by the assets of the EFM JV in the aggregate principal amount of $11.0 million for the acquisition of General Rubber, LLC ("GRC"), as further described in Note 14. As of September 30, 2022, $10.2 million was outstanding under the loan.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at September 30, 2022 was 6.60%. As of September 30, 2022, the EFM JV was in compliance with all related financial and other restrictive covenants under this loan agreement. This loan balance does not impact the Company’s borrowing capacity or the financial covenants under the Credit Facility.</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Foreign Debt</w:t>
      </w:r>
    </w:p>
    <w:p>
      <w:pPr>
        <w:spacing w:after="0" w:line="225" w:lineRule="exact"/>
        <w:rPr>
          <w:sz w:val="20"/>
          <w:szCs w:val="20"/>
          <w:color w:val="auto"/>
        </w:rPr>
      </w:pPr>
    </w:p>
    <w:p>
      <w:pPr>
        <w:ind w:left="520" w:right="60"/>
        <w:spacing w:after="0" w:line="243" w:lineRule="auto"/>
        <w:rPr>
          <w:sz w:val="20"/>
          <w:szCs w:val="20"/>
          <w:color w:val="auto"/>
        </w:rPr>
      </w:pPr>
      <w:r>
        <w:rPr>
          <w:rFonts w:ascii="Times New Roman" w:cs="Times New Roman" w:eastAsia="Times New Roman" w:hAnsi="Times New Roman"/>
          <w:sz w:val="18"/>
          <w:szCs w:val="18"/>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$65.0 million from the bilateral lines of credit secured by pledged assets and collateral under the Credit Facility. As of September 30, 2022, $21.5 million in bank guarantees were outstanding. In addition, a subsidiary of the Company located in the Netherlands has a Euro-denominated bank guarantee agreement secured by local assets under which $0.6 million in bank guarantees were outstanding as of September 30, 2022. Additionally, a subsidiary of the Company in China recently entered into a renminbi ("RMB") denominated bank guarantee agreement secured primarily by local assets under which $0.7 million in bank guarantees were outstanding as of September 30, 2022. As of September 30, 2022, the borrowers of these facilities and agreements were in compliance with all related financial and other restrictive covenants.</w:t>
      </w:r>
    </w:p>
    <w:p>
      <w:pPr>
        <w:spacing w:after="0" w:line="182"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computational components of basic and diluted earnings per share for the three months ended September 30, 2022 and 2021 are as follows:</w:t>
      </w:r>
    </w:p>
    <w:p>
      <w:pPr>
        <w:sectPr>
          <w:pgSz w:w="11900" w:h="16838" w:orient="portrait"/>
          <w:cols w:equalWidth="0" w:num="1">
            <w:col w:w="11240"/>
          </w:cols>
          <w:pgMar w:left="320" w:top="540"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Numerator </w:t>
      </w:r>
      <w:r>
        <w:rPr>
          <w:rFonts w:ascii="Times New Roman" w:cs="Times New Roman" w:eastAsia="Times New Roman" w:hAnsi="Times New Roman"/>
          <w:sz w:val="16"/>
          <w:szCs w:val="16"/>
          <w:color w:val="auto"/>
        </w:rPr>
        <w:t>(for basic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2825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Net income (loss) attributable to CECO Environmental Corp.</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Basic weighted-average shares outstanding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r>
      <w:tr>
        <w:trPr>
          <w:trHeight w:val="395"/>
        </w:trPr>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(1,249 )</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85"/>
        </w:trPr>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34,456</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35,472</w:t>
            </w:r>
          </w:p>
        </w:tc>
        <w:tc>
          <w:tcPr>
            <w:tcW w:w="60" w:type="dxa"/>
            <w:vAlign w:val="bottom"/>
          </w:tcPr>
          <w:p>
            <w:pPr>
              <w:spacing w:after="0"/>
              <w:rPr>
                <w:sz w:val="24"/>
                <w:szCs w:val="24"/>
                <w:color w:val="auto"/>
              </w:rPr>
            </w:pPr>
          </w:p>
        </w:tc>
      </w:tr>
    </w:tbl>
    <w:p>
      <w:pPr>
        <w:spacing w:after="0" w:line="20" w:lineRule="exact"/>
        <w:rPr>
          <w:sz w:val="20"/>
          <w:szCs w:val="20"/>
          <w:color w:val="auto"/>
        </w:rPr>
      </w:pPr>
    </w:p>
    <w:p>
      <w:pPr>
        <w:sectPr>
          <w:pgSz w:w="11900" w:h="16838" w:orient="portrait"/>
          <w:cols w:equalWidth="0" w:num="2">
            <w:col w:w="6600" w:space="720"/>
            <w:col w:w="3920"/>
          </w:cols>
          <w:pgMar w:left="320" w:top="540"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7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Common stock equivalents arising from stock options and restricted stock awards</w:t>
            </w:r>
          </w:p>
        </w:tc>
        <w:tc>
          <w:tcPr>
            <w:tcW w:w="1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60" w:type="dxa"/>
            <w:vAlign w:val="bottom"/>
            <w:tcBorders>
              <w:bottom w:val="single" w:sz="8" w:color="CCECFF"/>
            </w:tcBorders>
            <w:shd w:val="clear" w:color="auto" w:fill="CCECFF"/>
          </w:tcPr>
          <w:p>
            <w:pPr>
              <w:spacing w:after="0"/>
              <w:rPr>
                <w:sz w:val="16"/>
                <w:szCs w:val="16"/>
                <w:color w:val="auto"/>
              </w:rPr>
            </w:pPr>
          </w:p>
        </w:tc>
        <w:tc>
          <w:tcPr>
            <w:tcW w:w="1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CFF"/>
            </w:tcBorders>
            <w:shd w:val="clear" w:color="auto" w:fill="CCECFF"/>
          </w:tcPr>
          <w:p>
            <w:pPr>
              <w:spacing w:after="0"/>
              <w:rPr>
                <w:sz w:val="16"/>
                <w:szCs w:val="16"/>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weighted-average shares outstanding</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34,871</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35,472</w:t>
            </w:r>
          </w:p>
        </w:tc>
        <w:tc>
          <w:tcPr>
            <w:tcW w:w="10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-162560</wp:posOffset>
            </wp:positionV>
            <wp:extent cx="6858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computational components of basic and diluted earnings per share for the nine months ended September 30, 2022 and 2021 are as follows:</w:t>
      </w:r>
    </w:p>
    <w:p>
      <w:pPr>
        <w:sectPr>
          <w:pgSz w:w="11900" w:h="16838" w:orient="portrait"/>
          <w:cols w:equalWidth="0" w:num="1">
            <w:col w:w="11240"/>
          </w:cols>
          <w:pgMar w:left="320" w:top="540" w:right="3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Numerator </w:t>
      </w:r>
      <w:r>
        <w:rPr>
          <w:rFonts w:ascii="Times New Roman" w:cs="Times New Roman" w:eastAsia="Times New Roman" w:hAnsi="Times New Roman"/>
          <w:sz w:val="16"/>
          <w:szCs w:val="16"/>
          <w:color w:val="auto"/>
        </w:rPr>
        <w:t>(for basic and diluted earnings per share)</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Net income attributable to CECO Environmental Corp.</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32" w:lineRule="exact"/>
        <w:rPr>
          <w:sz w:val="20"/>
          <w:szCs w:val="20"/>
          <w:color w:val="auto"/>
        </w:rPr>
      </w:pPr>
    </w:p>
    <w:p>
      <w:pPr>
        <w:ind w:left="700"/>
        <w:spacing w:after="0"/>
        <w:tabs>
          <w:tab w:leader="none" w:pos="272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-114935</wp:posOffset>
            </wp:positionV>
            <wp:extent cx="24174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21590</wp:posOffset>
            </wp:positionV>
            <wp:extent cx="24174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17" w:lineRule="exact"/>
        <w:rPr>
          <w:sz w:val="20"/>
          <w:szCs w:val="20"/>
          <w:color w:val="auto"/>
        </w:rPr>
      </w:pPr>
    </w:p>
    <w:p>
      <w:pPr>
        <w:spacing w:after="0"/>
        <w:tabs>
          <w:tab w:leader="none" w:pos="1340" w:val="left"/>
          <w:tab w:leader="none" w:pos="2000" w:val="left"/>
          <w:tab w:leader="none" w:pos="35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9,122</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-107315</wp:posOffset>
            </wp:positionV>
            <wp:extent cx="7132320" cy="2825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6620" w:space="720"/>
            <w:col w:w="3900"/>
          </w:cols>
          <w:pgMar w:left="320" w:top="540"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7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8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0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weighted-average shares outstanding</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34,791</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35,463</w:t>
            </w:r>
          </w:p>
        </w:tc>
        <w:tc>
          <w:tcPr>
            <w:tcW w:w="100" w:type="dxa"/>
            <w:vAlign w:val="bottom"/>
          </w:tcPr>
          <w:p>
            <w:pPr>
              <w:spacing w:after="0"/>
              <w:rPr>
                <w:sz w:val="17"/>
                <w:szCs w:val="17"/>
                <w:color w:val="auto"/>
              </w:rPr>
            </w:pPr>
          </w:p>
        </w:tc>
      </w:tr>
      <w:tr>
        <w:trPr>
          <w:trHeight w:val="203"/>
        </w:trPr>
        <w:tc>
          <w:tcPr>
            <w:tcW w:w="7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Common stock equivalents arising from stock options and restricted stock awards</w:t>
            </w:r>
          </w:p>
        </w:tc>
        <w:tc>
          <w:tcPr>
            <w:tcW w:w="1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60" w:type="dxa"/>
            <w:vAlign w:val="bottom"/>
            <w:tcBorders>
              <w:bottom w:val="single" w:sz="8" w:color="CCECFF"/>
            </w:tcBorders>
            <w:shd w:val="clear" w:color="auto" w:fill="CCECFF"/>
          </w:tcPr>
          <w:p>
            <w:pPr>
              <w:spacing w:after="0"/>
              <w:rPr>
                <w:sz w:val="17"/>
                <w:szCs w:val="17"/>
                <w:color w:val="auto"/>
              </w:rPr>
            </w:pPr>
          </w:p>
        </w:tc>
        <w:tc>
          <w:tcPr>
            <w:tcW w:w="1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weighted-average shares outstanding</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35,035</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35,730</w:t>
            </w:r>
          </w:p>
        </w:tc>
        <w:tc>
          <w:tcPr>
            <w:tcW w:w="10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-162560</wp:posOffset>
            </wp:positionV>
            <wp:extent cx="68580" cy="163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78" w:lineRule="exact"/>
        <w:rPr>
          <w:sz w:val="20"/>
          <w:szCs w:val="20"/>
          <w:color w:val="auto"/>
        </w:rPr>
      </w:pPr>
    </w:p>
    <w:p>
      <w:pPr>
        <w:ind w:left="520" w:right="180"/>
        <w:spacing w:after="0" w:line="250" w:lineRule="auto"/>
        <w:rPr>
          <w:sz w:val="20"/>
          <w:szCs w:val="20"/>
          <w:color w:val="auto"/>
        </w:rPr>
      </w:pPr>
      <w:r>
        <w:rPr>
          <w:rFonts w:ascii="Times New Roman" w:cs="Times New Roman" w:eastAsia="Times New Roman" w:hAnsi="Times New Roman"/>
          <w:sz w:val="18"/>
          <w:szCs w:val="18"/>
          <w:color w:val="auto"/>
        </w:rPr>
        <w:t>Options and restricted stock units included in the computation of diluted earnings per share are calculated using the treasury stock method. For the three months ended September 30, 2022 and 2021, 1.2 million and zero, respectively, and during the nine months ended September 30, 2022 and 2021, 1.7 million and 1.8 million, respectively, of outstanding options and restricted stock units were excluded from the computation of diluted earnings per share due to their having an anti-dilutive effect.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3" w:name="page14"/>
    <w:bookmarkEnd w:id="13"/>
    <w:p>
      <w:pPr>
        <w:ind w:left="520"/>
        <w:spacing w:after="0" w:line="282" w:lineRule="auto"/>
        <w:rPr>
          <w:sz w:val="20"/>
          <w:szCs w:val="20"/>
          <w:color w:val="auto"/>
        </w:rPr>
      </w:pPr>
      <w:r>
        <w:rPr>
          <w:rFonts w:ascii="Times New Roman" w:cs="Times New Roman" w:eastAsia="Times New Roman" w:hAnsi="Times New Roman"/>
          <w:sz w:val="18"/>
          <w:szCs w:val="18"/>
          <w:color w:val="auto"/>
        </w:rPr>
        <w:t>Once a restricted stock unit vests, it is included in the computation of weighted average shares outstanding for purposes of basic and diluted earnings per share.</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Common Stock Repurchase</w:t>
      </w:r>
    </w:p>
    <w:p>
      <w:pPr>
        <w:spacing w:after="0" w:line="212" w:lineRule="exact"/>
        <w:rPr>
          <w:sz w:val="20"/>
          <w:szCs w:val="20"/>
          <w:color w:val="auto"/>
        </w:rPr>
      </w:pPr>
    </w:p>
    <w:p>
      <w:pPr>
        <w:ind w:left="520" w:right="60"/>
        <w:spacing w:after="0" w:line="250" w:lineRule="auto"/>
        <w:rPr>
          <w:sz w:val="20"/>
          <w:szCs w:val="20"/>
          <w:color w:val="auto"/>
        </w:rPr>
      </w:pPr>
      <w:r>
        <w:rPr>
          <w:rFonts w:ascii="Times New Roman" w:cs="Times New Roman" w:eastAsia="Times New Roman" w:hAnsi="Times New Roman"/>
          <w:sz w:val="18"/>
          <w:szCs w:val="18"/>
          <w:color w:val="auto"/>
        </w:rPr>
        <w:t>On May 10, 2022, the Company's Board of Directors authorized a share repurchase program under which the Company may purchase up to $20.0 million of its outstanding shares of common stock through April 30, 2025. The authorization permits the Company to repurchase shares in the open market, through accelerated share repurchases, block trades, Rule 10b5-1 trading plans or through privately negotiated transactions in accordance with applicable laws, rules and regulations. Through September 30, 2022, the Company has repurchased and retired approximately 981,000 shares of common stock at a cost of $6.5 million under the program.</w:t>
      </w:r>
    </w:p>
    <w:p>
      <w:pPr>
        <w:spacing w:after="0" w:line="177" w:lineRule="exact"/>
        <w:rPr>
          <w:sz w:val="20"/>
          <w:szCs w:val="20"/>
          <w:color w:val="auto"/>
        </w:rPr>
      </w:pPr>
    </w:p>
    <w:p>
      <w:pPr>
        <w:ind w:left="520" w:right="120"/>
        <w:spacing w:after="0" w:line="246" w:lineRule="auto"/>
        <w:rPr>
          <w:sz w:val="20"/>
          <w:szCs w:val="20"/>
          <w:color w:val="auto"/>
        </w:rPr>
      </w:pPr>
      <w:r>
        <w:rPr>
          <w:rFonts w:ascii="Times New Roman" w:cs="Times New Roman" w:eastAsia="Times New Roman" w:hAnsi="Times New Roman"/>
          <w:sz w:val="18"/>
          <w:szCs w:val="18"/>
          <w:color w:val="auto"/>
        </w:rPr>
        <w:t>On August 3, 2021, the Company's Board of Directors authorized a share repurchase program under which the Company could purchase up to $5.0 million of its outstanding shares of common stock through December 31, 2021. The authorization permitted the Company to repurchase shares in the open market, through accelerated share repurchases, block trades, Rule 10b5-1 trading plans or through privately negotiated transactions in accordance with applicable laws, rules and regulations. Through September 30, 2021, the Company repurchased approximately 520,000 shares of common stock at a cost of $3.7 million under the program. The authorization under this program has expired.</w:t>
      </w:r>
    </w:p>
    <w:p>
      <w:pPr>
        <w:spacing w:after="0" w:line="177"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left="520" w:right="60"/>
        <w:spacing w:after="0" w:line="246" w:lineRule="auto"/>
        <w:rPr>
          <w:sz w:val="20"/>
          <w:szCs w:val="20"/>
          <w:color w:val="auto"/>
        </w:rPr>
      </w:pPr>
      <w:r>
        <w:rPr>
          <w:rFonts w:ascii="Times New Roman" w:cs="Times New Roman" w:eastAsia="Times New Roman" w:hAnsi="Times New Roman"/>
          <w:sz w:val="18"/>
          <w:szCs w:val="18"/>
          <w:color w:val="auto"/>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$1.1 million and $0.9 million of share-based compensation related expense during the three months ended September 30, 2022 and 2021, respectively, and $2.9 million and $2.4 million during the nine months ended September 30, 2022 and 2021, respectively.</w:t>
      </w:r>
    </w:p>
    <w:p>
      <w:pPr>
        <w:spacing w:after="0" w:line="181" w:lineRule="exact"/>
        <w:rPr>
          <w:sz w:val="20"/>
          <w:szCs w:val="20"/>
          <w:color w:val="auto"/>
        </w:rPr>
      </w:pPr>
    </w:p>
    <w:p>
      <w:pPr>
        <w:ind w:left="520" w:right="720"/>
        <w:spacing w:after="0" w:line="258" w:lineRule="auto"/>
        <w:rPr>
          <w:sz w:val="20"/>
          <w:szCs w:val="20"/>
          <w:color w:val="auto"/>
        </w:rPr>
      </w:pPr>
      <w:r>
        <w:rPr>
          <w:rFonts w:ascii="Times New Roman" w:cs="Times New Roman" w:eastAsia="Times New Roman" w:hAnsi="Times New Roman"/>
          <w:sz w:val="18"/>
          <w:szCs w:val="18"/>
          <w:color w:val="auto"/>
        </w:rPr>
        <w:t>The Company granted approximately 68,000 and 5,000 restricted stock units during the three months ended September 30, 2022 and 2021, respectively, and approximately 755,000 and 465,000 restricted stock units during the nine months ended September 30, 2022 and 2021, respectively.</w:t>
      </w:r>
    </w:p>
    <w:p>
      <w:pPr>
        <w:spacing w:after="0" w:line="169" w:lineRule="exact"/>
        <w:rPr>
          <w:sz w:val="20"/>
          <w:szCs w:val="20"/>
          <w:color w:val="auto"/>
        </w:rPr>
      </w:pPr>
    </w:p>
    <w:p>
      <w:pPr>
        <w:ind w:left="520" w:right="40"/>
        <w:spacing w:after="0" w:line="280" w:lineRule="auto"/>
        <w:rPr>
          <w:sz w:val="20"/>
          <w:szCs w:val="20"/>
          <w:color w:val="auto"/>
        </w:rPr>
      </w:pPr>
      <w:r>
        <w:rPr>
          <w:rFonts w:ascii="Times New Roman" w:cs="Times New Roman" w:eastAsia="Times New Roman" w:hAnsi="Times New Roman"/>
          <w:sz w:val="17"/>
          <w:szCs w:val="17"/>
          <w:color w:val="auto"/>
        </w:rPr>
        <w:t>There were zero and 2,000 options exercised during the nine months ended September 30, 2022 and 2021, respectively. The Company received zero and $13,000 in cash from employees and a non-employee director exercising options during the nine months ended September 30, 2022 and 2021, respectively. The intrinsic value of options exercised during the nine months ended September 30, 2022 and 2021 was zero and $3,000,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Pension and Employee Benefit Plans</w:t>
      </w:r>
    </w:p>
    <w:p>
      <w:pPr>
        <w:spacing w:after="0" w:line="216"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The Company sponsors a non-contributory defined benefit pension plan for certain union employees. The plan is funded in accordance with the funding requirements of the Employee Retirement Income Security Act of 1974.</w:t>
      </w:r>
    </w:p>
    <w:p>
      <w:pPr>
        <w:spacing w:after="0" w:line="148" w:lineRule="exact"/>
        <w:rPr>
          <w:sz w:val="20"/>
          <w:szCs w:val="20"/>
          <w:color w:val="auto"/>
        </w:rPr>
      </w:pPr>
    </w:p>
    <w:p>
      <w:pPr>
        <w:ind w:left="520" w:right="360"/>
        <w:spacing w:after="0" w:line="266" w:lineRule="auto"/>
        <w:rPr>
          <w:sz w:val="20"/>
          <w:szCs w:val="20"/>
          <w:color w:val="auto"/>
        </w:rPr>
      </w:pPr>
      <w:r>
        <w:rPr>
          <w:rFonts w:ascii="Times New Roman" w:cs="Times New Roman" w:eastAsia="Times New Roman" w:hAnsi="Times New Roman"/>
          <w:sz w:val="18"/>
          <w:szCs w:val="18"/>
          <w:color w:val="auto"/>
        </w:rPr>
        <w:t>The Company presents the components of net periodic benefit cost (gain) within “Other income (expense), net” on the Condensed Consolidated Statements of Operations.</w:t>
      </w:r>
    </w:p>
    <w:p>
      <w:pPr>
        <w:spacing w:after="0" w:line="176"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Retirement plan expense is based on valuations performed by plan actuaries as of the beginning of each fiscal year. The components of the expense consisted of the following:</w:t>
      </w:r>
    </w:p>
    <w:p>
      <w:pPr>
        <w:sectPr>
          <w:pgSz w:w="11900" w:h="16838" w:orient="portrait"/>
          <w:cols w:equalWidth="0" w:num="1">
            <w:col w:w="11240"/>
          </w:cols>
          <w:pgMar w:left="320" w:top="540" w:right="339" w:bottom="1440" w:gutter="0" w:footer="0" w:header="0"/>
        </w:sect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Pension plan: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cost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Amortization of net actuarial loss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periodic benefit gain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20" w:type="dxa"/>
            <w:vAlign w:val="bottom"/>
          </w:tcPr>
          <w:p>
            <w:pPr>
              <w:spacing w:after="0"/>
              <w:rPr>
                <w:sz w:val="18"/>
                <w:szCs w:val="18"/>
                <w:color w:val="auto"/>
              </w:rPr>
            </w:pPr>
          </w:p>
        </w:tc>
        <w:tc>
          <w:tcPr>
            <w:tcW w:w="3060" w:type="dxa"/>
            <w:vAlign w:val="bottom"/>
            <w:gridSpan w:val="5"/>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760" w:type="dxa"/>
            <w:vAlign w:val="bottom"/>
            <w:gridSpan w:val="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r>
      <w:tr>
        <w:trPr>
          <w:trHeight w:val="385"/>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60" w:type="dxa"/>
            <w:vAlign w:val="bottom"/>
          </w:tcPr>
          <w:p>
            <w:pPr>
              <w:spacing w:after="0"/>
              <w:rPr>
                <w:sz w:val="24"/>
                <w:szCs w:val="24"/>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2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6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1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(390 )</w:t>
            </w:r>
          </w:p>
        </w:tc>
        <w:tc>
          <w:tcPr>
            <w:tcW w:w="300" w:type="dxa"/>
            <w:vAlign w:val="bottom"/>
          </w:tcPr>
          <w:p>
            <w:pPr>
              <w:spacing w:after="0"/>
              <w:rPr>
                <w:sz w:val="17"/>
                <w:szCs w:val="17"/>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(378 )</w:t>
            </w:r>
          </w:p>
        </w:tc>
        <w:tc>
          <w:tcPr>
            <w:tcW w:w="180" w:type="dxa"/>
            <w:vAlign w:val="bottom"/>
          </w:tcPr>
          <w:p>
            <w:pPr>
              <w:spacing w:after="0"/>
              <w:rPr>
                <w:sz w:val="17"/>
                <w:szCs w:val="17"/>
                <w:color w:val="auto"/>
              </w:rPr>
            </w:pPr>
          </w:p>
        </w:tc>
        <w:tc>
          <w:tcPr>
            <w:tcW w:w="1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(1,170 )</w:t>
            </w:r>
          </w:p>
        </w:tc>
        <w:tc>
          <w:tcPr>
            <w:tcW w:w="3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(1,133 )</w:t>
            </w:r>
          </w:p>
        </w:tc>
      </w:tr>
      <w:tr>
        <w:trPr>
          <w:trHeight w:val="210"/>
        </w:trPr>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60" w:type="dxa"/>
            <w:vAlign w:val="bottom"/>
          </w:tcPr>
          <w:p>
            <w:pPr>
              <w:spacing w:after="0"/>
              <w:rPr>
                <w:sz w:val="18"/>
                <w:szCs w:val="18"/>
                <w:color w:val="auto"/>
              </w:rPr>
            </w:pPr>
          </w:p>
        </w:tc>
      </w:tr>
      <w:tr>
        <w:trPr>
          <w:trHeight w:val="202"/>
        </w:trPr>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-676275</wp:posOffset>
            </wp:positionV>
            <wp:extent cx="7132320"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-419100</wp:posOffset>
            </wp:positionV>
            <wp:extent cx="7132320"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-153670</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260" w:space="720"/>
            <w:col w:w="6260"/>
          </w:cols>
          <w:pgMar w:left="320" w:top="540" w:right="339" w:bottom="1440" w:gutter="0" w:footer="0" w:header="0"/>
          <w:type w:val="continuous"/>
        </w:sectPr>
      </w:pPr>
    </w:p>
    <w:p>
      <w:pPr>
        <w:ind w:left="520" w:right="140"/>
        <w:spacing w:after="0" w:line="250" w:lineRule="auto"/>
        <w:rPr>
          <w:sz w:val="20"/>
          <w:szCs w:val="20"/>
          <w:color w:val="auto"/>
        </w:rPr>
      </w:pPr>
      <w:r>
        <w:rPr>
          <w:rFonts w:ascii="Times New Roman" w:cs="Times New Roman" w:eastAsia="Times New Roman" w:hAnsi="Times New Roman"/>
          <w:sz w:val="18"/>
          <w:szCs w:val="18"/>
          <w:color w:val="auto"/>
        </w:rPr>
        <w:t>The Company made no contributions to its defined benefit plan during the nine months ended September 30, 2022 and 2021. For the remainder of 2022, the Company does not expect to make any contributions to fund the pension plan. The unfunded liability of the plan of $5.3 million and $5.6 million as of September 30, 2022 and December 31, 2021, respectively, is included in “Other liabilities” on the Condensed Consolidated Balance Sheets.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various federal, state and local jurisdictions. Tax years from 2018 forward remain open for examination by Federal authorities. Tax years from 2016 forward remain open for all significant state and foreign authorities.</w:t>
      </w:r>
    </w:p>
    <w:p>
      <w:pPr>
        <w:spacing w:after="0" w:line="162" w:lineRule="exact"/>
        <w:rPr>
          <w:sz w:val="20"/>
          <w:szCs w:val="20"/>
          <w:color w:val="auto"/>
        </w:rPr>
      </w:pPr>
    </w:p>
    <w:p>
      <w:pPr>
        <w:ind w:left="520" w:right="40"/>
        <w:spacing w:after="0" w:line="250" w:lineRule="auto"/>
        <w:rPr>
          <w:sz w:val="20"/>
          <w:szCs w:val="20"/>
          <w:color w:val="auto"/>
        </w:rPr>
      </w:pPr>
      <w:r>
        <w:rPr>
          <w:rFonts w:ascii="Times New Roman" w:cs="Times New Roman" w:eastAsia="Times New Roman" w:hAnsi="Times New Roman"/>
          <w:sz w:val="18"/>
          <w:szCs w:val="18"/>
          <w:color w:val="auto"/>
        </w:rPr>
        <w:t>The Company accounts for uncertain tax positions pursuant to ASC Topic 740, “Income Taxes.” As of September 30, 2022 and December 31, 2021, the liability for uncertain tax positions totaled approximately $0.1 million, which is included in “Other liabilities” on the Condensed Consolidated Balance Sheets. The Company recognizes accrued interest related to uncertain tax positions and penalties, if any, in income tax expense within the Condensed Consolidated Statements of Operations.</w:t>
      </w:r>
    </w:p>
    <w:p>
      <w:pPr>
        <w:spacing w:after="0" w:line="191" w:lineRule="exact"/>
        <w:rPr>
          <w:sz w:val="20"/>
          <w:szCs w:val="20"/>
          <w:color w:val="auto"/>
        </w:rPr>
      </w:pPr>
    </w:p>
    <w:p>
      <w:pPr>
        <w:ind w:left="520" w:right="80"/>
        <w:spacing w:after="0" w:line="246" w:lineRule="auto"/>
        <w:rPr>
          <w:sz w:val="20"/>
          <w:szCs w:val="20"/>
          <w:color w:val="auto"/>
        </w:rPr>
      </w:pPr>
      <w:r>
        <w:rPr>
          <w:rFonts w:ascii="Times New Roman" w:cs="Times New Roman" w:eastAsia="Times New Roman" w:hAnsi="Times New Roman"/>
          <w:sz w:val="18"/>
          <w:szCs w:val="18"/>
          <w:color w:val="auto"/>
        </w:rPr>
        <w:t>Certain of the Company’s undistributed earnings of our foreign subsidiaries are not permanently reinvested. Since foreign earnings have already been subject to United States income tax in 2017 as a result of the 2017 Tax Cuts and Jobs Act, the Company intends to repatriate foreign-held cash as needed. The Company records deferred income tax attributable to foreign withholding taxes that would become payable should it decide to repatriate cash held in our foreign operations. As of September 30, 2022 and December 31, 2021, the Company recorded deferred income taxes of approximately $0.8 million and $1.1 million, respectively, on the undistributed earnings of its foreign subsidiaries.</w:t>
      </w:r>
    </w:p>
    <w:p>
      <w:pPr>
        <w:spacing w:after="0" w:line="181" w:lineRule="exact"/>
        <w:rPr>
          <w:sz w:val="20"/>
          <w:szCs w:val="20"/>
          <w:color w:val="auto"/>
        </w:rPr>
      </w:pPr>
    </w:p>
    <w:p>
      <w:pPr>
        <w:ind w:left="520" w:right="40"/>
        <w:spacing w:after="0" w:line="245" w:lineRule="auto"/>
        <w:rPr>
          <w:sz w:val="20"/>
          <w:szCs w:val="20"/>
          <w:color w:val="auto"/>
        </w:rPr>
      </w:pPr>
      <w:r>
        <w:rPr>
          <w:rFonts w:ascii="Times New Roman" w:cs="Times New Roman" w:eastAsia="Times New Roman" w:hAnsi="Times New Roman"/>
          <w:sz w:val="18"/>
          <w:szCs w:val="18"/>
          <w:color w:val="auto"/>
        </w:rPr>
        <w:t>Income tax expense was $0.3 million for the three months ended September 30, 2022 and $3.3 million for the nine months ended September 30, 2022 compared with income tax expense of $0.1 million for the three months ended September 30, 2021 and $0.8 million for the nine months ended September 30, 2021. The effective income tax rate for the three months ended September 30, 2022 was 12.7% compared with (5.6%) for the three months ended September 30, 2021. The effective income tax rate for the nine months ended September 30, 2022 was 25.3% compared with 62.7% for the nine months ended September 30, 2021. The effective income tax rates for the three and nine months ended September 30, 2022 differ from the United States federal statutory rate. The Company's effective rate is affected by certain other permanent differences, including state income taxes, non-deductible incentive stock-based compensation and differences in tax rates among jurisdictions in which it operates.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Instruments</w:t>
      </w:r>
    </w:p>
    <w:p>
      <w:pPr>
        <w:spacing w:after="0" w:line="229" w:lineRule="exact"/>
        <w:rPr>
          <w:sz w:val="20"/>
          <w:szCs w:val="20"/>
          <w:color w:val="auto"/>
        </w:rPr>
      </w:pPr>
    </w:p>
    <w:p>
      <w:pPr>
        <w:ind w:left="520" w:right="20"/>
        <w:spacing w:after="0" w:line="250" w:lineRule="auto"/>
        <w:rPr>
          <w:sz w:val="20"/>
          <w:szCs w:val="20"/>
          <w:color w:val="auto"/>
        </w:rPr>
      </w:pPr>
      <w:r>
        <w:rPr>
          <w:rFonts w:ascii="Times New Roman" w:cs="Times New Roman" w:eastAsia="Times New Roman" w:hAnsi="Times New Roman"/>
          <w:sz w:val="18"/>
          <w:szCs w:val="18"/>
          <w:color w:val="auto"/>
        </w:rPr>
        <w:t>The Company's financial instruments consist primarily of investments in cash and cash equivalents, receivables and certain other assets, foreign debt and accounts payable, which approximate fair value at September 30, 2022 and December 31, 2021, due to their short-term nature or variable, market-driven interest rates.</w:t>
      </w:r>
    </w:p>
    <w:p>
      <w:pPr>
        <w:spacing w:after="0" w:line="190" w:lineRule="exact"/>
        <w:rPr>
          <w:sz w:val="20"/>
          <w:szCs w:val="20"/>
          <w:color w:val="auto"/>
        </w:rPr>
      </w:pPr>
    </w:p>
    <w:p>
      <w:pPr>
        <w:ind w:left="520" w:right="200"/>
        <w:spacing w:after="0" w:line="250" w:lineRule="auto"/>
        <w:rPr>
          <w:sz w:val="20"/>
          <w:szCs w:val="20"/>
          <w:color w:val="auto"/>
        </w:rPr>
      </w:pPr>
      <w:r>
        <w:rPr>
          <w:rFonts w:ascii="Times New Roman" w:cs="Times New Roman" w:eastAsia="Times New Roman" w:hAnsi="Times New Roman"/>
          <w:sz w:val="18"/>
          <w:szCs w:val="18"/>
          <w:color w:val="auto"/>
        </w:rPr>
        <w:t>The fair value of the debt issued under the Credit Facility and joint venture term loan was $111.8 million and $65.5 million at September 30, 2022 and December 31, 2021, respectively. The fair value was determined considering market conditions, the Company's credit worthiness and the current terms of our debt, which is considered Level 2 on the fair value hierarchy.</w:t>
      </w:r>
    </w:p>
    <w:p>
      <w:pPr>
        <w:spacing w:after="0" w:line="177" w:lineRule="exact"/>
        <w:rPr>
          <w:sz w:val="20"/>
          <w:szCs w:val="20"/>
          <w:color w:val="auto"/>
        </w:rPr>
      </w:pPr>
    </w:p>
    <w:p>
      <w:pPr>
        <w:ind w:left="520" w:right="140"/>
        <w:spacing w:after="0" w:line="258" w:lineRule="auto"/>
        <w:rPr>
          <w:sz w:val="20"/>
          <w:szCs w:val="20"/>
          <w:color w:val="auto"/>
        </w:rPr>
      </w:pPr>
      <w:r>
        <w:rPr>
          <w:rFonts w:ascii="Times New Roman" w:cs="Times New Roman" w:eastAsia="Times New Roman" w:hAnsi="Times New Roman"/>
          <w:sz w:val="18"/>
          <w:szCs w:val="18"/>
          <w:color w:val="auto"/>
        </w:rPr>
        <w:t>At September 30, 2022 and December 31, 2021, the Company had cash and cash equivalents of $35.2 million and $29.9 million, respectively, of which $24.2 million and $22.6 million, respectively, was held outside of the United States, principally in the Netherlands, United Kingdom, China, and Canada.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Asbestos cases</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subsidiary, Met-Pro Technologies LLC (“Met-Pro”), beginning in 2002, has been named in asbestos-related lawsuits filed against a</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large number of industrial companies including, in particular, those in the pump and fluid handling industries. In management’s opinion, the</w: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complaints typically have been vague, general and speculative, alleging that Met-Pro, along with the numerous other defendants, sold unidentified</w:t>
      </w:r>
    </w:p>
    <w:p>
      <w:pPr>
        <w:ind w:left="520"/>
        <w:spacing w:after="0" w:line="234" w:lineRule="auto"/>
        <w:rPr>
          <w:sz w:val="20"/>
          <w:szCs w:val="20"/>
          <w:color w:val="auto"/>
        </w:rPr>
      </w:pPr>
      <w:r>
        <w:rPr>
          <w:rFonts w:ascii="Times New Roman" w:cs="Times New Roman" w:eastAsia="Times New Roman" w:hAnsi="Times New Roman"/>
          <w:sz w:val="18"/>
          <w:szCs w:val="18"/>
          <w:color w:val="auto"/>
        </w:rPr>
        <w:t>asbestos-containing products and engaged in other related actions which caused injuries (including death) and loss to the plaintiffs. Counsel has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advised that more recent cases typically allege more serious claims of mesothelioma. The Company’s insurers have hired attorneys who, together</w: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the Company, are vigorously defending these cases. Many cases have been dismissed after the plaintiff fails to produce evidence of exposure to</w:t>
      </w:r>
    </w:p>
    <w:p>
      <w:pPr>
        <w:ind w:left="520"/>
        <w:spacing w:after="0" w:line="234" w:lineRule="auto"/>
        <w:rPr>
          <w:sz w:val="20"/>
          <w:szCs w:val="20"/>
          <w:color w:val="auto"/>
        </w:rPr>
      </w:pPr>
      <w:r>
        <w:rPr>
          <w:rFonts w:ascii="Times New Roman" w:cs="Times New Roman" w:eastAsia="Times New Roman" w:hAnsi="Times New Roman"/>
          <w:sz w:val="18"/>
          <w:szCs w:val="18"/>
          <w:color w:val="auto"/>
        </w:rPr>
        <w:t>Met-Pro’s products. In those cases, where evidence has been produced, the Company’s experience has been that the exposure levels are low and the</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Company’s position has been that its products were not a cause of death, injury or loss. The Company has been dismissed from or settled a large</w: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number of these cases. Cumulative settlement payments from 2002 through September 30, 2022 for cases involving asbestos-related claims were</w:t>
      </w:r>
    </w:p>
    <w:p>
      <w:pPr>
        <w:ind w:left="520"/>
        <w:spacing w:after="0"/>
        <w:rPr>
          <w:sz w:val="20"/>
          <w:szCs w:val="20"/>
          <w:color w:val="auto"/>
        </w:rPr>
      </w:pPr>
      <w:r>
        <w:rPr>
          <w:rFonts w:ascii="Times New Roman" w:cs="Times New Roman" w:eastAsia="Times New Roman" w:hAnsi="Times New Roman"/>
          <w:sz w:val="17"/>
          <w:szCs w:val="17"/>
          <w:color w:val="auto"/>
        </w:rPr>
        <w:t>$5.9 million, of which, together with all legal fees other than corporate counsel expenses, $5.8 million has been paid by the Company’s insurers. The</w:t>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average cost per settled claim, excluding legal fees, was approximately $43,000.</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5" w:name="page16"/>
    <w:bookmarkEnd w:id="15"/>
    <w:p>
      <w:pPr>
        <w:ind w:left="512"/>
        <w:spacing w:after="0" w:line="244" w:lineRule="auto"/>
        <w:rPr>
          <w:sz w:val="20"/>
          <w:szCs w:val="20"/>
          <w:color w:val="auto"/>
        </w:rPr>
      </w:pPr>
      <w:r>
        <w:rPr>
          <w:rFonts w:ascii="Times New Roman" w:cs="Times New Roman" w:eastAsia="Times New Roman" w:hAnsi="Times New Roman"/>
          <w:sz w:val="18"/>
          <w:szCs w:val="18"/>
          <w:color w:val="auto"/>
        </w:rPr>
        <w:t>Based upon the most recent information available to the Company regarding such claims, there were a total of 259 cases pending against the Company as of September 30, 2022 (with Illinois, New York, Pennsylvania and West Virginia having the largest number of cases), as compared with 223 cases that were pending as of December 31, 2021. During the nine months ended September 30, 2022, 108 new cases were filed against the Company, and the Company was dismissed from 51 cases and settled 21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8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14" w:lineRule="exact"/>
        <w:rPr>
          <w:sz w:val="20"/>
          <w:szCs w:val="20"/>
          <w:color w:val="auto"/>
        </w:rPr>
      </w:pPr>
    </w:p>
    <w:p>
      <w:pPr>
        <w:ind w:left="512" w:right="120"/>
        <w:spacing w:after="0" w:line="282" w:lineRule="auto"/>
        <w:rPr>
          <w:sz w:val="20"/>
          <w:szCs w:val="20"/>
          <w:color w:val="auto"/>
        </w:rPr>
      </w:pPr>
      <w:r>
        <w:rPr>
          <w:rFonts w:ascii="Times New Roman" w:cs="Times New Roman" w:eastAsia="Times New Roman" w:hAnsi="Times New Roman"/>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48" w:lineRule="exact"/>
        <w:rPr>
          <w:sz w:val="20"/>
          <w:szCs w:val="20"/>
          <w:color w:val="auto"/>
        </w:rPr>
      </w:pPr>
    </w:p>
    <w:p>
      <w:pPr>
        <w:ind w:left="512"/>
        <w:spacing w:after="0" w:line="250" w:lineRule="auto"/>
        <w:rPr>
          <w:sz w:val="20"/>
          <w:szCs w:val="20"/>
          <w:color w:val="auto"/>
        </w:rPr>
      </w:pPr>
      <w:r>
        <w:rPr>
          <w:rFonts w:ascii="Times New Roman" w:cs="Times New Roman" w:eastAsia="Times New Roman" w:hAnsi="Times New Roman"/>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the Company records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77" w:lineRule="exact"/>
        <w:rPr>
          <w:sz w:val="20"/>
          <w:szCs w:val="20"/>
          <w:color w:val="auto"/>
        </w:rPr>
      </w:pPr>
    </w:p>
    <w:p>
      <w:pPr>
        <w:ind w:left="512" w:right="220"/>
        <w:spacing w:after="0" w:line="282" w:lineRule="auto"/>
        <w:rPr>
          <w:sz w:val="20"/>
          <w:szCs w:val="20"/>
          <w:color w:val="auto"/>
        </w:rPr>
      </w:pPr>
      <w:r>
        <w:rPr>
          <w:rFonts w:ascii="Times New Roman" w:cs="Times New Roman" w:eastAsia="Times New Roman" w:hAnsi="Times New Roman"/>
          <w:sz w:val="18"/>
          <w:szCs w:val="18"/>
          <w:color w:val="auto"/>
        </w:rPr>
        <w:t>The Company is not aware of any pending claims or assessments, other than as described above, which may have a material adverse impact on its liquidity, financial position, results of operations, or cash flows.</w:t>
      </w:r>
    </w:p>
    <w:p>
      <w:pPr>
        <w:spacing w:after="0" w:line="144" w:lineRule="exact"/>
        <w:rPr>
          <w:sz w:val="20"/>
          <w:szCs w:val="20"/>
          <w:color w:val="auto"/>
        </w:rPr>
      </w:pPr>
    </w:p>
    <w:p>
      <w:pPr>
        <w:ind w:left="512" w:right="8300" w:hanging="512"/>
        <w:spacing w:after="0" w:line="495" w:lineRule="auto"/>
        <w:tabs>
          <w:tab w:leader="none" w:pos="49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Acquisitions and Joint Ventures </w:t>
      </w:r>
      <w:r>
        <w:rPr>
          <w:rFonts w:ascii="Times New Roman" w:cs="Times New Roman" w:eastAsia="Times New Roman" w:hAnsi="Times New Roman"/>
          <w:sz w:val="18"/>
          <w:szCs w:val="18"/>
          <w:i w:val="1"/>
          <w:iCs w:val="1"/>
          <w:color w:val="auto"/>
        </w:rPr>
        <w:t>General Rubber LLC</w:t>
      </w:r>
    </w:p>
    <w:p>
      <w:pPr>
        <w:ind w:left="512" w:right="20"/>
        <w:spacing w:after="0" w:line="24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7, 2022, the Company, through the EFM JV, acquired 100% of the equity interests of General Rubber LLC ("GRC") for $19.7 million in cash, which was financed with a combination of a draw on the Company's revolving credit facility and issuance of term debt by the EFM JV (see Note 7). As additional consideration, the former owners of GRC were issued 10% of the equity interest in the EFM JV, resulting in the Company holding 63% of the equity in the joint venture. The fair value ascribed to the equity interest of the former owners of GRC was approximately $4.1 million. During the nine months ended September 30, 2022, the Company recorded an adjustment of $0.9 million to the fair value of the equity interest, as reflected in the Condensed Consolidated Statement of Shareholders' Equity. As of September 30, 2022, there were $13.7 million in current assets, $28.1 million in long-lived assets, and $30.5 million in total liabilities related to the EFM JV included in the Condensed Consolidated Balance Sheets.</w:t>
      </w:r>
    </w:p>
    <w:p>
      <w:pPr>
        <w:spacing w:after="0" w:line="186" w:lineRule="exact"/>
        <w:rPr>
          <w:rFonts w:ascii="Times New Roman" w:cs="Times New Roman" w:eastAsia="Times New Roman" w:hAnsi="Times New Roman"/>
          <w:sz w:val="18"/>
          <w:szCs w:val="18"/>
          <w:b w:val="1"/>
          <w:bCs w:val="1"/>
          <w:color w:val="auto"/>
        </w:rPr>
      </w:pPr>
    </w:p>
    <w:p>
      <w:pPr>
        <w:ind w:left="512" w:right="2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GRC engineers and manufactures non-metallic expansion joints and flow control products including rubber expansion joints, ducting expansion joints, and industrial pinch and duck bill valves, serving the industrial water and wastewater markets. The acquisition diversifies and expands the EFM JV product offerings within the Engineered Systems segment. The following table summarizes the fair values of the assets acquired and liabilities assumed at the date of closing.</w:t>
      </w:r>
    </w:p>
    <w:p>
      <w:pPr>
        <w:sectPr>
          <w:pgSz w:w="11900" w:h="16838" w:orient="portrait"/>
          <w:cols w:equalWidth="0" w:num="1">
            <w:col w:w="11232"/>
          </w:cols>
          <w:pgMar w:left="328" w:top="540" w:right="339" w:bottom="1440" w:gutter="0" w:footer="0" w:header="0"/>
        </w:sectPr>
      </w:pPr>
    </w:p>
    <w:p>
      <w:pPr>
        <w:spacing w:after="0" w:line="180"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color w:val="auto"/>
        </w:rPr>
        <w:t>Current assets (including cash of $137)</w:t>
      </w:r>
    </w:p>
    <w:p>
      <w:pPr>
        <w:spacing w:after="0" w:line="1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132320"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
        <w:spacing w:after="0"/>
        <w:rPr>
          <w:sz w:val="20"/>
          <w:szCs w:val="20"/>
          <w:color w:val="auto"/>
        </w:rPr>
      </w:pPr>
      <w:r>
        <w:rPr>
          <w:rFonts w:ascii="Times New Roman" w:cs="Times New Roman" w:eastAsia="Times New Roman" w:hAnsi="Times New Roman"/>
          <w:sz w:val="16"/>
          <w:szCs w:val="16"/>
          <w:color w:val="auto"/>
        </w:rPr>
        <w:t>Goodwill</w:t>
      </w:r>
    </w:p>
    <w:p>
      <w:pPr>
        <w:spacing w:after="0" w:line="2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color w:val="auto"/>
        </w:rPr>
        <w:t>Intangible - finite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32320" cy="2660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6" w:lineRule="exact"/>
        <w:rPr>
          <w:sz w:val="20"/>
          <w:szCs w:val="20"/>
          <w:color w:val="auto"/>
        </w:rPr>
      </w:pPr>
    </w:p>
    <w:p>
      <w:pPr>
        <w:ind w:left="192"/>
        <w:spacing w:after="0"/>
        <w:rPr>
          <w:sz w:val="20"/>
          <w:szCs w:val="20"/>
          <w:color w:val="auto"/>
        </w:rPr>
      </w:pPr>
      <w:r>
        <w:rPr>
          <w:rFonts w:ascii="Times New Roman" w:cs="Times New Roman" w:eastAsia="Times New Roman" w:hAnsi="Times New Roman"/>
          <w:sz w:val="16"/>
          <w:szCs w:val="16"/>
          <w:color w:val="auto"/>
        </w:rPr>
        <w:t>Total assets acquired</w:t>
      </w:r>
    </w:p>
    <w:p>
      <w:pPr>
        <w:spacing w:after="0" w:line="1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132320"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92"/>
        <w:spacing w:after="0"/>
        <w:rPr>
          <w:sz w:val="20"/>
          <w:szCs w:val="20"/>
          <w:color w:val="auto"/>
        </w:rPr>
      </w:pPr>
      <w:r>
        <w:rPr>
          <w:rFonts w:ascii="Times New Roman" w:cs="Times New Roman" w:eastAsia="Times New Roman" w:hAnsi="Times New Roman"/>
          <w:sz w:val="16"/>
          <w:szCs w:val="16"/>
          <w:color w:val="auto"/>
        </w:rPr>
        <w:t>Net assets acquired</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w:t>
            </w:r>
          </w:p>
        </w:tc>
        <w:tc>
          <w:tcPr>
            <w:tcW w:w="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11,120</w:t>
            </w:r>
          </w:p>
        </w:tc>
        <w:tc>
          <w:tcPr>
            <w:tcW w:w="60" w:type="dxa"/>
            <w:vAlign w:val="bottom"/>
          </w:tcPr>
          <w:p>
            <w:pPr>
              <w:spacing w:after="0"/>
              <w:rPr>
                <w:sz w:val="17"/>
                <w:szCs w:val="17"/>
                <w:color w:val="auto"/>
              </w:rPr>
            </w:pPr>
          </w:p>
        </w:tc>
      </w:tr>
      <w:tr>
        <w:trPr>
          <w:trHeight w:val="213"/>
        </w:trPr>
        <w:tc>
          <w:tcPr>
            <w:tcW w:w="8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60" w:type="dxa"/>
            <w:vAlign w:val="bottom"/>
          </w:tcPr>
          <w:p>
            <w:pPr>
              <w:spacing w:after="0"/>
              <w:rPr>
                <w:sz w:val="18"/>
                <w:szCs w:val="18"/>
                <w:color w:val="auto"/>
              </w:rPr>
            </w:pPr>
          </w:p>
        </w:tc>
      </w:tr>
      <w:tr>
        <w:trPr>
          <w:trHeight w:val="185"/>
        </w:trPr>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24,922</w:t>
            </w:r>
          </w:p>
        </w:tc>
        <w:tc>
          <w:tcPr>
            <w:tcW w:w="60" w:type="dxa"/>
            <w:vAlign w:val="bottom"/>
          </w:tcPr>
          <w:p>
            <w:pPr>
              <w:spacing w:after="0"/>
              <w:rPr>
                <w:sz w:val="16"/>
                <w:szCs w:val="16"/>
                <w:color w:val="auto"/>
              </w:rPr>
            </w:pPr>
          </w:p>
        </w:tc>
      </w:tr>
      <w:tr>
        <w:trPr>
          <w:trHeight w:val="203"/>
        </w:trPr>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(714 )</w:t>
            </w:r>
          </w:p>
        </w:tc>
      </w:tr>
      <w:tr>
        <w:trPr>
          <w:trHeight w:val="213"/>
        </w:trPr>
        <w:tc>
          <w:tcPr>
            <w:tcW w:w="8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(388 )</w:t>
            </w:r>
          </w:p>
        </w:tc>
      </w:tr>
      <w:tr>
        <w:trPr>
          <w:trHeight w:val="199"/>
        </w:trPr>
        <w:tc>
          <w:tcPr>
            <w:tcW w:w="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23,820</w:t>
            </w:r>
          </w:p>
        </w:tc>
        <w:tc>
          <w:tcPr>
            <w:tcW w:w="60" w:type="dxa"/>
            <w:vAlign w:val="bottom"/>
          </w:tcPr>
          <w:p>
            <w:pPr>
              <w:spacing w:after="0"/>
              <w:rPr>
                <w:sz w:val="17"/>
                <w:szCs w:val="17"/>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452" w:space="720"/>
            <w:col w:w="2060"/>
          </w:cols>
          <w:pgMar w:left="328" w:top="540" w:right="339" w:bottom="1440" w:gutter="0" w:footer="0" w:header="0"/>
          <w:type w:val="continuous"/>
        </w:sectPr>
      </w:pPr>
    </w:p>
    <w:p>
      <w:pPr>
        <w:ind w:left="512" w:right="24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GRC accounted for $3.9 million and $8.3 million in revenue, respectively, and $0.7 million and $1.5 million, respectively, of net income included in the Company’s results.</w:t>
      </w:r>
    </w:p>
    <w:p>
      <w:pPr>
        <w:spacing w:after="0" w:line="200" w:lineRule="exact"/>
        <w:rPr>
          <w:sz w:val="20"/>
          <w:szCs w:val="20"/>
          <w:color w:val="auto"/>
        </w:rPr>
      </w:pPr>
    </w:p>
    <w:p>
      <w:pPr>
        <w:spacing w:after="0" w:line="36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40" w:right="339" w:bottom="1440" w:gutter="0" w:footer="0" w:header="0"/>
          <w:type w:val="continuous"/>
        </w:sectPr>
      </w:pPr>
    </w:p>
    <w:bookmarkStart w:id="16" w:name="page17"/>
    <w:bookmarkEnd w:id="16"/>
    <w:p>
      <w:pPr>
        <w:ind w:left="500"/>
        <w:spacing w:after="0"/>
        <w:rPr>
          <w:sz w:val="20"/>
          <w:szCs w:val="20"/>
          <w:color w:val="auto"/>
        </w:rPr>
      </w:pPr>
      <w:r>
        <w:rPr>
          <w:rFonts w:ascii="Times New Roman" w:cs="Times New Roman" w:eastAsia="Times New Roman" w:hAnsi="Times New Roman"/>
          <w:sz w:val="18"/>
          <w:szCs w:val="18"/>
          <w:i w:val="1"/>
          <w:iCs w:val="1"/>
          <w:color w:val="auto"/>
        </w:rPr>
        <w:t>Compass Water Solutions, Inc.</w:t>
      </w:r>
    </w:p>
    <w:p>
      <w:pPr>
        <w:spacing w:after="0" w:line="227" w:lineRule="exact"/>
        <w:rPr>
          <w:sz w:val="20"/>
          <w:szCs w:val="20"/>
          <w:color w:val="auto"/>
        </w:rPr>
      </w:pPr>
    </w:p>
    <w:p>
      <w:pPr>
        <w:ind w:left="500" w:right="60"/>
        <w:spacing w:after="0" w:line="246" w:lineRule="auto"/>
        <w:rPr>
          <w:sz w:val="20"/>
          <w:szCs w:val="20"/>
          <w:color w:val="auto"/>
        </w:rPr>
      </w:pPr>
      <w:r>
        <w:rPr>
          <w:rFonts w:ascii="Times New Roman" w:cs="Times New Roman" w:eastAsia="Times New Roman" w:hAnsi="Times New Roman"/>
          <w:sz w:val="18"/>
          <w:szCs w:val="18"/>
          <w:color w:val="auto"/>
        </w:rPr>
        <w:t>On May 3, 2022, the Company acquired 100% of the equity interests of Compass Water Solutions, Inc. ("Compass") for $9.0 million in cash, which was financed with a draw on the Company’s revolving credit facility, and $2.0 million in notes payable to the former owners over two years. As additional consideration, the former owners are entitled to earn-out payments based upon a multiple of specified financial results through April 30, 2023. Based on projections at the acquisition date, the Company estimated the fair value of the earn-out to be $1.4 million. As of September 30, 2022, the earnout liability recorded in “Accounts payable and accrued expenses” on the Condensed Consolidated Balance Sheets is $1.4 million.</w:t>
      </w:r>
    </w:p>
    <w:p>
      <w:pPr>
        <w:spacing w:after="0" w:line="181" w:lineRule="exact"/>
        <w:rPr>
          <w:sz w:val="20"/>
          <w:szCs w:val="20"/>
          <w:color w:val="auto"/>
        </w:rPr>
      </w:pPr>
    </w:p>
    <w:p>
      <w:pPr>
        <w:ind w:left="500"/>
        <w:spacing w:after="0" w:line="250" w:lineRule="auto"/>
        <w:rPr>
          <w:sz w:val="20"/>
          <w:szCs w:val="20"/>
          <w:color w:val="auto"/>
        </w:rPr>
      </w:pPr>
      <w:r>
        <w:rPr>
          <w:rFonts w:ascii="Times New Roman" w:cs="Times New Roman" w:eastAsia="Times New Roman" w:hAnsi="Times New Roman"/>
          <w:sz w:val="18"/>
          <w:szCs w:val="18"/>
          <w:color w:val="auto"/>
        </w:rPr>
        <w:t>Compass is a leading global supplier of membrane-based industrial water and wastewater treatment systems that help customers achieve regulatory compliance of water discharge at the lowest lifecycle cost. The acquisition diversifies and expands the Company's industrial water product offerings within our Engineered Systems segment. The following table summarizes the fair values of the assets acquired and liabilities assumed at the date of closing.</w:t>
      </w:r>
    </w:p>
    <w:p>
      <w:pPr>
        <w:sectPr>
          <w:pgSz w:w="11900" w:h="16838" w:orient="portrait"/>
          <w:cols w:equalWidth="0" w:num="1">
            <w:col w:w="11200"/>
          </w:cols>
          <w:pgMar w:left="340" w:top="538" w:right="35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assets (including cash of $334)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-112395</wp:posOffset>
            </wp:positionV>
            <wp:extent cx="7132320"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Goodwill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Intangible - finite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32320" cy="2654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Total assets 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-112395</wp:posOffset>
            </wp:positionV>
            <wp:extent cx="713232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Net assets acquired</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4,796</w:t>
            </w:r>
          </w:p>
        </w:tc>
        <w:tc>
          <w:tcPr>
            <w:tcW w:w="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60" w:type="dxa"/>
            <w:vAlign w:val="bottom"/>
          </w:tcPr>
          <w:p>
            <w:pPr>
              <w:spacing w:after="0"/>
              <w:rPr>
                <w:sz w:val="17"/>
                <w:szCs w:val="17"/>
                <w:color w:val="auto"/>
              </w:rPr>
            </w:pPr>
          </w:p>
        </w:tc>
      </w:tr>
      <w:tr>
        <w:trPr>
          <w:trHeight w:val="213"/>
        </w:trPr>
        <w:tc>
          <w:tcPr>
            <w:tcW w:w="8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60" w:type="dxa"/>
            <w:vAlign w:val="bottom"/>
          </w:tcPr>
          <w:p>
            <w:pPr>
              <w:spacing w:after="0"/>
              <w:rPr>
                <w:sz w:val="18"/>
                <w:szCs w:val="18"/>
                <w:color w:val="auto"/>
              </w:rPr>
            </w:pPr>
          </w:p>
        </w:tc>
      </w:tr>
      <w:tr>
        <w:trPr>
          <w:trHeight w:val="185"/>
        </w:trPr>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14,645</w:t>
            </w:r>
          </w:p>
        </w:tc>
        <w:tc>
          <w:tcPr>
            <w:tcW w:w="60" w:type="dxa"/>
            <w:vAlign w:val="bottom"/>
          </w:tcPr>
          <w:p>
            <w:pPr>
              <w:spacing w:after="0"/>
              <w:rPr>
                <w:sz w:val="16"/>
                <w:szCs w:val="16"/>
                <w:color w:val="auto"/>
              </w:rPr>
            </w:pPr>
          </w:p>
        </w:tc>
      </w:tr>
      <w:tr>
        <w:trPr>
          <w:trHeight w:val="203"/>
        </w:trPr>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(623 )</w:t>
            </w:r>
          </w:p>
        </w:tc>
      </w:tr>
      <w:tr>
        <w:trPr>
          <w:trHeight w:val="213"/>
        </w:trPr>
        <w:tc>
          <w:tcPr>
            <w:tcW w:w="8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(1,627 )</w:t>
            </w:r>
          </w:p>
        </w:tc>
      </w:tr>
      <w:tr>
        <w:trPr>
          <w:trHeight w:val="199"/>
        </w:trPr>
        <w:tc>
          <w:tcPr>
            <w:tcW w:w="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12,395</w:t>
            </w:r>
          </w:p>
        </w:tc>
        <w:tc>
          <w:tcPr>
            <w:tcW w:w="60" w:type="dxa"/>
            <w:vAlign w:val="bottom"/>
          </w:tcPr>
          <w:p>
            <w:pPr>
              <w:spacing w:after="0"/>
              <w:rPr>
                <w:sz w:val="17"/>
                <w:szCs w:val="17"/>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440" w:space="720"/>
            <w:col w:w="2040"/>
          </w:cols>
          <w:pgMar w:left="340" w:top="538" w:right="359" w:bottom="1440" w:gutter="0" w:footer="0" w:header="0"/>
          <w:type w:val="continuous"/>
        </w:sectPr>
      </w:pPr>
    </w:p>
    <w:p>
      <w:pPr>
        <w:ind w:left="500" w:right="30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Compass accounted for $1.5 million and $2.3 million in revenue, respectively, and $0.1 million and $0.2 million, respectively, of net loss included in the Company’s results.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Western Air Ducts Ltd.</w:t>
      </w:r>
    </w:p>
    <w:p>
      <w:pPr>
        <w:spacing w:after="0" w:line="214" w:lineRule="exact"/>
        <w:rPr>
          <w:sz w:val="20"/>
          <w:szCs w:val="20"/>
          <w:color w:val="auto"/>
        </w:rPr>
      </w:pPr>
    </w:p>
    <w:p>
      <w:pPr>
        <w:ind w:left="500" w:right="120"/>
        <w:spacing w:after="0" w:line="258" w:lineRule="auto"/>
        <w:rPr>
          <w:sz w:val="20"/>
          <w:szCs w:val="20"/>
          <w:color w:val="auto"/>
        </w:rPr>
      </w:pPr>
      <w:r>
        <w:rPr>
          <w:rFonts w:ascii="Times New Roman" w:cs="Times New Roman" w:eastAsia="Times New Roman" w:hAnsi="Times New Roman"/>
          <w:sz w:val="18"/>
          <w:szCs w:val="18"/>
          <w:color w:val="auto"/>
        </w:rPr>
        <w:t>On June 22, 2022, the Company acquired 100% of the equity interests of Western Air Ducts Limited for $10.7 million in cash, which was financed with a draw on the Company’s revolving credit facility, and deferred cash consideration of $0.8 million payable in one year. The deferred consideration is recorded in “Accounts payable and accrued expenses” on the Condensed Consolidated Balance Sheets.</w:t>
      </w:r>
    </w:p>
    <w:p>
      <w:pPr>
        <w:spacing w:after="0" w:line="169" w:lineRule="exact"/>
        <w:rPr>
          <w:sz w:val="20"/>
          <w:szCs w:val="20"/>
          <w:color w:val="auto"/>
        </w:rPr>
      </w:pPr>
    </w:p>
    <w:p>
      <w:pPr>
        <w:jc w:val="both"/>
        <w:ind w:left="500" w:right="40"/>
        <w:spacing w:after="0" w:line="258" w:lineRule="auto"/>
        <w:rPr>
          <w:sz w:val="20"/>
          <w:szCs w:val="20"/>
          <w:color w:val="auto"/>
        </w:rPr>
      </w:pPr>
      <w:r>
        <w:rPr>
          <w:rFonts w:ascii="Times New Roman" w:cs="Times New Roman" w:eastAsia="Times New Roman" w:hAnsi="Times New Roman"/>
          <w:sz w:val="18"/>
          <w:szCs w:val="18"/>
          <w:color w:val="auto"/>
        </w:rPr>
        <w:t>Western Air Ducts is a leading European supplier of dust and fume extraction solutions, providing consultation, design, manufacturing, installation, and service. The acquisition diversifies and expands the Company's industrial air product offerings within the Industrial Process Solutions segment. The following table summarizes the fair values of the assets acquired and liabilities assumed at the date of closing.</w:t>
      </w:r>
    </w:p>
    <w:p>
      <w:pPr>
        <w:sectPr>
          <w:pgSz w:w="11900" w:h="16838" w:orient="portrait"/>
          <w:cols w:equalWidth="0" w:num="1">
            <w:col w:w="11200"/>
          </w:cols>
          <w:pgMar w:left="340" w:top="538" w:right="35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assets (including cash of $1,557)</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-112395</wp:posOffset>
            </wp:positionV>
            <wp:extent cx="7132320"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Goodwill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Intangible - finite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32320" cy="2654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Total assets 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-112395</wp:posOffset>
            </wp:positionV>
            <wp:extent cx="7132320"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Net assets acquired</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7,344</w:t>
            </w:r>
          </w:p>
        </w:tc>
        <w:tc>
          <w:tcPr>
            <w:tcW w:w="60" w:type="dxa"/>
            <w:vAlign w:val="bottom"/>
          </w:tcPr>
          <w:p>
            <w:pPr>
              <w:spacing w:after="0"/>
              <w:rPr>
                <w:sz w:val="17"/>
                <w:szCs w:val="17"/>
                <w:color w:val="auto"/>
              </w:rPr>
            </w:pPr>
          </w:p>
        </w:tc>
      </w:tr>
      <w:tr>
        <w:trPr>
          <w:trHeight w:val="213"/>
        </w:trPr>
        <w:tc>
          <w:tcPr>
            <w:tcW w:w="8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60" w:type="dxa"/>
            <w:vAlign w:val="bottom"/>
          </w:tcPr>
          <w:p>
            <w:pPr>
              <w:spacing w:after="0"/>
              <w:rPr>
                <w:sz w:val="18"/>
                <w:szCs w:val="18"/>
                <w:color w:val="auto"/>
              </w:rPr>
            </w:pPr>
          </w:p>
        </w:tc>
      </w:tr>
      <w:tr>
        <w:trPr>
          <w:trHeight w:val="185"/>
        </w:trPr>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13,401</w:t>
            </w:r>
          </w:p>
        </w:tc>
        <w:tc>
          <w:tcPr>
            <w:tcW w:w="60" w:type="dxa"/>
            <w:vAlign w:val="bottom"/>
          </w:tcPr>
          <w:p>
            <w:pPr>
              <w:spacing w:after="0"/>
              <w:rPr>
                <w:sz w:val="16"/>
                <w:szCs w:val="16"/>
                <w:color w:val="auto"/>
              </w:rPr>
            </w:pPr>
          </w:p>
        </w:tc>
      </w:tr>
      <w:tr>
        <w:trPr>
          <w:trHeight w:val="203"/>
        </w:trPr>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(1,127 )</w:t>
            </w:r>
          </w:p>
        </w:tc>
      </w:tr>
      <w:tr>
        <w:trPr>
          <w:trHeight w:val="213"/>
        </w:trPr>
        <w:tc>
          <w:tcPr>
            <w:tcW w:w="8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(824 )</w:t>
            </w:r>
          </w:p>
        </w:tc>
      </w:tr>
      <w:tr>
        <w:trPr>
          <w:trHeight w:val="199"/>
        </w:trPr>
        <w:tc>
          <w:tcPr>
            <w:tcW w:w="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11,450</w:t>
            </w:r>
          </w:p>
        </w:tc>
        <w:tc>
          <w:tcPr>
            <w:tcW w:w="60" w:type="dxa"/>
            <w:vAlign w:val="bottom"/>
          </w:tcPr>
          <w:p>
            <w:pPr>
              <w:spacing w:after="0"/>
              <w:rPr>
                <w:sz w:val="17"/>
                <w:szCs w:val="17"/>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440" w:space="720"/>
            <w:col w:w="2040"/>
          </w:cols>
          <w:pgMar w:left="340" w:top="538" w:right="359" w:bottom="1440" w:gutter="0" w:footer="0" w:header="0"/>
          <w:type w:val="continuous"/>
        </w:sectPr>
      </w:pPr>
    </w:p>
    <w:p>
      <w:pPr>
        <w:ind w:left="500" w:right="14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Western Air Ducts accounted for $0.7 million in revenue and $0.2 million of net loss included in the Company's results.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DS21 Co., Ltd.</w:t>
      </w:r>
    </w:p>
    <w:p>
      <w:pPr>
        <w:spacing w:after="0" w:line="214" w:lineRule="exact"/>
        <w:rPr>
          <w:sz w:val="20"/>
          <w:szCs w:val="20"/>
          <w:color w:val="auto"/>
        </w:rPr>
      </w:pPr>
    </w:p>
    <w:p>
      <w:pPr>
        <w:ind w:left="500" w:right="180"/>
        <w:spacing w:after="0" w:line="258" w:lineRule="auto"/>
        <w:rPr>
          <w:sz w:val="20"/>
          <w:szCs w:val="20"/>
          <w:color w:val="auto"/>
        </w:rPr>
      </w:pPr>
      <w:r>
        <w:rPr>
          <w:rFonts w:ascii="Times New Roman" w:cs="Times New Roman" w:eastAsia="Times New Roman" w:hAnsi="Times New Roman"/>
          <w:sz w:val="18"/>
          <w:szCs w:val="18"/>
          <w:color w:val="auto"/>
        </w:rPr>
        <w:t>On September 19, 2022, the Company acquired 100% of the equity interests of DS21 Co., Ltd. ("DS21") for $9.2 million, including 8.9 million in cash, which was financed with a draw on the Company’s revolving credit facility, and deferred cash consideration of $0.3 million payable in one year.</w:t>
      </w:r>
    </w:p>
    <w:p>
      <w:pPr>
        <w:spacing w:after="0" w:line="169" w:lineRule="exact"/>
        <w:rPr>
          <w:sz w:val="20"/>
          <w:szCs w:val="20"/>
          <w:color w:val="auto"/>
        </w:rPr>
      </w:pPr>
    </w:p>
    <w:p>
      <w:pPr>
        <w:ind w:left="500" w:right="120"/>
        <w:spacing w:after="0" w:line="266" w:lineRule="auto"/>
        <w:rPr>
          <w:sz w:val="20"/>
          <w:szCs w:val="20"/>
          <w:color w:val="auto"/>
        </w:rPr>
      </w:pPr>
      <w:r>
        <w:rPr>
          <w:rFonts w:ascii="Times New Roman" w:cs="Times New Roman" w:eastAsia="Times New Roman" w:hAnsi="Times New Roman"/>
          <w:sz w:val="18"/>
          <w:szCs w:val="18"/>
          <w:color w:val="auto"/>
        </w:rPr>
        <w:t>DS21 is a South Korean-based design and manufacturing firm specializing in innovative water and wastewater treatment solutions. The addition of DS21 advances the Company's leadership position in niche oily water and produced water treatment,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38" w:right="359" w:bottom="1440" w:gutter="0" w:footer="0" w:header="0"/>
          <w:type w:val="continuous"/>
        </w:sectPr>
      </w:pPr>
    </w:p>
    <w:bookmarkStart w:id="17" w:name="page18"/>
    <w:bookmarkEnd w:id="17"/>
    <w:p>
      <w:pPr>
        <w:ind w:left="520" w:right="120"/>
        <w:spacing w:after="0" w:line="282" w:lineRule="auto"/>
        <w:rPr>
          <w:sz w:val="20"/>
          <w:szCs w:val="20"/>
          <w:color w:val="auto"/>
        </w:rPr>
      </w:pPr>
      <w:r>
        <w:rPr>
          <w:rFonts w:ascii="Times New Roman" w:cs="Times New Roman" w:eastAsia="Times New Roman" w:hAnsi="Times New Roman"/>
          <w:sz w:val="18"/>
          <w:szCs w:val="18"/>
          <w:color w:val="auto"/>
        </w:rPr>
        <w:t>demineralization water treatment and ultra-pure water supply applications within the Company's Engineered Systems segment. The following table summarizes the fair values of the assets acquired and liabilities assumed at the date of closing.</w:t>
      </w:r>
    </w:p>
    <w:p>
      <w:pPr>
        <w:sectPr>
          <w:pgSz w:w="11900" w:h="16838" w:orient="portrait"/>
          <w:cols w:equalWidth="0" w:num="1">
            <w:col w:w="11240"/>
          </w:cols>
          <w:pgMar w:left="320" w:top="540" w:right="339" w:bottom="1440" w:gutter="0" w:footer="0" w:header="0"/>
        </w:sectPr>
      </w:pP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Current assets (including cash of $1,453)</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Goodwill</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265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Total assets acquired</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assets acquired</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5,099</w:t>
            </w:r>
          </w:p>
        </w:tc>
        <w:tc>
          <w:tcPr>
            <w:tcW w:w="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60" w:type="dxa"/>
            <w:vAlign w:val="bottom"/>
          </w:tcPr>
          <w:p>
            <w:pPr>
              <w:spacing w:after="0"/>
              <w:rPr>
                <w:sz w:val="17"/>
                <w:szCs w:val="17"/>
                <w:color w:val="auto"/>
              </w:rPr>
            </w:pPr>
          </w:p>
        </w:tc>
      </w:tr>
      <w:tr>
        <w:trPr>
          <w:trHeight w:val="213"/>
        </w:trPr>
        <w:tc>
          <w:tcPr>
            <w:tcW w:w="8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60" w:type="dxa"/>
            <w:vAlign w:val="bottom"/>
          </w:tcPr>
          <w:p>
            <w:pPr>
              <w:spacing w:after="0"/>
              <w:rPr>
                <w:sz w:val="18"/>
                <w:szCs w:val="18"/>
                <w:color w:val="auto"/>
              </w:rPr>
            </w:pPr>
          </w:p>
        </w:tc>
      </w:tr>
      <w:tr>
        <w:trPr>
          <w:trHeight w:val="185"/>
        </w:trPr>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10,359</w:t>
            </w:r>
          </w:p>
        </w:tc>
        <w:tc>
          <w:tcPr>
            <w:tcW w:w="60" w:type="dxa"/>
            <w:vAlign w:val="bottom"/>
          </w:tcPr>
          <w:p>
            <w:pPr>
              <w:spacing w:after="0"/>
              <w:rPr>
                <w:sz w:val="16"/>
                <w:szCs w:val="16"/>
                <w:color w:val="auto"/>
              </w:rPr>
            </w:pPr>
          </w:p>
        </w:tc>
      </w:tr>
      <w:tr>
        <w:trPr>
          <w:trHeight w:val="203"/>
        </w:trPr>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(1,008 )</w:t>
            </w:r>
          </w:p>
        </w:tc>
      </w:tr>
      <w:tr>
        <w:trPr>
          <w:trHeight w:val="213"/>
        </w:trPr>
        <w:tc>
          <w:tcPr>
            <w:tcW w:w="8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199"/>
        </w:trPr>
        <w:tc>
          <w:tcPr>
            <w:tcW w:w="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9,238</w:t>
            </w:r>
          </w:p>
        </w:tc>
        <w:tc>
          <w:tcPr>
            <w:tcW w:w="60" w:type="dxa"/>
            <w:vAlign w:val="bottom"/>
          </w:tcPr>
          <w:p>
            <w:pPr>
              <w:spacing w:after="0"/>
              <w:rPr>
                <w:sz w:val="17"/>
                <w:szCs w:val="17"/>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460" w:space="720"/>
            <w:col w:w="2060"/>
          </w:cols>
          <w:pgMar w:left="320" w:top="540" w:right="339" w:bottom="1440" w:gutter="0" w:footer="0" w:header="0"/>
          <w:type w:val="continuous"/>
        </w:sectPr>
      </w:pPr>
    </w:p>
    <w:p>
      <w:pPr>
        <w:ind w:left="520"/>
        <w:spacing w:after="0" w:line="250" w:lineRule="auto"/>
        <w:rPr>
          <w:sz w:val="20"/>
          <w:szCs w:val="20"/>
          <w:color w:val="auto"/>
        </w:rPr>
      </w:pPr>
      <w:r>
        <w:rPr>
          <w:rFonts w:ascii="Times New Roman" w:cs="Times New Roman" w:eastAsia="Times New Roman" w:hAnsi="Times New Roman"/>
          <w:sz w:val="18"/>
          <w:szCs w:val="18"/>
          <w:color w:val="auto"/>
        </w:rPr>
        <w:t>The approximate fair values of the assets acquired and liabilities assumed related to the acquisitions are based on preliminary estimates and assumptions. These preliminary estimates and assumptions could change significantly during the purchase price measurement period as the Company finalizes the valuation of assets acquired and liabilities assumed. These changes could result in material variances between the Company's future financial results, including variances in the estimated purchase price, fair values recorded and expenses associated with these items.</w:t>
      </w:r>
    </w:p>
    <w:p>
      <w:pPr>
        <w:spacing w:after="0" w:line="177" w:lineRule="exact"/>
        <w:rPr>
          <w:sz w:val="20"/>
          <w:szCs w:val="20"/>
          <w:color w:val="auto"/>
        </w:rPr>
      </w:pPr>
    </w:p>
    <w:p>
      <w:pPr>
        <w:jc w:val="both"/>
        <w:ind w:left="520" w:right="120"/>
        <w:spacing w:after="0" w:line="258"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 purposes.</w:t>
      </w:r>
    </w:p>
    <w:p>
      <w:pPr>
        <w:spacing w:after="0" w:line="169" w:lineRule="exact"/>
        <w:rPr>
          <w:sz w:val="20"/>
          <w:szCs w:val="20"/>
          <w:color w:val="auto"/>
        </w:rPr>
      </w:pPr>
    </w:p>
    <w:p>
      <w:pPr>
        <w:ind w:left="520" w:right="240"/>
        <w:spacing w:after="0" w:line="266" w:lineRule="auto"/>
        <w:rPr>
          <w:sz w:val="20"/>
          <w:szCs w:val="20"/>
          <w:color w:val="auto"/>
        </w:rPr>
      </w:pPr>
      <w:r>
        <w:rPr>
          <w:rFonts w:ascii="Times New Roman" w:cs="Times New Roman" w:eastAsia="Times New Roman" w:hAnsi="Times New Roman"/>
          <w:sz w:val="18"/>
          <w:szCs w:val="18"/>
          <w:color w:val="auto"/>
        </w:rPr>
        <w:t>Acquisition and integration expenses on the Condensed Consolidated Statements of Operations are related to acquisition activities, which include retention, legal, accounting, banking, and other expenses.</w:t>
      </w:r>
    </w:p>
    <w:p>
      <w:pPr>
        <w:spacing w:after="0" w:line="176" w:lineRule="exact"/>
        <w:rPr>
          <w:sz w:val="20"/>
          <w:szCs w:val="20"/>
          <w:color w:val="auto"/>
        </w:rPr>
      </w:pPr>
    </w:p>
    <w:p>
      <w:pPr>
        <w:ind w:left="520" w:right="46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Company’s results of operations as if the GRC, Compass, Western Air Ducts, and DS21 acquisitions had occurred on January 1,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68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18"/>
                <w:szCs w:val="18"/>
                <w:color w:val="auto"/>
              </w:rPr>
            </w:pPr>
          </w:p>
        </w:tc>
      </w:tr>
      <w:tr>
        <w:trPr>
          <w:trHeight w:val="20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110,139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86,945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318,814</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256,072</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CECO Environmental Corp.</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(319 )</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00" w:type="dxa"/>
            <w:vAlign w:val="bottom"/>
          </w:tcPr>
          <w:p>
            <w:pPr>
              <w:spacing w:after="0"/>
              <w:rPr>
                <w:sz w:val="17"/>
                <w:szCs w:val="17"/>
                <w:color w:val="auto"/>
              </w:rPr>
            </w:pPr>
          </w:p>
        </w:tc>
      </w:tr>
      <w:tr>
        <w:trPr>
          <w:trHeight w:val="20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(0.01 )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7"/>
                <w:szCs w:val="17"/>
                <w:color w:val="auto"/>
              </w:rPr>
            </w:pPr>
          </w:p>
        </w:tc>
      </w:tr>
      <w:tr>
        <w:trPr>
          <w:trHeight w:val="203"/>
        </w:trPr>
        <w:tc>
          <w:tcPr>
            <w:tcW w:w="5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5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FF0FC"/>
          </w:tcPr>
          <w:p>
            <w:pPr>
              <w:spacing w:after="0"/>
              <w:rPr>
                <w:sz w:val="17"/>
                <w:szCs w:val="17"/>
                <w:color w:val="auto"/>
              </w:rPr>
            </w:pPr>
          </w:p>
        </w:tc>
      </w:tr>
    </w:tbl>
    <w:p>
      <w:pPr>
        <w:spacing w:after="0" w:line="198" w:lineRule="exact"/>
        <w:rPr>
          <w:sz w:val="20"/>
          <w:szCs w:val="20"/>
          <w:color w:val="auto"/>
        </w:rPr>
      </w:pPr>
    </w:p>
    <w:p>
      <w:pPr>
        <w:ind w:left="520" w:right="20"/>
        <w:spacing w:after="0" w:line="250" w:lineRule="auto"/>
        <w:rPr>
          <w:sz w:val="20"/>
          <w:szCs w:val="20"/>
          <w:color w:val="auto"/>
        </w:rPr>
      </w:pPr>
      <w:r>
        <w:rPr>
          <w:rFonts w:ascii="Times New Roman" w:cs="Times New Roman" w:eastAsia="Times New Roman" w:hAnsi="Times New Roman"/>
          <w:sz w:val="18"/>
          <w:szCs w:val="18"/>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Business Segment Information</w:t>
      </w:r>
    </w:p>
    <w:p>
      <w:pPr>
        <w:spacing w:after="0" w:line="216" w:lineRule="exact"/>
        <w:rPr>
          <w:sz w:val="20"/>
          <w:szCs w:val="20"/>
          <w:color w:val="auto"/>
        </w:rPr>
      </w:pPr>
    </w:p>
    <w:p>
      <w:pPr>
        <w:ind w:left="520" w:right="520"/>
        <w:spacing w:after="0" w:line="251"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with its solutions or end markets that the segment serves and presented in two reportable segments. The results of the segments are reviewed through the “Income from operations” line on the Condensed</w:t>
      </w:r>
    </w:p>
    <w:p>
      <w:pPr>
        <w:ind w:left="520"/>
        <w:spacing w:after="0"/>
        <w:rPr>
          <w:sz w:val="20"/>
          <w:szCs w:val="20"/>
          <w:color w:val="auto"/>
        </w:rPr>
      </w:pPr>
      <w:r>
        <w:rPr>
          <w:rFonts w:ascii="Times New Roman" w:cs="Times New Roman" w:eastAsia="Times New Roman" w:hAnsi="Times New Roman"/>
          <w:sz w:val="18"/>
          <w:szCs w:val="18"/>
          <w:color w:val="auto"/>
        </w:rPr>
        <w:t>Consolidated Statements of Operations</w:t>
      </w:r>
      <w:r>
        <w:rPr>
          <w:rFonts w:ascii="Times New Roman" w:cs="Times New Roman" w:eastAsia="Times New Roman" w:hAnsi="Times New Roman"/>
          <w:sz w:val="21"/>
          <w:szCs w:val="21"/>
          <w:color w:val="auto"/>
        </w:rPr>
        <w:t>.</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reportable segments are organized as groups of similar products and services, as described as follows:</w:t>
      </w:r>
    </w:p>
    <w:p>
      <w:pPr>
        <w:spacing w:after="0" w:line="208" w:lineRule="exact"/>
        <w:rPr>
          <w:sz w:val="20"/>
          <w:szCs w:val="20"/>
          <w:color w:val="auto"/>
        </w:rPr>
      </w:pPr>
    </w:p>
    <w:p>
      <w:pPr>
        <w:ind w:left="520" w:right="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Engineered Systems segment: </w:t>
      </w:r>
      <w:r>
        <w:rPr>
          <w:rFonts w:ascii="Times New Roman" w:cs="Times New Roman" w:eastAsia="Times New Roman" w:hAnsi="Times New Roman"/>
          <w:sz w:val="18"/>
          <w:szCs w:val="18"/>
          <w:color w:val="auto"/>
        </w:rPr>
        <w:t>The Engineered Systems segment serves the general industrial, power generation, refinery, water/wastewater,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midstream oil &amp; gas, and other energy transition markets. The Company is a key part of helping meet the global demand for environmental and equipment protection through our highly engineered platforms including emissions management, fluid bed cyclones, thermal acoustics, separation &amp; filtration (gas &amp; water), and dampers &amp; expansion joints.</w:t>
      </w:r>
    </w:p>
    <w:p>
      <w:pPr>
        <w:spacing w:after="0" w:line="184" w:lineRule="exact"/>
        <w:rPr>
          <w:sz w:val="20"/>
          <w:szCs w:val="20"/>
          <w:color w:val="auto"/>
        </w:rPr>
      </w:pPr>
    </w:p>
    <w:p>
      <w:pPr>
        <w:ind w:left="520" w:right="28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Industrial Process Solutions segment: </w:t>
      </w:r>
      <w:r>
        <w:rPr>
          <w:rFonts w:ascii="Times New Roman" w:cs="Times New Roman" w:eastAsia="Times New Roman" w:hAnsi="Times New Roman"/>
          <w:sz w:val="18"/>
          <w:szCs w:val="18"/>
          <w:color w:val="auto"/>
        </w:rPr>
        <w:t>The Industrial Process Solutions segment serves the broad industrial air pollution control, beverage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fluid handling, electric vehicle production, food and beverage, semi-conductor, process filtration, pharmaceutical, petrochemical, wastewater treatment, wood manufacturing, desalination, and aquaculture markets.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8" w:name="page19"/>
    <w:bookmarkEnd w:id="18"/>
    <w:p>
      <w:pPr>
        <w:ind w:left="520"/>
        <w:spacing w:after="0" w:line="258" w:lineRule="auto"/>
        <w:rPr>
          <w:sz w:val="20"/>
          <w:szCs w:val="20"/>
          <w:color w:val="auto"/>
        </w:rPr>
      </w:pPr>
      <w:r>
        <w:rPr>
          <w:rFonts w:ascii="Times New Roman" w:cs="Times New Roman" w:eastAsia="Times New Roman" w:hAnsi="Times New Roman"/>
          <w:sz w:val="18"/>
          <w:szCs w:val="18"/>
          <w:color w:val="auto"/>
        </w:rPr>
        <w:t>Company protects the air we collectively breathe, maintains clean and safe operations for employees, lowers energy consumption, minimizes waste for customers, and ensures they meet regulatory compliance standards for toxic emissions, fumes, volatile organic compounds and odors through our platforms including duct &amp; installation, industrial air, and fluid handling.</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segment information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18"/>
                <w:szCs w:val="18"/>
                <w:color w:val="auto"/>
              </w:rPr>
            </w:pPr>
          </w:p>
        </w:tc>
      </w:tr>
      <w:tr>
        <w:trPr>
          <w:trHeight w:val="20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(less intra-, inter-segment sales)</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Engineered Systems segment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65,630</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189,938</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130,196</w:t>
            </w:r>
          </w:p>
        </w:tc>
        <w:tc>
          <w:tcPr>
            <w:tcW w:w="100" w:type="dxa"/>
            <w:vAlign w:val="bottom"/>
          </w:tcPr>
          <w:p>
            <w:pPr>
              <w:spacing w:after="0"/>
              <w:rPr>
                <w:sz w:val="17"/>
                <w:szCs w:val="17"/>
                <w:color w:val="auto"/>
              </w:rPr>
            </w:pPr>
          </w:p>
        </w:tc>
      </w:tr>
      <w:tr>
        <w:trPr>
          <w:trHeight w:val="203"/>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Industrial Process Solutions segment</w:t>
            </w: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42,784</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35,200</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116,287</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100,355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net sales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108,414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79,979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306,225</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230,551</w:t>
            </w:r>
          </w:p>
        </w:tc>
        <w:tc>
          <w:tcPr>
            <w:tcW w:w="100" w:type="dxa"/>
            <w:vAlign w:val="bottom"/>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-162560</wp:posOffset>
            </wp:positionV>
            <wp:extent cx="77470"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-162560</wp:posOffset>
            </wp:positionV>
            <wp:extent cx="68580" cy="163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-162560</wp:posOffset>
            </wp:positionV>
            <wp:extent cx="6858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Engineered Systems segment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Industrial Process Solutions segment</w:t>
      </w:r>
    </w:p>
    <w:p>
      <w:pPr>
        <w:ind w:left="20"/>
        <w:spacing w:after="0" w:line="233" w:lineRule="auto"/>
        <w:rPr>
          <w:sz w:val="20"/>
          <w:szCs w:val="20"/>
          <w:color w:val="auto"/>
        </w:rPr>
      </w:pPr>
      <w:r>
        <w:rPr>
          <w:rFonts w:ascii="Times New Roman" w:cs="Times New Roman" w:eastAsia="Times New Roman" w:hAnsi="Times New Roman"/>
          <w:sz w:val="16"/>
          <w:szCs w:val="16"/>
          <w:color w:val="auto"/>
        </w:rPr>
        <w:t>Corporate and Other</w:t>
      </w:r>
      <w:r>
        <w:rPr>
          <w:rFonts w:ascii="Times New Roman" w:cs="Times New Roman" w:eastAsia="Times New Roman" w:hAnsi="Times New Roman"/>
          <w:sz w:val="21"/>
          <w:szCs w:val="21"/>
          <w:color w:val="auto"/>
          <w:vertAlign w:val="superscript"/>
        </w:rPr>
        <w:t>(1)</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Total income (loss) from operations</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20" w:type="dxa"/>
            <w:vAlign w:val="bottom"/>
          </w:tcPr>
          <w:p>
            <w:pPr>
              <w:spacing w:after="0"/>
              <w:rPr>
                <w:sz w:val="18"/>
                <w:szCs w:val="18"/>
                <w:color w:val="auto"/>
              </w:rPr>
            </w:pPr>
          </w:p>
        </w:tc>
        <w:tc>
          <w:tcPr>
            <w:tcW w:w="3100" w:type="dxa"/>
            <w:vAlign w:val="bottom"/>
            <w:gridSpan w:val="5"/>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6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r>
      <w:tr>
        <w:trPr>
          <w:trHeight w:val="385"/>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8,991</w:t>
            </w:r>
          </w:p>
        </w:tc>
        <w:tc>
          <w:tcPr>
            <w:tcW w:w="24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4,301</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24,467</w:t>
            </w:r>
          </w:p>
        </w:tc>
        <w:tc>
          <w:tcPr>
            <w:tcW w:w="2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16,105</w:t>
            </w:r>
          </w:p>
        </w:tc>
        <w:tc>
          <w:tcPr>
            <w:tcW w:w="6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10,932</w:t>
            </w:r>
          </w:p>
        </w:tc>
        <w:tc>
          <w:tcPr>
            <w:tcW w:w="60" w:type="dxa"/>
            <w:vAlign w:val="bottom"/>
          </w:tcPr>
          <w:p>
            <w:pPr>
              <w:spacing w:after="0"/>
              <w:rPr>
                <w:sz w:val="17"/>
                <w:szCs w:val="17"/>
                <w:color w:val="auto"/>
              </w:rPr>
            </w:pPr>
          </w:p>
        </w:tc>
      </w:tr>
      <w:tr>
        <w:trPr>
          <w:trHeight w:val="210"/>
        </w:trPr>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(11,444 )</w:t>
            </w:r>
          </w:p>
        </w:tc>
        <w:tc>
          <w:tcPr>
            <w:tcW w:w="320" w:type="dxa"/>
            <w:vAlign w:val="bottom"/>
          </w:tcPr>
          <w:p>
            <w:pPr>
              <w:spacing w:after="0"/>
              <w:rPr>
                <w:sz w:val="18"/>
                <w:szCs w:val="18"/>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(7,566 )</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(25,591 )</w:t>
            </w: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(22,434 )</w:t>
            </w:r>
          </w:p>
        </w:tc>
      </w:tr>
      <w:tr>
        <w:trPr>
          <w:trHeight w:val="202"/>
        </w:trPr>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2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13,723</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60" w:type="dxa"/>
            <w:vAlign w:val="bottom"/>
          </w:tcPr>
          <w:p>
            <w:pPr>
              <w:spacing w:after="0"/>
              <w:rPr>
                <w:sz w:val="17"/>
                <w:szCs w:val="17"/>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-676910</wp:posOffset>
            </wp:positionV>
            <wp:extent cx="713232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-419735</wp:posOffset>
            </wp:positionV>
            <wp:extent cx="713232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-153670</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6200"/>
          </w:cols>
          <w:pgMar w:left="320" w:top="540" w:right="339" w:bottom="1440" w:gutter="0" w:footer="0" w:header="0"/>
          <w:type w:val="continuous"/>
        </w:sectPr>
      </w:pPr>
    </w:p>
    <w:p>
      <w:pPr>
        <w:spacing w:after="0" w:line="38" w:lineRule="exact"/>
        <w:rPr>
          <w:sz w:val="20"/>
          <w:szCs w:val="20"/>
          <w:color w:val="auto"/>
        </w:rPr>
      </w:pPr>
    </w:p>
    <w:p>
      <w:pPr>
        <w:ind w:left="760" w:hanging="752"/>
        <w:spacing w:after="0"/>
        <w:tabs>
          <w:tab w:leader="none" w:pos="7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corporate compensation, professional services, information technology, and other general and administrative corporate expenses.</w:t>
      </w:r>
    </w:p>
    <w:p>
      <w:pPr>
        <w:sectPr>
          <w:pgSz w:w="11900" w:h="16838" w:orient="portrait"/>
          <w:cols w:equalWidth="0" w:num="1">
            <w:col w:w="11240"/>
          </w:cols>
          <w:pgMar w:left="320" w:top="540"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additions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Engineered Systems segment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Industrial Process Solutions segment</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 and Other</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Total property and equipment additions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85"/>
        </w:trPr>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320" w:type="dxa"/>
            <w:vAlign w:val="bottom"/>
            <w:gridSpan w:val="2"/>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12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3"/>
        </w:trPr>
        <w:tc>
          <w:tcPr>
            <w:tcW w:w="1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r>
      <w:tr>
        <w:trPr>
          <w:trHeight w:val="210"/>
        </w:trPr>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w:t>
            </w:r>
          </w:p>
        </w:tc>
      </w:tr>
      <w:tr>
        <w:trPr>
          <w:trHeight w:val="202"/>
        </w:trPr>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240" w:type="dxa"/>
            <w:vAlign w:val="bottom"/>
          </w:tcPr>
          <w:p>
            <w:pPr>
              <w:spacing w:after="0"/>
              <w:rPr>
                <w:sz w:val="17"/>
                <w:szCs w:val="17"/>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-676275</wp:posOffset>
            </wp:positionV>
            <wp:extent cx="713232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-419735</wp:posOffset>
            </wp:positionV>
            <wp:extent cx="713232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-153670</wp:posOffset>
            </wp:positionV>
            <wp:extent cx="71323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720"/>
            <w:col w:w="6220"/>
          </w:cols>
          <w:pgMar w:left="320" w:top="540" w:right="33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Engineered Systems segment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Industrial Process Solutions segment</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 and Other</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Total depreciation and amortization</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Identifiable assets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Engineered Systems segment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Industrial Process Solutions segment</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 and Other</w:t>
      </w:r>
      <w:r>
        <w:rPr>
          <w:rFonts w:ascii="Times New Roman" w:cs="Times New Roman" w:eastAsia="Times New Roman" w:hAnsi="Times New Roman"/>
          <w:sz w:val="21"/>
          <w:szCs w:val="21"/>
          <w:color w:val="auto"/>
          <w:vertAlign w:val="superscript"/>
        </w:rPr>
        <w:t>(2)</w:t>
      </w:r>
    </w:p>
    <w:p>
      <w:pPr>
        <w:ind w:left="200"/>
        <w:spacing w:after="0"/>
        <w:rPr>
          <w:sz w:val="20"/>
          <w:szCs w:val="20"/>
          <w:color w:val="auto"/>
        </w:rPr>
      </w:pPr>
      <w:r>
        <w:rPr>
          <w:rFonts w:ascii="Times New Roman" w:cs="Times New Roman" w:eastAsia="Times New Roman" w:hAnsi="Times New Roman"/>
          <w:sz w:val="16"/>
          <w:szCs w:val="16"/>
          <w:color w:val="auto"/>
        </w:rPr>
        <w:t>Total identifiable assets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85"/>
        </w:trPr>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w:t>
            </w:r>
          </w:p>
        </w:tc>
      </w:tr>
      <w:tr>
        <w:trPr>
          <w:trHeight w:val="203"/>
        </w:trPr>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w:t>
            </w:r>
          </w:p>
        </w:tc>
      </w:tr>
      <w:tr>
        <w:trPr>
          <w:trHeight w:val="210"/>
        </w:trPr>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w:t>
            </w:r>
          </w:p>
        </w:tc>
      </w:tr>
      <w:tr>
        <w:trPr>
          <w:trHeight w:val="202"/>
        </w:trPr>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7,609</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-676275</wp:posOffset>
            </wp:positionV>
            <wp:extent cx="7132320"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-419100</wp:posOffset>
            </wp:positionV>
            <wp:extent cx="713232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-153670</wp:posOffset>
            </wp:positionV>
            <wp:extent cx="71323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3" w:lineRule="exact"/>
        <w:rPr>
          <w:sz w:val="20"/>
          <w:szCs w:val="20"/>
          <w:color w:val="auto"/>
        </w:rPr>
      </w:pPr>
    </w:p>
    <w:tbl>
      <w:tblPr>
        <w:tblLayout w:type="fixed"/>
        <w:tblInd w:w="2200" w:type="dxa"/>
        <w:tblCellMar>
          <w:top w:w="0" w:type="dxa"/>
          <w:left w:w="0" w:type="dxa"/>
          <w:bottom w:w="0" w:type="dxa"/>
          <w:right w:w="0" w:type="dxa"/>
        </w:tblCellMar>
      </w:tblPr>
      <w:tr>
        <w:trPr>
          <w:trHeight w:val="215"/>
        </w:trPr>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388"/>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320,261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262,558</w:t>
            </w:r>
          </w:p>
        </w:tc>
      </w:tr>
      <w:tr>
        <w:trPr>
          <w:trHeight w:val="203"/>
        </w:trPr>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149,311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141,975</w:t>
            </w:r>
          </w:p>
        </w:tc>
      </w:tr>
      <w:tr>
        <w:trPr>
          <w:trHeight w:val="210"/>
        </w:trPr>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16,657</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11,664</w:t>
            </w:r>
          </w:p>
        </w:tc>
      </w:tr>
      <w:tr>
        <w:trPr>
          <w:trHeight w:val="202"/>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486,229</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416,197</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-676275</wp:posOffset>
            </wp:positionV>
            <wp:extent cx="713232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-419100</wp:posOffset>
            </wp:positionV>
            <wp:extent cx="713232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-153670</wp:posOffset>
            </wp:positionV>
            <wp:extent cx="713232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160"/>
          </w:cols>
          <w:pgMar w:left="320" w:top="540" w:right="339" w:bottom="1440" w:gutter="0" w:footer="0" w:header="0"/>
          <w:type w:val="continuous"/>
        </w:sectPr>
      </w:pPr>
    </w:p>
    <w:p>
      <w:pPr>
        <w:spacing w:after="0" w:line="52" w:lineRule="exact"/>
        <w:rPr>
          <w:sz w:val="20"/>
          <w:szCs w:val="20"/>
          <w:color w:val="auto"/>
        </w:rPr>
      </w:pPr>
    </w:p>
    <w:p>
      <w:pPr>
        <w:ind w:left="760" w:hanging="752"/>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assets consist primarily of cash and income tax related assets.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r>
      <w:tr>
        <w:trPr>
          <w:trHeight w:val="19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Engineered Systems segment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115,282</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99,303</w:t>
            </w:r>
          </w:p>
        </w:tc>
        <w:tc>
          <w:tcPr>
            <w:tcW w:w="100" w:type="dxa"/>
            <w:vAlign w:val="bottom"/>
          </w:tcPr>
          <w:p>
            <w:pPr>
              <w:spacing w:after="0"/>
              <w:rPr>
                <w:sz w:val="17"/>
                <w:szCs w:val="17"/>
                <w:color w:val="auto"/>
              </w:rPr>
            </w:pPr>
          </w:p>
        </w:tc>
      </w:tr>
      <w:tr>
        <w:trPr>
          <w:trHeight w:val="203"/>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Industrial Process Solutions segment</w:t>
            </w:r>
          </w:p>
        </w:tc>
        <w:tc>
          <w:tcPr>
            <w:tcW w:w="16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67,083</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goodwill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182,365</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161,183</w:t>
            </w:r>
          </w:p>
        </w:tc>
        <w:tc>
          <w:tcPr>
            <w:tcW w:w="100" w:type="dxa"/>
            <w:vAlign w:val="bottom"/>
          </w:tcPr>
          <w:p>
            <w:pPr>
              <w:spacing w:after="0"/>
              <w:rPr>
                <w:sz w:val="17"/>
                <w:szCs w:val="17"/>
                <w:color w:val="auto"/>
              </w:rPr>
            </w:pPr>
          </w:p>
        </w:tc>
      </w:tr>
      <w:tr>
        <w:trPr>
          <w:trHeight w:val="20"/>
        </w:trPr>
        <w:tc>
          <w:tcPr>
            <w:tcW w:w="7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-161925</wp:posOffset>
            </wp:positionV>
            <wp:extent cx="68580"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b w:val="1"/>
          <w:bCs w:val="1"/>
          <w:color w:val="auto"/>
        </w:rPr>
        <w:t>Intra-segment and Inter-segment Revenues</w:t>
      </w:r>
    </w:p>
    <w:p>
      <w:pPr>
        <w:spacing w:after="0" w:line="121" w:lineRule="exact"/>
        <w:rPr>
          <w:sz w:val="20"/>
          <w:szCs w:val="20"/>
          <w:color w:val="auto"/>
        </w:rPr>
      </w:pPr>
    </w:p>
    <w:p>
      <w:pPr>
        <w:ind w:left="520" w:right="280"/>
        <w:spacing w:after="0" w:line="266" w:lineRule="auto"/>
        <w:rPr>
          <w:sz w:val="20"/>
          <w:szCs w:val="20"/>
          <w:color w:val="auto"/>
        </w:rPr>
      </w:pPr>
      <w:r>
        <w:rPr>
          <w:rFonts w:ascii="Times New Roman" w:cs="Times New Roman" w:eastAsia="Times New Roman" w:hAnsi="Times New Roman"/>
          <w:sz w:val="18"/>
          <w:szCs w:val="18"/>
          <w:color w:val="auto"/>
        </w:rPr>
        <w:t>The Company has multiple divisions that sell to each other within segments (intra-segment sales) and between segments (inter-segment sales),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2022</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Less Inter-Segment Sales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2"/>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20"/>
              <w:spacing w:after="0" w:line="142" w:lineRule="exact"/>
              <w:rPr>
                <w:sz w:val="20"/>
                <w:szCs w:val="20"/>
                <w:color w:val="auto"/>
              </w:rPr>
            </w:pPr>
            <w:r>
              <w:rPr>
                <w:rFonts w:ascii="Times New Roman" w:cs="Times New Roman" w:eastAsia="Times New Roman" w:hAnsi="Times New Roman"/>
                <w:sz w:val="16"/>
                <w:szCs w:val="16"/>
                <w:b w:val="1"/>
                <w:bCs w:val="1"/>
                <w:color w:val="auto"/>
              </w:rPr>
              <w:t>Intra-</w:t>
            </w:r>
          </w:p>
        </w:tc>
        <w:tc>
          <w:tcPr>
            <w:tcW w:w="160" w:type="dxa"/>
            <w:vAlign w:val="bottom"/>
          </w:tcPr>
          <w:p>
            <w:pPr>
              <w:spacing w:after="0"/>
              <w:rPr>
                <w:sz w:val="12"/>
                <w:szCs w:val="12"/>
                <w:color w:val="auto"/>
              </w:rPr>
            </w:pPr>
          </w:p>
        </w:tc>
        <w:tc>
          <w:tcPr>
            <w:tcW w:w="116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Industrial</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Net Sales to</w:t>
            </w:r>
          </w:p>
        </w:tc>
        <w:tc>
          <w:tcPr>
            <w:tcW w:w="100" w:type="dxa"/>
            <w:vAlign w:val="bottom"/>
          </w:tcPr>
          <w:p>
            <w:pPr>
              <w:spacing w:after="0"/>
              <w:rPr>
                <w:sz w:val="12"/>
                <w:szCs w:val="12"/>
                <w:color w:val="auto"/>
              </w:rPr>
            </w:pPr>
          </w:p>
        </w:tc>
      </w:tr>
      <w:tr>
        <w:trPr>
          <w:trHeight w:val="176"/>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500"/>
              <w:spacing w:after="0" w:line="17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5"/>
                <w:szCs w:val="15"/>
                <w:color w:val="auto"/>
              </w:rPr>
            </w:pPr>
          </w:p>
        </w:tc>
        <w:tc>
          <w:tcPr>
            <w:tcW w:w="1080" w:type="dxa"/>
            <w:vAlign w:val="bottom"/>
            <w:gridSpan w:val="2"/>
          </w:tcPr>
          <w:p>
            <w:pPr>
              <w:jc w:val="center"/>
              <w:ind w:right="440"/>
              <w:spacing w:after="0" w:line="175" w:lineRule="exact"/>
              <w:rPr>
                <w:sz w:val="20"/>
                <w:szCs w:val="20"/>
                <w:color w:val="auto"/>
              </w:rPr>
            </w:pPr>
            <w:r>
              <w:rPr>
                <w:rFonts w:ascii="Times New Roman" w:cs="Times New Roman" w:eastAsia="Times New Roman" w:hAnsi="Times New Roman"/>
                <w:sz w:val="16"/>
                <w:szCs w:val="16"/>
                <w:b w:val="1"/>
                <w:bCs w:val="1"/>
                <w:color w:val="auto"/>
              </w:rPr>
              <w:t>Segment</w:t>
            </w:r>
          </w:p>
        </w:tc>
        <w:tc>
          <w:tcPr>
            <w:tcW w:w="160" w:type="dxa"/>
            <w:vAlign w:val="bottom"/>
          </w:tcPr>
          <w:p>
            <w:pPr>
              <w:spacing w:after="0"/>
              <w:rPr>
                <w:sz w:val="15"/>
                <w:szCs w:val="15"/>
                <w:color w:val="auto"/>
              </w:rPr>
            </w:pPr>
          </w:p>
        </w:tc>
        <w:tc>
          <w:tcPr>
            <w:tcW w:w="1160" w:type="dxa"/>
            <w:vAlign w:val="bottom"/>
            <w:gridSpan w:val="2"/>
          </w:tcPr>
          <w:p>
            <w:pPr>
              <w:jc w:val="center"/>
              <w:ind w:right="440"/>
              <w:spacing w:after="0" w:line="175"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5"/>
                <w:szCs w:val="15"/>
                <w:color w:val="auto"/>
              </w:rPr>
            </w:pPr>
          </w:p>
        </w:tc>
        <w:tc>
          <w:tcPr>
            <w:tcW w:w="1240" w:type="dxa"/>
            <w:vAlign w:val="bottom"/>
            <w:gridSpan w:val="2"/>
          </w:tcPr>
          <w:p>
            <w:pPr>
              <w:jc w:val="center"/>
              <w:ind w:right="460"/>
              <w:spacing w:after="0" w:line="175" w:lineRule="exact"/>
              <w:rPr>
                <w:sz w:val="20"/>
                <w:szCs w:val="20"/>
                <w:color w:val="auto"/>
              </w:rPr>
            </w:pPr>
            <w:r>
              <w:rPr>
                <w:rFonts w:ascii="Times New Roman" w:cs="Times New Roman" w:eastAsia="Times New Roman" w:hAnsi="Times New Roman"/>
                <w:sz w:val="16"/>
                <w:szCs w:val="16"/>
                <w:b w:val="1"/>
                <w:bCs w:val="1"/>
                <w:color w:val="auto"/>
                <w:w w:val="99"/>
              </w:rPr>
              <w:t>Engineered</w:t>
            </w:r>
          </w:p>
        </w:tc>
        <w:tc>
          <w:tcPr>
            <w:tcW w:w="100" w:type="dxa"/>
            <w:vAlign w:val="bottom"/>
          </w:tcPr>
          <w:p>
            <w:pPr>
              <w:spacing w:after="0"/>
              <w:rPr>
                <w:sz w:val="15"/>
                <w:szCs w:val="15"/>
                <w:color w:val="auto"/>
              </w:rPr>
            </w:pPr>
          </w:p>
        </w:tc>
        <w:tc>
          <w:tcPr>
            <w:tcW w:w="96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Outside</w:t>
            </w:r>
          </w:p>
        </w:tc>
        <w:tc>
          <w:tcPr>
            <w:tcW w:w="100" w:type="dxa"/>
            <w:vAlign w:val="bottom"/>
          </w:tcPr>
          <w:p>
            <w:pPr>
              <w:spacing w:after="0"/>
              <w:rPr>
                <w:sz w:val="15"/>
                <w:szCs w:val="15"/>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8"/>
                <w:szCs w:val="18"/>
                <w:color w:val="auto"/>
              </w:rPr>
            </w:pPr>
          </w:p>
        </w:tc>
        <w:tc>
          <w:tcPr>
            <w:tcW w:w="102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80" w:type="dxa"/>
            <w:vAlign w:val="bottom"/>
          </w:tcPr>
          <w:p>
            <w:pPr>
              <w:spacing w:after="0"/>
              <w:rPr>
                <w:sz w:val="18"/>
                <w:szCs w:val="18"/>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6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10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Customers</w:t>
            </w:r>
          </w:p>
        </w:tc>
        <w:tc>
          <w:tcPr>
            <w:tcW w:w="100" w:type="dxa"/>
            <w:vAlign w:val="bottom"/>
          </w:tcPr>
          <w:p>
            <w:pPr>
              <w:spacing w:after="0"/>
              <w:rPr>
                <w:sz w:val="18"/>
                <w:szCs w:val="18"/>
                <w:color w:val="auto"/>
              </w:rPr>
            </w:pPr>
          </w:p>
        </w:tc>
      </w:tr>
      <w:tr>
        <w:trPr>
          <w:trHeight w:val="196"/>
        </w:trPr>
        <w:tc>
          <w:tcPr>
            <w:tcW w:w="49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top w:val="single" w:sz="8" w:color="auto"/>
              <w:left w:val="single" w:sz="8" w:color="CFF0FC"/>
            </w:tcBorders>
            <w:shd w:val="clear" w:color="auto" w:fill="CFF0FC"/>
          </w:tcPr>
          <w:p>
            <w:pPr>
              <w:spacing w:after="0"/>
              <w:rPr>
                <w:sz w:val="17"/>
                <w:szCs w:val="17"/>
                <w:color w:val="auto"/>
              </w:rPr>
            </w:pPr>
          </w:p>
        </w:tc>
        <w:tc>
          <w:tcPr>
            <w:tcW w:w="88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left w:val="single" w:sz="8" w:color="CFF0FC"/>
            </w:tcBorders>
            <w:shd w:val="clear" w:color="auto" w:fill="CFF0FC"/>
          </w:tcPr>
          <w:p>
            <w:pPr>
              <w:spacing w:after="0"/>
              <w:rPr>
                <w:sz w:val="17"/>
                <w:szCs w:val="17"/>
                <w:color w:val="auto"/>
              </w:rPr>
            </w:pPr>
          </w:p>
        </w:tc>
        <w:tc>
          <w:tcPr>
            <w:tcW w:w="980" w:type="dxa"/>
            <w:vAlign w:val="bottom"/>
            <w:tcBorders>
              <w:top w:val="single" w:sz="8" w:color="auto"/>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left w:val="single" w:sz="8" w:color="CFF0FC"/>
            </w:tcBorders>
            <w:shd w:val="clear" w:color="auto" w:fill="CFF0FC"/>
          </w:tcPr>
          <w:p>
            <w:pPr>
              <w:spacing w:after="0"/>
              <w:rPr>
                <w:sz w:val="17"/>
                <w:szCs w:val="17"/>
                <w:color w:val="auto"/>
              </w:rPr>
            </w:pPr>
          </w:p>
        </w:tc>
        <w:tc>
          <w:tcPr>
            <w:tcW w:w="102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Engineered Systems segment</w:t>
            </w:r>
          </w:p>
        </w:tc>
        <w:tc>
          <w:tcPr>
            <w:tcW w:w="180" w:type="dxa"/>
            <w:vAlign w:val="bottom"/>
          </w:tcPr>
          <w:p>
            <w:pPr>
              <w:jc w:val="right"/>
              <w:ind w:right="86"/>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68,738</w:t>
            </w:r>
          </w:p>
        </w:tc>
        <w:tc>
          <w:tcPr>
            <w:tcW w:w="2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(2,904 )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(204 )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65,630</w:t>
            </w:r>
          </w:p>
        </w:tc>
        <w:tc>
          <w:tcPr>
            <w:tcW w:w="100" w:type="dxa"/>
            <w:vAlign w:val="bottom"/>
          </w:tcPr>
          <w:p>
            <w:pPr>
              <w:spacing w:after="0"/>
              <w:rPr>
                <w:sz w:val="17"/>
                <w:szCs w:val="17"/>
                <w:color w:val="auto"/>
              </w:rPr>
            </w:pPr>
          </w:p>
        </w:tc>
      </w:tr>
      <w:tr>
        <w:trPr>
          <w:trHeight w:val="203"/>
        </w:trPr>
        <w:tc>
          <w:tcPr>
            <w:tcW w:w="49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Industrial Process Solutions segment</w:t>
            </w:r>
          </w:p>
        </w:tc>
        <w:tc>
          <w:tcPr>
            <w:tcW w:w="18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44,079</w:t>
            </w: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(1,126 )</w:t>
            </w:r>
          </w:p>
        </w:tc>
        <w:tc>
          <w:tcPr>
            <w:tcW w:w="160" w:type="dxa"/>
            <w:vAlign w:val="bottom"/>
            <w:tcBorders>
              <w:left w:val="single" w:sz="8" w:color="CFF0FC"/>
            </w:tcBorders>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FF0FC"/>
            </w:tcBorders>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(169 )</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42,784</w:t>
            </w:r>
          </w:p>
        </w:tc>
        <w:tc>
          <w:tcPr>
            <w:tcW w:w="100" w:type="dxa"/>
            <w:vAlign w:val="bottom"/>
            <w:shd w:val="clear" w:color="auto" w:fill="CFF0FC"/>
          </w:tcPr>
          <w:p>
            <w:pPr>
              <w:spacing w:after="0"/>
              <w:rPr>
                <w:sz w:val="17"/>
                <w:szCs w:val="17"/>
                <w:color w:val="auto"/>
              </w:rPr>
            </w:pPr>
          </w:p>
        </w:tc>
      </w:tr>
      <w:tr>
        <w:trPr>
          <w:trHeight w:val="20"/>
        </w:trPr>
        <w:tc>
          <w:tcPr>
            <w:tcW w:w="49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net sales</w:t>
            </w:r>
          </w:p>
        </w:tc>
        <w:tc>
          <w:tcPr>
            <w:tcW w:w="180" w:type="dxa"/>
            <w:vAlign w:val="bottom"/>
          </w:tcPr>
          <w:p>
            <w:pPr>
              <w:jc w:val="right"/>
              <w:ind w:right="86"/>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112,817</w:t>
            </w:r>
          </w:p>
        </w:tc>
        <w:tc>
          <w:tcPr>
            <w:tcW w:w="2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(4,030 )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(204 )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(169 )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108,414</w:t>
            </w:r>
          </w:p>
        </w:tc>
        <w:tc>
          <w:tcPr>
            <w:tcW w:w="100" w:type="dxa"/>
            <w:vAlign w:val="bottom"/>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8"/>
        </w:trPr>
        <w:tc>
          <w:tcPr>
            <w:tcW w:w="4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2021</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Less Inter-Segment Sales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2"/>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20"/>
              <w:spacing w:after="0" w:line="142" w:lineRule="exact"/>
              <w:rPr>
                <w:sz w:val="20"/>
                <w:szCs w:val="20"/>
                <w:color w:val="auto"/>
              </w:rPr>
            </w:pPr>
            <w:r>
              <w:rPr>
                <w:rFonts w:ascii="Times New Roman" w:cs="Times New Roman" w:eastAsia="Times New Roman" w:hAnsi="Times New Roman"/>
                <w:sz w:val="16"/>
                <w:szCs w:val="16"/>
                <w:b w:val="1"/>
                <w:bCs w:val="1"/>
                <w:color w:val="auto"/>
              </w:rPr>
              <w:t>Intra-</w:t>
            </w:r>
          </w:p>
        </w:tc>
        <w:tc>
          <w:tcPr>
            <w:tcW w:w="160" w:type="dxa"/>
            <w:vAlign w:val="bottom"/>
          </w:tcPr>
          <w:p>
            <w:pPr>
              <w:spacing w:after="0"/>
              <w:rPr>
                <w:sz w:val="12"/>
                <w:szCs w:val="12"/>
                <w:color w:val="auto"/>
              </w:rPr>
            </w:pPr>
          </w:p>
        </w:tc>
        <w:tc>
          <w:tcPr>
            <w:tcW w:w="116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Industrial</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Net Sales to</w:t>
            </w:r>
          </w:p>
        </w:tc>
        <w:tc>
          <w:tcPr>
            <w:tcW w:w="100" w:type="dxa"/>
            <w:vAlign w:val="bottom"/>
          </w:tcPr>
          <w:p>
            <w:pPr>
              <w:spacing w:after="0"/>
              <w:rPr>
                <w:sz w:val="12"/>
                <w:szCs w:val="12"/>
                <w:color w:val="auto"/>
              </w:rPr>
            </w:pPr>
          </w:p>
        </w:tc>
      </w:tr>
      <w:tr>
        <w:trPr>
          <w:trHeight w:val="175"/>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460"/>
              <w:spacing w:after="0" w:line="17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5"/>
                <w:szCs w:val="15"/>
                <w:color w:val="auto"/>
              </w:rPr>
            </w:pPr>
          </w:p>
        </w:tc>
        <w:tc>
          <w:tcPr>
            <w:tcW w:w="1080" w:type="dxa"/>
            <w:vAlign w:val="bottom"/>
            <w:gridSpan w:val="2"/>
          </w:tcPr>
          <w:p>
            <w:pPr>
              <w:jc w:val="center"/>
              <w:ind w:right="420"/>
              <w:spacing w:after="0" w:line="175" w:lineRule="exact"/>
              <w:rPr>
                <w:sz w:val="20"/>
                <w:szCs w:val="20"/>
                <w:color w:val="auto"/>
              </w:rPr>
            </w:pPr>
            <w:r>
              <w:rPr>
                <w:rFonts w:ascii="Times New Roman" w:cs="Times New Roman" w:eastAsia="Times New Roman" w:hAnsi="Times New Roman"/>
                <w:sz w:val="16"/>
                <w:szCs w:val="16"/>
                <w:b w:val="1"/>
                <w:bCs w:val="1"/>
                <w:color w:val="auto"/>
                <w:w w:val="98"/>
              </w:rPr>
              <w:t>Segment</w:t>
            </w:r>
          </w:p>
        </w:tc>
        <w:tc>
          <w:tcPr>
            <w:tcW w:w="160" w:type="dxa"/>
            <w:vAlign w:val="bottom"/>
          </w:tcPr>
          <w:p>
            <w:pPr>
              <w:spacing w:after="0"/>
              <w:rPr>
                <w:sz w:val="15"/>
                <w:szCs w:val="15"/>
                <w:color w:val="auto"/>
              </w:rPr>
            </w:pPr>
          </w:p>
        </w:tc>
        <w:tc>
          <w:tcPr>
            <w:tcW w:w="1160" w:type="dxa"/>
            <w:vAlign w:val="bottom"/>
            <w:gridSpan w:val="2"/>
          </w:tcPr>
          <w:p>
            <w:pPr>
              <w:jc w:val="center"/>
              <w:ind w:right="440"/>
              <w:spacing w:after="0" w:line="175"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5"/>
                <w:szCs w:val="15"/>
                <w:color w:val="auto"/>
              </w:rPr>
            </w:pPr>
          </w:p>
        </w:tc>
        <w:tc>
          <w:tcPr>
            <w:tcW w:w="1240" w:type="dxa"/>
            <w:vAlign w:val="bottom"/>
            <w:gridSpan w:val="2"/>
          </w:tcPr>
          <w:p>
            <w:pPr>
              <w:jc w:val="center"/>
              <w:ind w:right="460"/>
              <w:spacing w:after="0" w:line="175" w:lineRule="exact"/>
              <w:rPr>
                <w:sz w:val="20"/>
                <w:szCs w:val="20"/>
                <w:color w:val="auto"/>
              </w:rPr>
            </w:pPr>
            <w:r>
              <w:rPr>
                <w:rFonts w:ascii="Times New Roman" w:cs="Times New Roman" w:eastAsia="Times New Roman" w:hAnsi="Times New Roman"/>
                <w:sz w:val="16"/>
                <w:szCs w:val="16"/>
                <w:b w:val="1"/>
                <w:bCs w:val="1"/>
                <w:color w:val="auto"/>
                <w:w w:val="99"/>
              </w:rPr>
              <w:t>Engineered</w:t>
            </w:r>
          </w:p>
        </w:tc>
        <w:tc>
          <w:tcPr>
            <w:tcW w:w="100" w:type="dxa"/>
            <w:vAlign w:val="bottom"/>
          </w:tcPr>
          <w:p>
            <w:pPr>
              <w:spacing w:after="0"/>
              <w:rPr>
                <w:sz w:val="15"/>
                <w:szCs w:val="15"/>
                <w:color w:val="auto"/>
              </w:rPr>
            </w:pPr>
          </w:p>
        </w:tc>
        <w:tc>
          <w:tcPr>
            <w:tcW w:w="96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Outside</w:t>
            </w:r>
          </w:p>
        </w:tc>
        <w:tc>
          <w:tcPr>
            <w:tcW w:w="100" w:type="dxa"/>
            <w:vAlign w:val="bottom"/>
          </w:tcPr>
          <w:p>
            <w:pPr>
              <w:spacing w:after="0"/>
              <w:rPr>
                <w:sz w:val="15"/>
                <w:szCs w:val="15"/>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8"/>
                <w:szCs w:val="18"/>
                <w:color w:val="auto"/>
              </w:rPr>
            </w:pPr>
          </w:p>
        </w:tc>
        <w:tc>
          <w:tcPr>
            <w:tcW w:w="10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8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6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10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Customers</w:t>
            </w:r>
          </w:p>
        </w:tc>
        <w:tc>
          <w:tcPr>
            <w:tcW w:w="100" w:type="dxa"/>
            <w:vAlign w:val="bottom"/>
          </w:tcPr>
          <w:p>
            <w:pPr>
              <w:spacing w:after="0"/>
              <w:rPr>
                <w:sz w:val="18"/>
                <w:szCs w:val="18"/>
                <w:color w:val="auto"/>
              </w:rPr>
            </w:pPr>
          </w:p>
        </w:tc>
      </w:tr>
      <w:tr>
        <w:trPr>
          <w:trHeight w:val="196"/>
        </w:trPr>
        <w:tc>
          <w:tcPr>
            <w:tcW w:w="49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top w:val="single" w:sz="8" w:color="auto"/>
              <w:left w:val="single" w:sz="8" w:color="CFF0FC"/>
            </w:tcBorders>
            <w:shd w:val="clear" w:color="auto" w:fill="CFF0FC"/>
          </w:tcPr>
          <w:p>
            <w:pPr>
              <w:spacing w:after="0"/>
              <w:rPr>
                <w:sz w:val="17"/>
                <w:szCs w:val="17"/>
                <w:color w:val="auto"/>
              </w:rPr>
            </w:pPr>
          </w:p>
        </w:tc>
        <w:tc>
          <w:tcPr>
            <w:tcW w:w="88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left w:val="single" w:sz="8" w:color="CFF0FC"/>
            </w:tcBorders>
            <w:shd w:val="clear" w:color="auto" w:fill="CFF0FC"/>
          </w:tcPr>
          <w:p>
            <w:pPr>
              <w:spacing w:after="0"/>
              <w:rPr>
                <w:sz w:val="17"/>
                <w:szCs w:val="17"/>
                <w:color w:val="auto"/>
              </w:rPr>
            </w:pPr>
          </w:p>
        </w:tc>
        <w:tc>
          <w:tcPr>
            <w:tcW w:w="980" w:type="dxa"/>
            <w:vAlign w:val="bottom"/>
            <w:tcBorders>
              <w:top w:val="single" w:sz="8" w:color="auto"/>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left w:val="single" w:sz="8" w:color="CFF0FC"/>
            </w:tcBorders>
            <w:shd w:val="clear" w:color="auto" w:fill="CFF0FC"/>
          </w:tcPr>
          <w:p>
            <w:pPr>
              <w:spacing w:after="0"/>
              <w:rPr>
                <w:sz w:val="17"/>
                <w:szCs w:val="17"/>
                <w:color w:val="auto"/>
              </w:rPr>
            </w:pPr>
          </w:p>
        </w:tc>
        <w:tc>
          <w:tcPr>
            <w:tcW w:w="102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Engineered Systems segment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45,559</w:t>
            </w:r>
          </w:p>
        </w:tc>
        <w:tc>
          <w:tcPr>
            <w:tcW w:w="2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(472 )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180" w:type="dxa"/>
            <w:vAlign w:val="bottom"/>
          </w:tcPr>
          <w:p>
            <w:pPr>
              <w:spacing w:after="0"/>
              <w:rPr>
                <w:sz w:val="17"/>
                <w:szCs w:val="17"/>
                <w:color w:val="auto"/>
              </w:rPr>
            </w:pPr>
          </w:p>
        </w:tc>
        <w:tc>
          <w:tcPr>
            <w:tcW w:w="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44,779</w:t>
            </w:r>
          </w:p>
        </w:tc>
        <w:tc>
          <w:tcPr>
            <w:tcW w:w="100" w:type="dxa"/>
            <w:vAlign w:val="bottom"/>
          </w:tcPr>
          <w:p>
            <w:pPr>
              <w:spacing w:after="0"/>
              <w:rPr>
                <w:sz w:val="17"/>
                <w:szCs w:val="17"/>
                <w:color w:val="auto"/>
              </w:rPr>
            </w:pPr>
          </w:p>
        </w:tc>
      </w:tr>
      <w:tr>
        <w:trPr>
          <w:trHeight w:val="203"/>
        </w:trPr>
        <w:tc>
          <w:tcPr>
            <w:tcW w:w="49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Industrial Process Solutions segment</w:t>
            </w:r>
          </w:p>
        </w:tc>
        <w:tc>
          <w:tcPr>
            <w:tcW w:w="18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35,525</w:t>
            </w: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(308 )</w:t>
            </w:r>
          </w:p>
        </w:tc>
        <w:tc>
          <w:tcPr>
            <w:tcW w:w="160" w:type="dxa"/>
            <w:vAlign w:val="bottom"/>
            <w:tcBorders>
              <w:left w:val="single" w:sz="8" w:color="CFF0FC"/>
            </w:tcBorders>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FF0FC"/>
            </w:tcBorders>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35,200</w:t>
            </w:r>
          </w:p>
        </w:tc>
        <w:tc>
          <w:tcPr>
            <w:tcW w:w="100" w:type="dxa"/>
            <w:vAlign w:val="bottom"/>
            <w:shd w:val="clear" w:color="auto" w:fill="CFF0FC"/>
          </w:tcPr>
          <w:p>
            <w:pPr>
              <w:spacing w:after="0"/>
              <w:rPr>
                <w:sz w:val="17"/>
                <w:szCs w:val="17"/>
                <w:color w:val="auto"/>
              </w:rPr>
            </w:pPr>
          </w:p>
        </w:tc>
      </w:tr>
      <w:tr>
        <w:trPr>
          <w:trHeight w:val="20"/>
        </w:trPr>
        <w:tc>
          <w:tcPr>
            <w:tcW w:w="49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net sales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81,084</w:t>
            </w:r>
          </w:p>
        </w:tc>
        <w:tc>
          <w:tcPr>
            <w:tcW w:w="2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(780 )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180" w:type="dxa"/>
            <w:vAlign w:val="bottom"/>
          </w:tcPr>
          <w:p>
            <w:pPr>
              <w:spacing w:after="0"/>
              <w:rPr>
                <w:sz w:val="17"/>
                <w:szCs w:val="17"/>
                <w:color w:val="auto"/>
              </w:rPr>
            </w:pPr>
          </w:p>
        </w:tc>
        <w:tc>
          <w:tcPr>
            <w:tcW w:w="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79,979</w:t>
            </w:r>
          </w:p>
        </w:tc>
        <w:tc>
          <w:tcPr>
            <w:tcW w:w="100" w:type="dxa"/>
            <w:vAlign w:val="bottom"/>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8"/>
        </w:trPr>
        <w:tc>
          <w:tcPr>
            <w:tcW w:w="4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2022</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Less Inter-Segment Sales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420"/>
              <w:spacing w:after="0" w:line="153" w:lineRule="exact"/>
              <w:rPr>
                <w:sz w:val="20"/>
                <w:szCs w:val="20"/>
                <w:color w:val="auto"/>
              </w:rPr>
            </w:pPr>
            <w:r>
              <w:rPr>
                <w:rFonts w:ascii="Times New Roman" w:cs="Times New Roman" w:eastAsia="Times New Roman" w:hAnsi="Times New Roman"/>
                <w:sz w:val="16"/>
                <w:szCs w:val="16"/>
                <w:b w:val="1"/>
                <w:bCs w:val="1"/>
                <w:color w:val="auto"/>
              </w:rPr>
              <w:t>Intra-</w:t>
            </w:r>
          </w:p>
        </w:tc>
        <w:tc>
          <w:tcPr>
            <w:tcW w:w="160" w:type="dxa"/>
            <w:vAlign w:val="bottom"/>
          </w:tcPr>
          <w:p>
            <w:pPr>
              <w:spacing w:after="0"/>
              <w:rPr>
                <w:sz w:val="13"/>
                <w:szCs w:val="13"/>
                <w:color w:val="auto"/>
              </w:rPr>
            </w:pPr>
          </w:p>
        </w:tc>
        <w:tc>
          <w:tcPr>
            <w:tcW w:w="1160" w:type="dxa"/>
            <w:vAlign w:val="bottom"/>
            <w:gridSpan w:val="2"/>
          </w:tcPr>
          <w:p>
            <w:pPr>
              <w:jc w:val="center"/>
              <w:ind w:right="440"/>
              <w:spacing w:after="0" w:line="153" w:lineRule="exact"/>
              <w:rPr>
                <w:sz w:val="20"/>
                <w:szCs w:val="20"/>
                <w:color w:val="auto"/>
              </w:rPr>
            </w:pPr>
            <w:r>
              <w:rPr>
                <w:rFonts w:ascii="Times New Roman" w:cs="Times New Roman" w:eastAsia="Times New Roman" w:hAnsi="Times New Roman"/>
                <w:sz w:val="16"/>
                <w:szCs w:val="16"/>
                <w:b w:val="1"/>
                <w:bCs w:val="1"/>
                <w:color w:val="auto"/>
                <w:w w:val="99"/>
              </w:rPr>
              <w:t>Industrial</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59"/>
              <w:spacing w:after="0" w:line="153" w:lineRule="exact"/>
              <w:rPr>
                <w:sz w:val="20"/>
                <w:szCs w:val="20"/>
                <w:color w:val="auto"/>
              </w:rPr>
            </w:pPr>
            <w:r>
              <w:rPr>
                <w:rFonts w:ascii="Times New Roman" w:cs="Times New Roman" w:eastAsia="Times New Roman" w:hAnsi="Times New Roman"/>
                <w:sz w:val="16"/>
                <w:szCs w:val="16"/>
                <w:b w:val="1"/>
                <w:bCs w:val="1"/>
                <w:color w:val="auto"/>
              </w:rPr>
              <w:t>Net Sales to</w:t>
            </w:r>
          </w:p>
        </w:tc>
        <w:tc>
          <w:tcPr>
            <w:tcW w:w="100" w:type="dxa"/>
            <w:vAlign w:val="bottom"/>
          </w:tcPr>
          <w:p>
            <w:pPr>
              <w:spacing w:after="0"/>
              <w:rPr>
                <w:sz w:val="13"/>
                <w:szCs w:val="13"/>
                <w:color w:val="auto"/>
              </w:rPr>
            </w:pPr>
          </w:p>
        </w:tc>
      </w:tr>
      <w:tr>
        <w:trPr>
          <w:trHeight w:val="164"/>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4"/>
                <w:szCs w:val="14"/>
                <w:color w:val="auto"/>
              </w:rPr>
            </w:pPr>
          </w:p>
        </w:tc>
        <w:tc>
          <w:tcPr>
            <w:tcW w:w="1080" w:type="dxa"/>
            <w:vAlign w:val="bottom"/>
            <w:gridSpan w:val="2"/>
          </w:tcPr>
          <w:p>
            <w:pPr>
              <w:jc w:val="center"/>
              <w:ind w:right="400"/>
              <w:spacing w:after="0" w:line="165" w:lineRule="exact"/>
              <w:rPr>
                <w:sz w:val="20"/>
                <w:szCs w:val="20"/>
                <w:color w:val="auto"/>
              </w:rPr>
            </w:pPr>
            <w:r>
              <w:rPr>
                <w:rFonts w:ascii="Times New Roman" w:cs="Times New Roman" w:eastAsia="Times New Roman" w:hAnsi="Times New Roman"/>
                <w:sz w:val="16"/>
                <w:szCs w:val="16"/>
                <w:b w:val="1"/>
                <w:bCs w:val="1"/>
                <w:color w:val="auto"/>
              </w:rPr>
              <w:t>Segment</w:t>
            </w:r>
          </w:p>
        </w:tc>
        <w:tc>
          <w:tcPr>
            <w:tcW w:w="160" w:type="dxa"/>
            <w:vAlign w:val="bottom"/>
          </w:tcPr>
          <w:p>
            <w:pPr>
              <w:spacing w:after="0"/>
              <w:rPr>
                <w:sz w:val="14"/>
                <w:szCs w:val="14"/>
                <w:color w:val="auto"/>
              </w:rPr>
            </w:pPr>
          </w:p>
        </w:tc>
        <w:tc>
          <w:tcPr>
            <w:tcW w:w="1160" w:type="dxa"/>
            <w:vAlign w:val="bottom"/>
            <w:gridSpan w:val="2"/>
          </w:tcPr>
          <w:p>
            <w:pPr>
              <w:jc w:val="center"/>
              <w:ind w:right="440"/>
              <w:spacing w:after="0" w:line="165"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240" w:type="dxa"/>
            <w:vAlign w:val="bottom"/>
            <w:gridSpan w:val="2"/>
          </w:tcPr>
          <w:p>
            <w:pPr>
              <w:jc w:val="center"/>
              <w:ind w:right="460"/>
              <w:spacing w:after="0" w:line="165" w:lineRule="exact"/>
              <w:rPr>
                <w:sz w:val="20"/>
                <w:szCs w:val="20"/>
                <w:color w:val="auto"/>
              </w:rPr>
            </w:pPr>
            <w:r>
              <w:rPr>
                <w:rFonts w:ascii="Times New Roman" w:cs="Times New Roman" w:eastAsia="Times New Roman" w:hAnsi="Times New Roman"/>
                <w:sz w:val="16"/>
                <w:szCs w:val="16"/>
                <w:b w:val="1"/>
                <w:bCs w:val="1"/>
                <w:color w:val="auto"/>
                <w:w w:val="99"/>
              </w:rPr>
              <w:t>Engineered</w:t>
            </w:r>
          </w:p>
        </w:tc>
        <w:tc>
          <w:tcPr>
            <w:tcW w:w="100" w:type="dxa"/>
            <w:vAlign w:val="bottom"/>
          </w:tcPr>
          <w:p>
            <w:pPr>
              <w:spacing w:after="0"/>
              <w:rPr>
                <w:sz w:val="14"/>
                <w:szCs w:val="14"/>
                <w:color w:val="auto"/>
              </w:rPr>
            </w:pPr>
          </w:p>
        </w:tc>
        <w:tc>
          <w:tcPr>
            <w:tcW w:w="960" w:type="dxa"/>
            <w:vAlign w:val="bottom"/>
          </w:tcPr>
          <w:p>
            <w:pPr>
              <w:jc w:val="center"/>
              <w:ind w:right="59"/>
              <w:spacing w:after="0" w:line="165" w:lineRule="exact"/>
              <w:rPr>
                <w:sz w:val="20"/>
                <w:szCs w:val="20"/>
                <w:color w:val="auto"/>
              </w:rPr>
            </w:pPr>
            <w:r>
              <w:rPr>
                <w:rFonts w:ascii="Times New Roman" w:cs="Times New Roman" w:eastAsia="Times New Roman" w:hAnsi="Times New Roman"/>
                <w:sz w:val="16"/>
                <w:szCs w:val="16"/>
                <w:b w:val="1"/>
                <w:bCs w:val="1"/>
                <w:color w:val="auto"/>
              </w:rPr>
              <w:t>Outside</w:t>
            </w:r>
          </w:p>
        </w:tc>
        <w:tc>
          <w:tcPr>
            <w:tcW w:w="100" w:type="dxa"/>
            <w:vAlign w:val="bottom"/>
          </w:tcPr>
          <w:p>
            <w:pPr>
              <w:spacing w:after="0"/>
              <w:rPr>
                <w:sz w:val="14"/>
                <w:szCs w:val="14"/>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8"/>
                <w:szCs w:val="18"/>
                <w:color w:val="auto"/>
              </w:rPr>
            </w:pPr>
          </w:p>
        </w:tc>
        <w:tc>
          <w:tcPr>
            <w:tcW w:w="10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8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6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10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Customers</w:t>
            </w:r>
          </w:p>
        </w:tc>
        <w:tc>
          <w:tcPr>
            <w:tcW w:w="100" w:type="dxa"/>
            <w:vAlign w:val="bottom"/>
          </w:tcPr>
          <w:p>
            <w:pPr>
              <w:spacing w:after="0"/>
              <w:rPr>
                <w:sz w:val="18"/>
                <w:szCs w:val="18"/>
                <w:color w:val="auto"/>
              </w:rPr>
            </w:pPr>
          </w:p>
        </w:tc>
      </w:tr>
      <w:tr>
        <w:trPr>
          <w:trHeight w:val="196"/>
        </w:trPr>
        <w:tc>
          <w:tcPr>
            <w:tcW w:w="49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top w:val="single" w:sz="8" w:color="auto"/>
              <w:left w:val="single" w:sz="8" w:color="CFF0FC"/>
            </w:tcBorders>
            <w:shd w:val="clear" w:color="auto" w:fill="CFF0FC"/>
          </w:tcPr>
          <w:p>
            <w:pPr>
              <w:spacing w:after="0"/>
              <w:rPr>
                <w:sz w:val="17"/>
                <w:szCs w:val="17"/>
                <w:color w:val="auto"/>
              </w:rPr>
            </w:pPr>
          </w:p>
        </w:tc>
        <w:tc>
          <w:tcPr>
            <w:tcW w:w="88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left w:val="single" w:sz="8" w:color="CFF0FC"/>
            </w:tcBorders>
            <w:shd w:val="clear" w:color="auto" w:fill="CFF0FC"/>
          </w:tcPr>
          <w:p>
            <w:pPr>
              <w:spacing w:after="0"/>
              <w:rPr>
                <w:sz w:val="17"/>
                <w:szCs w:val="17"/>
                <w:color w:val="auto"/>
              </w:rPr>
            </w:pPr>
          </w:p>
        </w:tc>
        <w:tc>
          <w:tcPr>
            <w:tcW w:w="980" w:type="dxa"/>
            <w:vAlign w:val="bottom"/>
            <w:tcBorders>
              <w:top w:val="single" w:sz="8" w:color="auto"/>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left w:val="single" w:sz="8" w:color="CFF0FC"/>
            </w:tcBorders>
            <w:shd w:val="clear" w:color="auto" w:fill="CFF0FC"/>
          </w:tcPr>
          <w:p>
            <w:pPr>
              <w:spacing w:after="0"/>
              <w:rPr>
                <w:sz w:val="17"/>
                <w:szCs w:val="17"/>
                <w:color w:val="auto"/>
              </w:rPr>
            </w:pPr>
          </w:p>
        </w:tc>
        <w:tc>
          <w:tcPr>
            <w:tcW w:w="102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Engineered Systems segment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201,092</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(10,693 )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(461 )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189,938</w:t>
            </w:r>
          </w:p>
        </w:tc>
        <w:tc>
          <w:tcPr>
            <w:tcW w:w="100" w:type="dxa"/>
            <w:vAlign w:val="bottom"/>
          </w:tcPr>
          <w:p>
            <w:pPr>
              <w:spacing w:after="0"/>
              <w:rPr>
                <w:sz w:val="17"/>
                <w:szCs w:val="17"/>
                <w:color w:val="auto"/>
              </w:rPr>
            </w:pPr>
          </w:p>
        </w:tc>
      </w:tr>
      <w:tr>
        <w:trPr>
          <w:trHeight w:val="203"/>
        </w:trPr>
        <w:tc>
          <w:tcPr>
            <w:tcW w:w="49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Industrial Process Solutions segment</w:t>
            </w:r>
          </w:p>
        </w:tc>
        <w:tc>
          <w:tcPr>
            <w:tcW w:w="18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121,122</w:t>
            </w: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(4,468 )</w:t>
            </w:r>
          </w:p>
        </w:tc>
        <w:tc>
          <w:tcPr>
            <w:tcW w:w="160" w:type="dxa"/>
            <w:vAlign w:val="bottom"/>
            <w:tcBorders>
              <w:left w:val="single" w:sz="8" w:color="CFF0FC"/>
            </w:tcBorders>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FF0FC"/>
            </w:tcBorders>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(367 )</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116,287</w:t>
            </w:r>
          </w:p>
        </w:tc>
        <w:tc>
          <w:tcPr>
            <w:tcW w:w="100" w:type="dxa"/>
            <w:vAlign w:val="bottom"/>
            <w:shd w:val="clear" w:color="auto" w:fill="CFF0FC"/>
          </w:tcPr>
          <w:p>
            <w:pPr>
              <w:spacing w:after="0"/>
              <w:rPr>
                <w:sz w:val="17"/>
                <w:szCs w:val="17"/>
                <w:color w:val="auto"/>
              </w:rPr>
            </w:pPr>
          </w:p>
        </w:tc>
      </w:tr>
      <w:tr>
        <w:trPr>
          <w:trHeight w:val="20"/>
        </w:trPr>
        <w:tc>
          <w:tcPr>
            <w:tcW w:w="49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net sales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322,214</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(15,161 )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(461 )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(367 )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306,225</w:t>
            </w:r>
          </w:p>
        </w:tc>
        <w:tc>
          <w:tcPr>
            <w:tcW w:w="100" w:type="dxa"/>
            <w:vAlign w:val="bottom"/>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2"/>
        </w:trPr>
        <w:tc>
          <w:tcPr>
            <w:tcW w:w="4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2021</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Less Inter-Segment Sales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2"/>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6"/>
                <w:szCs w:val="16"/>
                <w:b w:val="1"/>
                <w:bCs w:val="1"/>
                <w:color w:val="auto"/>
                <w:w w:val="97"/>
              </w:rPr>
              <w:t>Intra-</w:t>
            </w:r>
          </w:p>
        </w:tc>
        <w:tc>
          <w:tcPr>
            <w:tcW w:w="160" w:type="dxa"/>
            <w:vAlign w:val="bottom"/>
          </w:tcPr>
          <w:p>
            <w:pPr>
              <w:spacing w:after="0"/>
              <w:rPr>
                <w:sz w:val="12"/>
                <w:szCs w:val="12"/>
                <w:color w:val="auto"/>
              </w:rPr>
            </w:pPr>
          </w:p>
        </w:tc>
        <w:tc>
          <w:tcPr>
            <w:tcW w:w="11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6"/>
                <w:szCs w:val="16"/>
                <w:b w:val="1"/>
                <w:bCs w:val="1"/>
                <w:color w:val="auto"/>
              </w:rPr>
              <w:t>Industrial</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6"/>
                <w:szCs w:val="16"/>
                <w:b w:val="1"/>
                <w:bCs w:val="1"/>
                <w:color w:val="auto"/>
              </w:rPr>
              <w:t>Net Sales to</w:t>
            </w:r>
          </w:p>
        </w:tc>
        <w:tc>
          <w:tcPr>
            <w:tcW w:w="100" w:type="dxa"/>
            <w:vAlign w:val="bottom"/>
          </w:tcPr>
          <w:p>
            <w:pPr>
              <w:spacing w:after="0"/>
              <w:rPr>
                <w:sz w:val="12"/>
                <w:szCs w:val="12"/>
                <w:color w:val="auto"/>
              </w:rPr>
            </w:pPr>
          </w:p>
        </w:tc>
      </w:tr>
      <w:tr>
        <w:trPr>
          <w:trHeight w:val="175"/>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5"/>
                <w:szCs w:val="15"/>
                <w:color w:val="auto"/>
              </w:rPr>
            </w:pPr>
          </w:p>
        </w:tc>
        <w:tc>
          <w:tcPr>
            <w:tcW w:w="108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6"/>
                <w:szCs w:val="16"/>
                <w:b w:val="1"/>
                <w:bCs w:val="1"/>
                <w:color w:val="auto"/>
              </w:rPr>
              <w:t>Segment</w:t>
            </w:r>
          </w:p>
        </w:tc>
        <w:tc>
          <w:tcPr>
            <w:tcW w:w="160" w:type="dxa"/>
            <w:vAlign w:val="bottom"/>
          </w:tcPr>
          <w:p>
            <w:pPr>
              <w:spacing w:after="0"/>
              <w:rPr>
                <w:sz w:val="15"/>
                <w:szCs w:val="15"/>
                <w:color w:val="auto"/>
              </w:rPr>
            </w:pPr>
          </w:p>
        </w:tc>
        <w:tc>
          <w:tcPr>
            <w:tcW w:w="1160" w:type="dxa"/>
            <w:vAlign w:val="bottom"/>
            <w:gridSpan w:val="2"/>
          </w:tcPr>
          <w:p>
            <w:pPr>
              <w:jc w:val="right"/>
              <w:ind w:right="480"/>
              <w:spacing w:after="0" w:line="175"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5"/>
                <w:szCs w:val="15"/>
                <w:color w:val="auto"/>
              </w:rPr>
            </w:pPr>
          </w:p>
        </w:tc>
        <w:tc>
          <w:tcPr>
            <w:tcW w:w="1240" w:type="dxa"/>
            <w:vAlign w:val="bottom"/>
            <w:gridSpan w:val="2"/>
          </w:tcPr>
          <w:p>
            <w:pPr>
              <w:jc w:val="right"/>
              <w:ind w:right="400"/>
              <w:spacing w:after="0" w:line="175" w:lineRule="exact"/>
              <w:rPr>
                <w:sz w:val="20"/>
                <w:szCs w:val="20"/>
                <w:color w:val="auto"/>
              </w:rPr>
            </w:pPr>
            <w:r>
              <w:rPr>
                <w:rFonts w:ascii="Times New Roman" w:cs="Times New Roman" w:eastAsia="Times New Roman" w:hAnsi="Times New Roman"/>
                <w:sz w:val="16"/>
                <w:szCs w:val="16"/>
                <w:b w:val="1"/>
                <w:bCs w:val="1"/>
                <w:color w:val="auto"/>
              </w:rPr>
              <w:t>Engineered</w:t>
            </w:r>
          </w:p>
        </w:tc>
        <w:tc>
          <w:tcPr>
            <w:tcW w:w="100" w:type="dxa"/>
            <w:vAlign w:val="bottom"/>
          </w:tcPr>
          <w:p>
            <w:pPr>
              <w:spacing w:after="0"/>
              <w:rPr>
                <w:sz w:val="15"/>
                <w:szCs w:val="15"/>
                <w:color w:val="auto"/>
              </w:rPr>
            </w:pPr>
          </w:p>
        </w:tc>
        <w:tc>
          <w:tcPr>
            <w:tcW w:w="96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Outside</w:t>
            </w:r>
          </w:p>
        </w:tc>
        <w:tc>
          <w:tcPr>
            <w:tcW w:w="100" w:type="dxa"/>
            <w:vAlign w:val="bottom"/>
          </w:tcPr>
          <w:p>
            <w:pPr>
              <w:spacing w:after="0"/>
              <w:rPr>
                <w:sz w:val="15"/>
                <w:szCs w:val="15"/>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10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Customers</w:t>
            </w:r>
          </w:p>
        </w:tc>
        <w:tc>
          <w:tcPr>
            <w:tcW w:w="100" w:type="dxa"/>
            <w:vAlign w:val="bottom"/>
          </w:tcPr>
          <w:p>
            <w:pPr>
              <w:spacing w:after="0"/>
              <w:rPr>
                <w:sz w:val="18"/>
                <w:szCs w:val="18"/>
                <w:color w:val="auto"/>
              </w:rPr>
            </w:pPr>
          </w:p>
        </w:tc>
      </w:tr>
      <w:tr>
        <w:trPr>
          <w:trHeight w:val="196"/>
        </w:trPr>
        <w:tc>
          <w:tcPr>
            <w:tcW w:w="49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top w:val="single" w:sz="8" w:color="auto"/>
              <w:left w:val="single" w:sz="8" w:color="CFF0FC"/>
            </w:tcBorders>
            <w:shd w:val="clear" w:color="auto" w:fill="CFF0FC"/>
          </w:tcPr>
          <w:p>
            <w:pPr>
              <w:spacing w:after="0"/>
              <w:rPr>
                <w:sz w:val="17"/>
                <w:szCs w:val="17"/>
                <w:color w:val="auto"/>
              </w:rPr>
            </w:pPr>
          </w:p>
        </w:tc>
        <w:tc>
          <w:tcPr>
            <w:tcW w:w="88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left w:val="single" w:sz="8" w:color="CFF0FC"/>
            </w:tcBorders>
            <w:shd w:val="clear" w:color="auto" w:fill="CFF0FC"/>
          </w:tcPr>
          <w:p>
            <w:pPr>
              <w:spacing w:after="0"/>
              <w:rPr>
                <w:sz w:val="17"/>
                <w:szCs w:val="17"/>
                <w:color w:val="auto"/>
              </w:rPr>
            </w:pPr>
          </w:p>
        </w:tc>
        <w:tc>
          <w:tcPr>
            <w:tcW w:w="980" w:type="dxa"/>
            <w:vAlign w:val="bottom"/>
            <w:tcBorders>
              <w:top w:val="single" w:sz="8" w:color="auto"/>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left w:val="single" w:sz="8" w:color="CFF0FC"/>
            </w:tcBorders>
            <w:shd w:val="clear" w:color="auto" w:fill="CFF0FC"/>
          </w:tcPr>
          <w:p>
            <w:pPr>
              <w:spacing w:after="0"/>
              <w:rPr>
                <w:sz w:val="17"/>
                <w:szCs w:val="17"/>
                <w:color w:val="auto"/>
              </w:rPr>
            </w:pPr>
          </w:p>
        </w:tc>
        <w:tc>
          <w:tcPr>
            <w:tcW w:w="102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Engineered Systems segment</w:t>
            </w: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137,104</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(6,359 )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(549 )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130,196</w:t>
            </w:r>
          </w:p>
        </w:tc>
        <w:tc>
          <w:tcPr>
            <w:tcW w:w="100" w:type="dxa"/>
            <w:vAlign w:val="bottom"/>
          </w:tcPr>
          <w:p>
            <w:pPr>
              <w:spacing w:after="0"/>
              <w:rPr>
                <w:sz w:val="17"/>
                <w:szCs w:val="17"/>
                <w:color w:val="auto"/>
              </w:rPr>
            </w:pPr>
          </w:p>
        </w:tc>
      </w:tr>
      <w:tr>
        <w:trPr>
          <w:trHeight w:val="203"/>
        </w:trPr>
        <w:tc>
          <w:tcPr>
            <w:tcW w:w="49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Industrial Process Solutions segment</w:t>
            </w:r>
          </w:p>
        </w:tc>
        <w:tc>
          <w:tcPr>
            <w:tcW w:w="18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109,703</w:t>
            </w: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(8,363 )</w:t>
            </w:r>
          </w:p>
        </w:tc>
        <w:tc>
          <w:tcPr>
            <w:tcW w:w="160" w:type="dxa"/>
            <w:vAlign w:val="bottom"/>
            <w:tcBorders>
              <w:left w:val="single" w:sz="8" w:color="CFF0FC"/>
            </w:tcBorders>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FF0FC"/>
            </w:tcBorders>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(985 )</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100,355</w:t>
            </w:r>
          </w:p>
        </w:tc>
        <w:tc>
          <w:tcPr>
            <w:tcW w:w="100" w:type="dxa"/>
            <w:vAlign w:val="bottom"/>
            <w:shd w:val="clear" w:color="auto" w:fill="CFF0FC"/>
          </w:tcPr>
          <w:p>
            <w:pPr>
              <w:spacing w:after="0"/>
              <w:rPr>
                <w:sz w:val="17"/>
                <w:szCs w:val="17"/>
                <w:color w:val="auto"/>
              </w:rPr>
            </w:pPr>
          </w:p>
        </w:tc>
      </w:tr>
      <w:tr>
        <w:trPr>
          <w:trHeight w:val="20"/>
        </w:trPr>
        <w:tc>
          <w:tcPr>
            <w:tcW w:w="49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net sales</w:t>
            </w: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246,807</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(14,722 )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(549 )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(985 )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230,551</w:t>
            </w:r>
          </w:p>
        </w:tc>
        <w:tc>
          <w:tcPr>
            <w:tcW w:w="100" w:type="dxa"/>
            <w:vAlign w:val="bottom"/>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-4491355</wp:posOffset>
            </wp:positionV>
            <wp:extent cx="77470"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-4491355</wp:posOffset>
            </wp:positionV>
            <wp:extent cx="6858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-4491355</wp:posOffset>
            </wp:positionV>
            <wp:extent cx="68580"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-4491355</wp:posOffset>
            </wp:positionV>
            <wp:extent cx="68580"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-4491355</wp:posOffset>
            </wp:positionV>
            <wp:extent cx="68580" cy="163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-3051175</wp:posOffset>
            </wp:positionV>
            <wp:extent cx="77470" cy="162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-3051175</wp:posOffset>
            </wp:positionV>
            <wp:extent cx="68580" cy="162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-3051175</wp:posOffset>
            </wp:positionV>
            <wp:extent cx="68580" cy="162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-3051175</wp:posOffset>
            </wp:positionV>
            <wp:extent cx="68580" cy="162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162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-1610995</wp:posOffset>
            </wp:positionV>
            <wp:extent cx="77470" cy="162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-1610995</wp:posOffset>
            </wp:positionV>
            <wp:extent cx="68580" cy="162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-1610995</wp:posOffset>
            </wp:positionV>
            <wp:extent cx="68580" cy="162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-1610995</wp:posOffset>
            </wp:positionV>
            <wp:extent cx="68580" cy="162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162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-162560</wp:posOffset>
            </wp:positionV>
            <wp:extent cx="77470" cy="163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-162560</wp:posOffset>
            </wp:positionV>
            <wp:extent cx="76835"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-162560</wp:posOffset>
            </wp:positionV>
            <wp:extent cx="68580" cy="163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-162560</wp:posOffset>
            </wp:positionV>
            <wp:extent cx="68580"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0" w:name="page21"/>
    <w:bookmarkEnd w:id="20"/>
    <w:p>
      <w:pPr>
        <w:ind w:left="3460"/>
        <w:spacing w:after="0"/>
        <w:rPr>
          <w:sz w:val="20"/>
          <w:szCs w:val="20"/>
          <w:color w:val="auto"/>
        </w:rPr>
      </w:pPr>
      <w:r>
        <w:rPr>
          <w:rFonts w:ascii="Times New Roman" w:cs="Times New Roman" w:eastAsia="Times New Roman" w:hAnsi="Times New Roman"/>
          <w:sz w:val="18"/>
          <w:szCs w:val="18"/>
          <w:u w:val="single" w:color="auto"/>
          <w:color w:val="auto"/>
        </w:rPr>
        <w:t>CECO ENVIRONMENTAL CORP. AND SUBSIDIARIES</w:t>
      </w:r>
    </w:p>
    <w:p>
      <w:pPr>
        <w:spacing w:after="0" w:line="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w:t>
      </w: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Statements of Operations for the three month and nine months ended September 30, 2022 and 2021 reflect the consolidated operations of the Company and its subsidiaries.</w:t>
      </w:r>
    </w:p>
    <w:p>
      <w:pPr>
        <w:spacing w:after="0" w:line="14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CECO Environmental Corp. (“CECO,” “we,” “us,” or the “Company”) is a leading environmentally focused, diversified industrial company whose solutions protect people, the environment, and industrial equipment. We focus on engineering, designing, building, and installing systems that capture, clean and destroy air- and water-borne emissions from industrial facilities as well as fluid handling, gas and water separation, and filtration systems. CECO provides innovative technology and application expertise that helps companies grow their businesses with safe, clean, and more efficient solutions to protect our shared environment.</w:t>
      </w:r>
    </w:p>
    <w:p>
      <w:pPr>
        <w:spacing w:after="0" w:line="18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CECO serves diverse industries globally by working to improve air and water quality, protect customer’s equipment, and provide customized engineered solutions in our customers’ mission critical applications. The industries CECO serves include power generation, petrochemical processing, general industrial, refining, midstream oil &amp; gas, electric vehicle production, poly silicon fabrication, battery recycling, and wastewater treatment, along with a wide range of other industries.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and Other Market Pressures</w:t>
      </w:r>
    </w:p>
    <w:p>
      <w:pPr>
        <w:spacing w:after="0" w:line="21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 novel strain of coronavirus (“COVID-19”) surfaced in late 2019 and has spread around the world, including to the United States. In March 2020, the World Health Organization characterized COVID-19 as a pandemic. The COVID-19 pandemic persists in geographic areas in which we have operations, suppliers, customers and employees, and has had a significant impact on worldwide economic activity, macroeconomic conditions, and the end markets of our business.</w:t>
      </w:r>
    </w:p>
    <w:p>
      <w:pPr>
        <w:spacing w:after="0" w:line="17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As a key supplier to critical infrastructure projects, CECO has worked to maintain ongoing operations. We continue to operate our business in compliance with applicable state and local laws and are observing recommended Centers for Disease Control and Prevention guidelines to minimize the risk of spreading the COVID-19 virus including implementing, where possible, work-from-home procedures and additional sanitization efforts. This allows us to continue to serve our customers, however, the COVID-19 pandemic has also disrupted our international operations. Some of our facilities and our suppliers have experienced temporary disruptions as a result of the COVID-19 pandemic, and we continue to work closely with our global supply chain to proactively support customers during this critical time. We cannot predict whether our facilities will experience more significant disruptions in the future or the impact on our customers, vendors, or suppliers.</w:t>
      </w:r>
    </w:p>
    <w:p>
      <w:pPr>
        <w:spacing w:after="0" w:line="18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Although vaccines are available in various countries where we operate, health concern risks remain and notwithstanding the Company's continued efforts, it is possible the COVID-19 pandemic could further impact our operations and the operations of our customers, vendors and suppliers, particularly in light of newly emerging variant strains of the virus becoming more dominant and the potential resumption of high levels of infection and hospitalization. We cannot predict whether any of our manufacturing facilities, other operations or suppliers will be disrupted by these events, or how long such disruptions would last. COVID-19 has had and may have further negative impacts on our operations, customers and supply chain despite the preventative and precautionary measures being taken.</w:t>
      </w:r>
    </w:p>
    <w:p>
      <w:pPr>
        <w:spacing w:after="0" w:line="180"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color w:val="auto"/>
        </w:rPr>
        <w:t>The senior management team meets regularly to review and assess the status of the Company's operations and the health and safety of its employees. The senior management team continues to monitor and manage the Company’s ability to operate effectively as the result of the pandemic and other market pressures. In particular, we are currently experiencing shortages of raw materials and inflationary pressures for certain materials and labor. We expect these supply chain challenges and cost impacts to continue for the foreseeable future as markets recover. Although we have secured additional raw materials from existing and alternate suppliers and have taken other mitigating actions to mitigate supply disruptions, we cannot guarantee that we can continue to do so in the future. In this event, our business, results and financial condition could be adversely affected.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Regarding Use of Non-GAAP Financial Measures</w:t>
      </w:r>
    </w:p>
    <w:p>
      <w:pPr>
        <w:spacing w:after="0" w:line="22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90"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 financial performance and the Company believes it provides greater transparency to investors as supplemental information to its GAAP results.</w:t>
      </w:r>
    </w:p>
    <w:p>
      <w:pPr>
        <w:spacing w:after="0" w:line="17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the acquisition and divestitures. While the Company cannot predict the exact timing or amounts of such charges, it does expect to treat the financial impact of these transactions as special items in its future presentation of non-GAAP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Statements of Operations for the three month and nine months ended September 30, 2022 and 2021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28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6"/>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ratios)</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80.0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2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57.3</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22.7</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Percent of sales</w:t>
            </w:r>
          </w:p>
        </w:tc>
        <w:tc>
          <w:tcPr>
            <w:tcW w:w="9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29.9 %</w:t>
            </w:r>
          </w:p>
        </w:tc>
        <w:tc>
          <w:tcPr>
            <w:tcW w:w="12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w w:val="96"/>
              </w:rPr>
              <w:t>28.4 %</w:t>
            </w:r>
          </w:p>
        </w:tc>
        <w:tc>
          <w:tcPr>
            <w:tcW w:w="20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29.6 %</w:t>
            </w:r>
          </w:p>
        </w:tc>
        <w:tc>
          <w:tcPr>
            <w:tcW w:w="3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31.4 %</w:t>
            </w:r>
          </w:p>
        </w:tc>
      </w:tr>
      <w:tr>
        <w:trPr>
          <w:trHeight w:val="20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9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20.9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Percent of sales</w:t>
            </w:r>
          </w:p>
        </w:tc>
        <w:tc>
          <w:tcPr>
            <w:tcW w:w="9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23.2 %</w:t>
            </w:r>
          </w:p>
        </w:tc>
        <w:tc>
          <w:tcPr>
            <w:tcW w:w="12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w w:val="96"/>
              </w:rPr>
              <w:t>26.1 %</w:t>
            </w:r>
          </w:p>
        </w:tc>
        <w:tc>
          <w:tcPr>
            <w:tcW w:w="20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21.8 %</w:t>
            </w:r>
          </w:p>
        </w:tc>
        <w:tc>
          <w:tcPr>
            <w:tcW w:w="3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26.4 %</w:t>
            </w:r>
          </w:p>
        </w:tc>
      </w:tr>
      <w:tr>
        <w:trPr>
          <w:trHeight w:val="20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9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90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9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transition expenses</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19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900" w:type="dxa"/>
            <w:vAlign w:val="bottom"/>
            <w:tcBorders>
              <w:top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Operating margin</w:t>
            </w:r>
          </w:p>
        </w:tc>
        <w:tc>
          <w:tcPr>
            <w:tcW w:w="9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2.6 %</w:t>
            </w:r>
          </w:p>
        </w:tc>
        <w:tc>
          <w:tcPr>
            <w:tcW w:w="1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(0.8 )%</w:t>
            </w:r>
          </w:p>
        </w:tc>
        <w:tc>
          <w:tcPr>
            <w:tcW w:w="2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4.5 %</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2.0 %</w:t>
            </w:r>
          </w:p>
        </w:tc>
      </w:tr>
    </w:tbl>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To compare operating performance between the three month and nine months ended September 30, 2022 and 2021, the Company has adjusted GAAP operating income to exclude (1) amortization of intangible assets, earnout and retention expenses, (2) restructuring expenses primarily relating to severance, facility exits, and associated legal expenses, (3) acquisition and integration expenses, which include legal, accounting, and other expenses, and</w:t>
      </w:r>
    </w:p>
    <w:p>
      <w:pPr>
        <w:spacing w:after="0" w:line="2" w:lineRule="exact"/>
        <w:rPr>
          <w:sz w:val="20"/>
          <w:szCs w:val="20"/>
          <w:color w:val="auto"/>
        </w:rPr>
      </w:pPr>
    </w:p>
    <w:p>
      <w:pPr>
        <w:ind w:right="140" w:firstLine="8"/>
        <w:spacing w:after="0" w:line="245"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transition expense, including severance for its former Chief Financial Officer and Senior Vice President of Human Resources, as well as fees and expenses incurred in the search for, and hiring of, a new Chief Financial Officer.</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GAAP operating income and GAAP operating margin to non-GAAP operating income and non-GAAP operating margin:</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36"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7"/>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ratios)</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income as reported in accordance with GAAP</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6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Operating margin in accordance with GAAP</w:t>
            </w:r>
          </w:p>
        </w:tc>
        <w:tc>
          <w:tcPr>
            <w:tcW w:w="9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2.6 %</w:t>
            </w:r>
          </w:p>
        </w:tc>
        <w:tc>
          <w:tcPr>
            <w:tcW w:w="12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(0.8 )%</w:t>
            </w:r>
          </w:p>
        </w:tc>
        <w:tc>
          <w:tcPr>
            <w:tcW w:w="92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4.5 %</w:t>
            </w:r>
          </w:p>
        </w:tc>
        <w:tc>
          <w:tcPr>
            <w:tcW w:w="28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2.0 %</w:t>
            </w:r>
          </w:p>
        </w:tc>
      </w:tr>
      <w:tr>
        <w:trPr>
          <w:trHeight w:val="203"/>
        </w:trPr>
        <w:tc>
          <w:tcPr>
            <w:tcW w:w="4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9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expenses</w:t>
            </w:r>
          </w:p>
        </w:tc>
        <w:tc>
          <w:tcPr>
            <w:tcW w:w="98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9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Executive transition expenses</w:t>
            </w:r>
          </w:p>
        </w:tc>
        <w:tc>
          <w:tcPr>
            <w:tcW w:w="9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19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Non-GAAP operating income</w:t>
            </w:r>
          </w:p>
        </w:tc>
        <w:tc>
          <w:tcPr>
            <w:tcW w:w="980" w:type="dxa"/>
            <w:vAlign w:val="bottom"/>
            <w:tcBorders>
              <w:top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496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Non-GAAP operating margin</w:t>
            </w:r>
          </w:p>
        </w:tc>
        <w:tc>
          <w:tcPr>
            <w:tcW w:w="9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6.7 %</w:t>
            </w:r>
          </w:p>
        </w:tc>
        <w:tc>
          <w:tcPr>
            <w:tcW w:w="1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2.3 %</w:t>
            </w:r>
          </w:p>
        </w:tc>
        <w:tc>
          <w:tcPr>
            <w:tcW w:w="9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7.7 %</w:t>
            </w:r>
          </w:p>
        </w:tc>
        <w:tc>
          <w:tcPr>
            <w:tcW w:w="2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5.0 %</w:t>
            </w:r>
          </w:p>
        </w:tc>
      </w:tr>
    </w:tbl>
    <w:p>
      <w:pPr>
        <w:spacing w:after="0" w:line="18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Net sales for the three months ended September 30, 2022 increased $28.4 million, or 35.5%, to $108.4 million compared with $80.0 million for the three months ended September 30, 2021. The increase is broad-based, led by increases of $8.9 million in our thermal acoustics technologies, $7.6 million across our entire industrial process solutions platforms, $4.6 million in our damper and expansion products, and $2.6 million in our separation and filtration technologies. Approximately 80%, or $22.4 million, of the increase in net sales is attributable to organic revenue growth, while $6.0 million is attributable to current year acquisitions.</w:t>
      </w:r>
    </w:p>
    <w:p>
      <w:pPr>
        <w:spacing w:after="0" w:line="17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Net sales for the nine months ended September 30, 2022 increased $75.6 million, or 32.8%, to $306.2 million compared with $230.6 million for the nine months ended September 30, 2021. The increase is broad-based, led by increases of $20.5 million in our thermal acoustics technologies, $16.0 million across our entire industrial process solutions platforms, $14.6 million in our emissions management technologies, $12.1 million in our damper and expansion products, and $8.2 million in our engineered cyclone systems. Approximately 85%, or $64.3 million, of the increase in net sales is attributable to organic revenue growth, while $11.3 million is attributable to current year acquisitions.</w:t>
      </w:r>
    </w:p>
    <w:p>
      <w:pPr>
        <w:spacing w:after="0" w:line="18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Gross profit increased $9.7 million, or 42.7%, to $32.4 million in the three months ended September 30, 2022 compared with $22.7 million in the three months ended September 30, 2021. The increase in gross profit is primarily attributable to the increase in sales volume as described above. Gross profit as a percentage of sales increased 1.5% to 29.9% in the three months ended September 30, 2022 compared with 28.4% in the three months ended September 30, 2021 due to price increases and higher project margin mix executed during the three month period ended September 30, 2022, partially offset by inflation and supply chain challenges.</w:t>
      </w:r>
    </w:p>
    <w:p>
      <w:pPr>
        <w:spacing w:after="0" w:line="17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Gross profit increased $18.1 million, or 25.0%, to $90.5 million in the nine months ended September 30, 2022 compared with $72.4 million in the nine months ended September 30, 2021. The increase in gross profit is primarily attributable to the increase in sales volume as describe above. Gross profit as a percentage of sales decreased to 29.6% in the nine months ended September 30, 2022 compared with 31.4% in the nine months ended September 30, 2021 due to inflation, supply chain challenges, and lower project margin mix executed during the nine months ended September 30, 2022, partially offset by price increases. We continue to experience shortages of raw materials and inflationary pressures for certain materials and labor. We expect these supply chain challenges and cost impacts to continue for the foreseeable future as markets recover. Although we have secured additional raw materials from existing and alternate suppliers and have taken other mitigating actions to mitigate supply disruptions, such as implementing price increases and applying material surcharges. We cannot guarantee that we can continue to do so in the future. In this event, our business, results and financial condition could be adversely affected.</w:t>
      </w:r>
    </w:p>
    <w:p>
      <w:pPr>
        <w:spacing w:after="0" w:line="185"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Orders booked increased $9.1 million, or 9.8%, to $101.7 million during the three months ended September 30, 2022 compared with $92.6 million in the three months ended September 30, 2021. The increase is primarily attributable to increases of $12.3 million in our separation and filtration technologies and $2.3 million in our damper and expansion products partially offset by a decrease of $4.4 million in our industrial air control technologies. For the $9.1 million increase in orders, $3.3 million is attributable to organic growth, while $5.8 million is attributable to current year acquisitions.</w:t>
      </w:r>
    </w:p>
    <w:p>
      <w:pPr>
        <w:spacing w:after="0" w:line="17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Orders booked increased $106.0 million, or 39.2%, to $376.2 million during the nine months ended September 30, 2022 compared with $270.2 million during the nine months ended September 30, 2021. The increase is primarily attributable to increases of $49.4 million in our separation and filtration technologies, $25.1 million in our thermal acoustics technologies and $23.5 million in industrial air control technologies. For the $106.0 million increase in orders, approximately 90%, or $94.3 million, is attributable to organic growth, while $11.7 million is attributable to current year acquisitions.</w:t>
      </w:r>
    </w:p>
    <w:p>
      <w:pPr>
        <w:spacing w:after="0" w:line="17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Selling and administrative expenses were $25.1 million for the three months ended September 30, 2022 compared with $20.9 million for the three months ended September 30, 2021. The increase is primarily attributable to acquisitions during 2022, as well as increased headcount in order to support expected revenue growth. Selling and administrative expenses as a percentage of sales was 23.2% in the three months ended September 30, 2022 compared with 26.1% in the three months ended September 30, 2021. The decrease in percentage is primarily attributable to gaining operating leverage on increased organic revenues.</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6" w:right="299" w:bottom="1440" w:gutter="0" w:footer="0" w:header="0"/>
        </w:sectPr>
      </w:pPr>
    </w:p>
    <w:bookmarkStart w:id="23" w:name="page24"/>
    <w:bookmarkEnd w:id="23"/>
    <w:p>
      <w:pPr>
        <w:ind w:right="140"/>
        <w:spacing w:after="0" w:line="250" w:lineRule="auto"/>
        <w:rPr>
          <w:sz w:val="20"/>
          <w:szCs w:val="20"/>
          <w:color w:val="auto"/>
        </w:rPr>
      </w:pPr>
      <w:r>
        <w:rPr>
          <w:rFonts w:ascii="Times New Roman" w:cs="Times New Roman" w:eastAsia="Times New Roman" w:hAnsi="Times New Roman"/>
          <w:sz w:val="18"/>
          <w:szCs w:val="18"/>
          <w:color w:val="auto"/>
        </w:rPr>
        <w:t>Selling and administrative expenses were $66.8 million for the nine months ended September 30, 2022 compared with $60.9 million for the nine months ended September 30, 2021. The increase is primarily attributable to acquisitions during 2022, as well as increased headcount in order to support expected revenue growth. Selling and administrative expenses as a percentage of sales was 21.8% in the nine months ended September 30, 2022 compared with 26.4% in the nine months ended September 30, 2021. The decrease in percentage is primarily attributable to gaining operating leverage on increased organic revenues.</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Amortization and earnout expense was $2.0 million for the three months ended September 30, 2022 compared with $1.8 million for the three months ended September 30, 2021. The increase in expense is attributable to a $0.3 million increase in definite lived asset amortization, partially offset by a decrease of $0.1 million in earnout expense.</w:t>
      </w:r>
    </w:p>
    <w:p>
      <w:pPr>
        <w:spacing w:after="0" w:line="16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Amortization and earnout expense was $4.9 million for the nine months ended September 30, 2022 compared with $5.8 million for the nine months ended September 30, 2021. The decrease in expense is attributable to a decrease of $0.8 million in earnout expense and $0.1 million decrease in definite lived asset amortization.</w:t>
      </w:r>
    </w:p>
    <w:p>
      <w:pPr>
        <w:spacing w:after="0" w:line="190"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Operating income increased $3.4 million to $2.8 million for the three months ended September 30, 2022 compared with operating loss of $0.6 million for the three months ended September 30, 2021. Operating income increased $9.1 million to $13.7 million for the nine months ended September 30, 2022 compared with $4.6 million for the nine months ended September 30, 2021. The increase in operating income for the three and nine months ended September 30, 2022 is primarily attributable to increases in organic sales.</w:t>
      </w:r>
    </w:p>
    <w:p>
      <w:pPr>
        <w:spacing w:after="0" w:line="17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Non-GAAP operating income was $7.3 million for the three months ended September 30, 2022 compared with $1.8 million for the three months ended September 30, 2021. The increase of $5.5 million in non-GAAP operating income is primarily attributable to the increase in net organic sales. Non-GAAP operating income as a percentage of sales increased to 6.7% for the three months ended September 30, 2022 from 2.3% for the three months ended September 30, 2021.</w:t>
      </w:r>
    </w:p>
    <w:p>
      <w:pPr>
        <w:spacing w:after="0" w:line="17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Non-GAAP operating income was $23.7 million for the nine months ended September 30, 2022 compared with $11.5 million for the nine months ended September 30, 2021. The increase of $12.2 million in non-GAAP operating income is primarily attributable to the increase in net organic sales. Non-GAAP operating income as a percentage of sales increased to 7.7% for the nine months ended September 30, 2022 from 5.0% for the nine months ended September 30, 2021.</w:t>
      </w:r>
    </w:p>
    <w:p>
      <w:pPr>
        <w:spacing w:after="0" w:line="191"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Interest expense increased to $1.6 million in the three months ended September 30, 2022 and $3.5 million for the nine months ended September 30, 2022 compared with interest expense of $0.7 million in the three months ended September 30, 2021 and $2.2 million for the nine months ended September 30, 2021. The increase in interest expense is primarily due to increased debt balances.</w:t>
      </w:r>
    </w:p>
    <w:p>
      <w:pPr>
        <w:spacing w:after="0" w:line="177"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Income tax expense was $0.3 million for the three months ended September 30, 2022 and $3.3 million for the nine months ended September 30, 2022 compared with income tax expense of $0.1 million for the three months ended September 30, 2021 and $0.8 million for the nine months ended September 30, 2021. The effective income tax rate for the three months ended September 30, 2022 was 12.7% compared with (5.6)% for the three months ended September 30, 2021. The effective income tax rate for the nine months ended September 30, 2022 was 25.3% compared with 62.7% for the nine months ended September 30, 2021. The effective income tax rates for the three and nine months ended September 30, 2022 differ from the United States federal statutory rate. Our effective tax rate is affected by certain other permanent differences, including state income taxes, non-deductible incentive stock-based compensation, and differences in tax rates among the jurisdictions in which we operate.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1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 that the segment serves and are presented in two reportable segments. The results of the segments are reviewed through “Income from operations” on the unaudited Condensed 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18"/>
                <w:szCs w:val="18"/>
                <w:color w:val="auto"/>
              </w:rPr>
            </w:pPr>
          </w:p>
        </w:tc>
      </w:tr>
      <w:tr>
        <w:trPr>
          <w:trHeight w:val="202"/>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(less intra-, inter-segment sales)</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Engineered Systems segment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65,630</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189,938</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130,196</w:t>
            </w:r>
          </w:p>
        </w:tc>
        <w:tc>
          <w:tcPr>
            <w:tcW w:w="100" w:type="dxa"/>
            <w:vAlign w:val="bottom"/>
          </w:tcPr>
          <w:p>
            <w:pPr>
              <w:spacing w:after="0"/>
              <w:rPr>
                <w:sz w:val="17"/>
                <w:szCs w:val="17"/>
                <w:color w:val="auto"/>
              </w:rPr>
            </w:pPr>
          </w:p>
        </w:tc>
      </w:tr>
      <w:tr>
        <w:trPr>
          <w:trHeight w:val="203"/>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Industrial Process Solutions segment</w:t>
            </w: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42,784</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35,200</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116,287</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100,355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108,414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79,979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306,225</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230,551</w:t>
            </w:r>
          </w:p>
        </w:tc>
        <w:tc>
          <w:tcPr>
            <w:tcW w:w="100" w:type="dxa"/>
            <w:vAlign w:val="bottom"/>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-161925</wp:posOffset>
            </wp:positionV>
            <wp:extent cx="76835"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-161925</wp:posOffset>
            </wp:positionV>
            <wp:extent cx="68580" cy="162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-161925</wp:posOffset>
            </wp:positionV>
            <wp:extent cx="68580" cy="162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7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Engineered Systems segment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8,991</w:t>
            </w:r>
          </w:p>
        </w:tc>
        <w:tc>
          <w:tcPr>
            <w:tcW w:w="26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4,301</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24,467</w:t>
            </w:r>
          </w:p>
        </w:tc>
        <w:tc>
          <w:tcPr>
            <w:tcW w:w="2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16,105</w:t>
            </w:r>
          </w:p>
        </w:tc>
        <w:tc>
          <w:tcPr>
            <w:tcW w:w="100" w:type="dxa"/>
            <w:vAlign w:val="bottom"/>
          </w:tcPr>
          <w:p>
            <w:pPr>
              <w:spacing w:after="0"/>
              <w:rPr>
                <w:sz w:val="17"/>
                <w:szCs w:val="17"/>
                <w:color w:val="auto"/>
              </w:rPr>
            </w:pPr>
          </w:p>
        </w:tc>
      </w:tr>
      <w:tr>
        <w:trPr>
          <w:trHeight w:val="202"/>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Industrial Process Solutions segment</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14,847</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10,932</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Corporate and Other</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(11,444 )</w:t>
            </w:r>
          </w:p>
        </w:tc>
        <w:tc>
          <w:tcPr>
            <w:tcW w:w="300" w:type="dxa"/>
            <w:vAlign w:val="bottom"/>
          </w:tcPr>
          <w:p>
            <w:pPr>
              <w:spacing w:after="0"/>
              <w:rPr>
                <w:sz w:val="17"/>
                <w:szCs w:val="17"/>
                <w:color w:val="auto"/>
              </w:rPr>
            </w:pPr>
          </w:p>
        </w:tc>
        <w:tc>
          <w:tcPr>
            <w:tcW w:w="1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(7,566 )</w:t>
            </w:r>
          </w:p>
        </w:tc>
        <w:tc>
          <w:tcPr>
            <w:tcW w:w="1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(25,591 )</w:t>
            </w:r>
          </w:p>
        </w:tc>
        <w:tc>
          <w:tcPr>
            <w:tcW w:w="3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(22,434 )</w:t>
            </w:r>
          </w:p>
        </w:tc>
      </w:tr>
      <w:tr>
        <w:trPr>
          <w:trHeight w:val="236"/>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income (loss) from operations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13,723</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-24765</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compensation, professional services, information technology and other general and administrative corporate expenses.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Engineered Systems Segment</w:t>
      </w:r>
    </w:p>
    <w:p>
      <w:pPr>
        <w:spacing w:after="0" w:line="21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Engineered Systems segment net sales increased $20.8 million to $65.6 million for the three months ended September 30, 2022 compared with $44.8 million for the three months ended September 30, 2021. The increase is broad-based, led by increases of $8.9 million in our thermal acoustics technologies, $4.6 million in our damper and expansion products, $2.6 million in our separation and filtration technologies, $1.7 million in our engineered cyclone systems, $1.5 million in our industrial water technologies and $1.5 million in our emissions management technologies. Approximately 75%, or $15.5 million, of the increase in net sales is attributable to organic revenue growth, while $5.3 million is attributable to current year acquisitions.</w:t>
      </w:r>
    </w:p>
    <w:p>
      <w:pPr>
        <w:spacing w:after="0" w:line="17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Our Engineered Systems segment net sales increased $59.7 million to $189.9 million for the nine months ended September 30, 2022 compared with $130.2 million for the nine months ended September 30, 2021. The increase is broad-based, led by increases of $20.5 million in our thermal acoustics technologies, $14.6 million in our emissions management technologies, $12.1 million in our damper and expansion products, and $8.2 million in our engineered cyclone systems. Approximately 80%, or $49.1 million, of the increase in net sales is attributable to organic revenue growth, while $10.6 million is attributable to current year acquisitions.</w:t>
      </w:r>
    </w:p>
    <w:p>
      <w:pPr>
        <w:spacing w:after="0" w:line="181"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Operating income for the Engineered Systems segment increased $4.7 million to $9.0 million for the three months ended September 30, 2022 compared with $4.3 million for the three months ended September 30, 2021. The operating income increase is primarily attributable to higher gross profit related to increased sales of $20.8 million.</w:t>
      </w:r>
    </w:p>
    <w:p>
      <w:pPr>
        <w:spacing w:after="0" w:line="16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Operating income for the Engineered Systems segment increased $8.4 million to $24.5 million for the nine months ended September 30, 2022 compared with $16.1 million for the nine months ended September 30, 2021. The operating income increase is primarily attributable to higher gross profit related to increased sales of $59.7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Industrial Process Solutions Segment</w:t>
      </w:r>
    </w:p>
    <w:p>
      <w:pPr>
        <w:spacing w:after="0" w:line="22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Our Industrial Process Solutions segment net sales increased $7.6 million to $42.8 million for the three months ended September 30, 2022 compared with $35.2 million for the three months ended September 30, 2021. The increase is primarily attributable to increases across all products serving industrial air end markets. Approximately 90%, or $7.0 million, of the increase in net sales is attributable to organic revenue growth, while $0.7 million is attributable to current year acquisitions.</w:t>
      </w:r>
    </w:p>
    <w:p>
      <w:pPr>
        <w:spacing w:after="0" w:line="17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Our Industrial Process Solutions segment net sales increased $15.9 million to $116.3 million for the nine months ended September 30, 2022 compared with $100.4 million for the nine months ended September 30, 2021. The increase is primarily attributable to increases across all products serving industrial air end markets. Approximately 95%, or $15.2 million, of the increase in net sales is attributable to organic revenue growth, while $0.7 million is attributable to current year acquisitions.</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income for the Industrial Process Solutions segment increased $2.5 million to $5.2 million for the three months ended September 30, 2022 compared with $2.7 million for the three months ended September 30, 2021. The increase is primarily attributable to higher gross profit related to increased sales of $7.6 million, offset by a $1.3 million increase in selling and administrative expense.</w:t>
      </w:r>
    </w:p>
    <w:p>
      <w:pPr>
        <w:spacing w:after="0" w:line="169"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Operating income for the Industrial Process Solutions segment increased $3.9 million to $14.8 million for the nine months ended September 30, 2022 compared with $10.9 million for the nine months ended September 30, 2021. The increase is primarily attributable to higher gross profit related to increased sales of $15.9 million, offset by a $2.8 million increase in selling and administrative expense.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and Other Segment</w:t>
      </w:r>
    </w:p>
    <w:p>
      <w:pPr>
        <w:spacing w:after="0" w:line="227"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Operating expense for the Corporate and Other segment increased $3.8 million to $11.4 million for the three months ended September 30, 2022 compared with $7.6 million for the three months ended September 30, 2021. The increase is primarily attributable to inflationary increases for wages and services, and executive transition expenses of $1.2 million.</w:t>
      </w:r>
    </w:p>
    <w:p>
      <w:pPr>
        <w:spacing w:after="0" w:line="190"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Operating expense for the Corporate and Other segment increased $3.2 million to $25.6 million for the nine months ended September 30, 2022 compared with $22.4 million for the nine months ended September 30, 2021. The increase is primarily attributed to inflationary increases for wages and services and executive transition expenses of $1.2 million, partially offset by a $2.5 million favorable insurance settlement received in the first quarter of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1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Backlog (i.e., unfulfilled or remaining performance obligations) represents the sales we expect to recognize for our products and services for which control has not yet transferred to the customer. Backlog increased to $277.7 million as of September 30, 2022 from $213.9 million as of December 31, 2021. Our customers may have the right to cancel a given order. Historically, cancellations have not been common. Backlog is adjusted on a quarterly basis for adjustments in foreign currency exchange rates. Substantially all backlog is expected to be delivered within 12 to 18 months. Backlog is not defined by GAAP and our methodology for calculating backlog may not be consistent with methodologies used by other companies.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2 to the unaudited condensed consolidated financial statements within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 under our Credit Facility (as defined below).</w:t>
      </w:r>
    </w:p>
    <w:p>
      <w:pPr>
        <w:spacing w:after="0" w:line="17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September 30, 2022, the Company had working capital of $82.9 million, compared with $72.3 million at December 31, 2021. The ratio of current assets to current liabilities was 1.59 to 1.00 on September 30, 2022, as compared with a ratio of 1.62 to 1.00 at December 31, 2021.</w:t>
      </w:r>
    </w:p>
    <w:p>
      <w:pPr>
        <w:spacing w:after="0" w:line="17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At September 30, 2022 and December 31, 2021, cash and cash equivalents totaled $35.2 million and $29.9 million, respectively. As of September 30, 2022 and December 31, 2021, $24.2 million and $22.6 million, respectively, of our cash and cash equivalents were held by certain non-United States subsidiaries, as well as being denominated in foreign currencies.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8"/>
                <w:szCs w:val="18"/>
                <w:color w:val="auto"/>
              </w:rPr>
            </w:pP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42"/>
        </w:trPr>
        <w:tc>
          <w:tcPr>
            <w:tcW w:w="72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6"/>
                <w:szCs w:val="16"/>
                <w:color w:val="auto"/>
              </w:rPr>
              <w:t>Outstanding borrowings under the Credit Facility (defined below).</w:t>
            </w:r>
          </w:p>
        </w:tc>
        <w:tc>
          <w:tcPr>
            <w:tcW w:w="160" w:type="dxa"/>
            <w:vAlign w:val="bottom"/>
            <w:tcBorders>
              <w:top w:val="single" w:sz="8" w:color="auto"/>
            </w:tcBorders>
            <w:shd w:val="clear" w:color="auto" w:fill="CFF0FC"/>
          </w:tcPr>
          <w:p>
            <w:pPr>
              <w:spacing w:after="0"/>
              <w:rPr>
                <w:sz w:val="12"/>
                <w:szCs w:val="12"/>
                <w:color w:val="auto"/>
              </w:rPr>
            </w:pPr>
          </w:p>
        </w:tc>
        <w:tc>
          <w:tcPr>
            <w:tcW w:w="164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6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726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Term loan payable in quarterly principal installments of $550 through September 2023, and $825 through</w:t>
            </w: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2025 and $1,100 thereafter with balance due upon maturity in September 2026</w:t>
            </w: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Term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41,859</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43,511</w:t>
            </w:r>
          </w:p>
        </w:tc>
        <w:tc>
          <w:tcPr>
            <w:tcW w:w="100" w:type="dxa"/>
            <w:vAlign w:val="bottom"/>
          </w:tcPr>
          <w:p>
            <w:pPr>
              <w:spacing w:after="0"/>
              <w:rPr>
                <w:sz w:val="17"/>
                <w:szCs w:val="17"/>
                <w:color w:val="auto"/>
              </w:rPr>
            </w:pPr>
          </w:p>
        </w:tc>
      </w:tr>
      <w:tr>
        <w:trPr>
          <w:trHeight w:val="203"/>
        </w:trPr>
        <w:tc>
          <w:tcPr>
            <w:tcW w:w="7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 Revolving Credit Loan</w:t>
            </w:r>
          </w:p>
        </w:tc>
        <w:tc>
          <w:tcPr>
            <w:tcW w:w="16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59,700</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outstanding borrowings under the Credit Facility</w:t>
            </w: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101,559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65,511</w:t>
            </w:r>
          </w:p>
        </w:tc>
        <w:tc>
          <w:tcPr>
            <w:tcW w:w="100" w:type="dxa"/>
            <w:vAlign w:val="bottom"/>
          </w:tcPr>
          <w:p>
            <w:pPr>
              <w:spacing w:after="0"/>
              <w:rPr>
                <w:sz w:val="17"/>
                <w:szCs w:val="17"/>
                <w:color w:val="auto"/>
              </w:rPr>
            </w:pPr>
          </w:p>
        </w:tc>
      </w:tr>
      <w:tr>
        <w:trPr>
          <w:trHeight w:val="203"/>
        </w:trPr>
        <w:tc>
          <w:tcPr>
            <w:tcW w:w="7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Outstanding borrowings under the joint venture term debt</w:t>
            </w: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Unamortized debt discount</w:t>
            </w:r>
          </w:p>
        </w:tc>
        <w:tc>
          <w:tcPr>
            <w:tcW w:w="160" w:type="dxa"/>
            <w:vAlign w:val="bottom"/>
          </w:tcPr>
          <w:p>
            <w:pPr>
              <w:spacing w:after="0"/>
              <w:rPr>
                <w:sz w:val="17"/>
                <w:szCs w:val="17"/>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(1,452 )</w:t>
            </w:r>
          </w:p>
        </w:tc>
        <w:tc>
          <w:tcPr>
            <w:tcW w:w="160" w:type="dxa"/>
            <w:vAlign w:val="bottom"/>
          </w:tcPr>
          <w:p>
            <w:pPr>
              <w:spacing w:after="0"/>
              <w:rPr>
                <w:sz w:val="17"/>
                <w:szCs w:val="17"/>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(1,731 )</w:t>
            </w:r>
          </w:p>
        </w:tc>
      </w:tr>
      <w:tr>
        <w:trPr>
          <w:trHeight w:val="196"/>
        </w:trPr>
        <w:tc>
          <w:tcPr>
            <w:tcW w:w="7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outstanding borrowings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110,337</w:t>
            </w: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63,780</w:t>
            </w:r>
          </w:p>
        </w:tc>
        <w:tc>
          <w:tcPr>
            <w:tcW w:w="100" w:type="dxa"/>
            <w:vAlign w:val="bottom"/>
            <w:shd w:val="clear" w:color="auto" w:fill="CFF0FC"/>
          </w:tcPr>
          <w:p>
            <w:pPr>
              <w:spacing w:after="0"/>
              <w:rPr>
                <w:sz w:val="17"/>
                <w:szCs w:val="17"/>
                <w:color w:val="auto"/>
              </w:rPr>
            </w:pPr>
          </w:p>
        </w:tc>
      </w:tr>
      <w:tr>
        <w:trPr>
          <w:trHeight w:val="203"/>
        </w:trPr>
        <w:tc>
          <w:tcPr>
            <w:tcW w:w="7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current portion</w:t>
            </w:r>
          </w:p>
        </w:tc>
        <w:tc>
          <w:tcPr>
            <w:tcW w:w="160" w:type="dxa"/>
            <w:vAlign w:val="bottom"/>
          </w:tcPr>
          <w:p>
            <w:pPr>
              <w:spacing w:after="0"/>
              <w:rPr>
                <w:sz w:val="17"/>
                <w:szCs w:val="17"/>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(3,303 )</w:t>
            </w:r>
          </w:p>
        </w:tc>
        <w:tc>
          <w:tcPr>
            <w:tcW w:w="160" w:type="dxa"/>
            <w:vAlign w:val="bottom"/>
          </w:tcPr>
          <w:p>
            <w:pPr>
              <w:spacing w:after="0"/>
              <w:rPr>
                <w:sz w:val="17"/>
                <w:szCs w:val="17"/>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(2,203 )</w:t>
            </w:r>
          </w:p>
        </w:tc>
      </w:tr>
      <w:tr>
        <w:trPr>
          <w:trHeight w:val="236"/>
        </w:trPr>
        <w:tc>
          <w:tcPr>
            <w:tcW w:w="72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debt, less current portion</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107,034</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72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7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-1302385</wp:posOffset>
            </wp:positionV>
            <wp:extent cx="6858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-504825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-487680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Company’s outstanding borrowings in the United States consist of a senior secured term loan and a senior secured revolver loan with sub-facilities for letters of credit, swing-line loans and multi-currency loans (collectively, the “Credit Facility”). As of September 30, 2022 and December 31, 2021, the Company was in compliance with all related financial and other restrictive covenants under the Credit Facility.</w:t>
      </w:r>
    </w:p>
    <w:p>
      <w:pPr>
        <w:spacing w:after="0" w:line="19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See Note 7 to the unaudited condensed consolidated financial statements within Item 1 of this Quarterly Report on Form 10-Q for further information on the Company’s debt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unused credit availability under our existing Credit Facility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1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Credit Facility, revolving loans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Draw down</w:t>
            </w:r>
          </w:p>
        </w:tc>
        <w:tc>
          <w:tcPr>
            <w:tcW w:w="180" w:type="dxa"/>
            <w:vAlign w:val="bottom"/>
          </w:tcPr>
          <w:p>
            <w:pPr>
              <w:spacing w:after="0"/>
              <w:rPr>
                <w:sz w:val="17"/>
                <w:szCs w:val="17"/>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(59.7 )</w:t>
            </w:r>
          </w:p>
        </w:tc>
        <w:tc>
          <w:tcPr>
            <w:tcW w:w="180" w:type="dxa"/>
            <w:vAlign w:val="bottom"/>
          </w:tcPr>
          <w:p>
            <w:pPr>
              <w:spacing w:after="0"/>
              <w:rPr>
                <w:sz w:val="17"/>
                <w:szCs w:val="17"/>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(22.0 )</w:t>
            </w:r>
          </w:p>
        </w:tc>
      </w:tr>
      <w:tr>
        <w:trPr>
          <w:trHeight w:val="203"/>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Letters of credit open</w:t>
            </w:r>
          </w:p>
        </w:tc>
        <w:tc>
          <w:tcPr>
            <w:tcW w:w="18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(19.4 )</w:t>
            </w:r>
          </w:p>
        </w:tc>
        <w:tc>
          <w:tcPr>
            <w:tcW w:w="18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(14.5 )</w:t>
            </w:r>
          </w:p>
        </w:tc>
      </w:tr>
      <w:tr>
        <w:trPr>
          <w:trHeight w:val="196"/>
        </w:trPr>
        <w:tc>
          <w:tcPr>
            <w:tcW w:w="7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Total unused credit availability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00" w:type="dxa"/>
            <w:vAlign w:val="bottom"/>
            <w:tcBorders>
              <w:top w:val="single" w:sz="8" w:color="CFF0FC"/>
            </w:tcBorders>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Amount available based on borrowing limitations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-316865</wp:posOffset>
            </wp:positionV>
            <wp:extent cx="68580" cy="1631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631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Cash Flows and Liquidity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gridSpan w:val="5"/>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0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19,696</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10,232</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spacing w:after="0"/>
              <w:rPr>
                <w:sz w:val="17"/>
                <w:szCs w:val="17"/>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(47,260 )</w:t>
            </w:r>
          </w:p>
        </w:tc>
        <w:tc>
          <w:tcPr>
            <w:tcW w:w="42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(1,207 )</w:t>
            </w:r>
          </w:p>
        </w:tc>
      </w:tr>
      <w:tr>
        <w:trPr>
          <w:trHeight w:val="20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38,242</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(11,835 )</w:t>
            </w:r>
          </w:p>
        </w:tc>
      </w:tr>
      <w:tr>
        <w:trPr>
          <w:trHeight w:val="20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tcPr>
          <w:p>
            <w:pPr>
              <w:spacing w:after="0"/>
              <w:rPr>
                <w:sz w:val="17"/>
                <w:szCs w:val="17"/>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(6,459 )</w:t>
            </w:r>
          </w:p>
        </w:tc>
        <w:tc>
          <w:tcPr>
            <w:tcW w:w="42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(535 )</w:t>
            </w:r>
          </w:p>
        </w:tc>
      </w:tr>
      <w:tr>
        <w:trPr>
          <w:trHeight w:val="23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1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$19.7 million of cash was provided by operating activities compared with $10.2 million provided by operations in the prior year period, a $9.5 million increase. Cash flow from operating activities in the first nine months of 2022 had a favorable impact year-over-year primarily due to an increase in net income and certain improvements in net working capital.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1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2022, net cash used in investing activities was $47.3 million compared with $1.2 million used in investing activities in the prior year period. For the nine months ended September 30, 2022, the $47.3 million cash used in investing activities was the result of $44.9 million cash used for the acquisitions as described in Note 14, and $2.4 million for the acquisition of property and equipment. In the prior year period, cash flow of $1.2 million used in investing activities was the result of $1.7 million used for the acquisition of property and equipment, offset by proceeds from the disposal of assets held for sale of $0.5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nine months ended September 30, 2022, $38.2 million was provided by financing activities compared with $11.8 million used in financing activities in the prior year period, an increase of $50.0 million. For the nine months ended September 30, 2022, the Company used $6.6 million to repurchase common stock, $1.2 million in non-controlling interest distributions, and received $0.2 million from proceeds from purchases under the employee stock purchase plan and the exercise of stock options. Additionally, for the nine months ended September 30, 2022, the Company used $37.7 million for net borrowings on the Company’s revolving credit lines, primarily used to finance current year acquisitions, and $2.3 million in repayment on long-term debt. In the prior year period, the Company used $4.8 million for repayments on the Company's revolving credit line, and $2.2 million in repayments on long-term debt.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 w:name="page28"/>
    <w:bookmarkEnd w:id="27"/>
    <w:p>
      <w:pPr>
        <w:spacing w:after="0" w:line="245" w:lineRule="auto"/>
        <w:rPr>
          <w:sz w:val="20"/>
          <w:szCs w:val="20"/>
          <w:color w:val="auto"/>
        </w:rPr>
      </w:pPr>
      <w:r>
        <w:rPr>
          <w:rFonts w:ascii="Times New Roman" w:cs="Times New Roman" w:eastAsia="Times New Roman" w:hAnsi="Times New Roman"/>
          <w:sz w:val="18"/>
          <w:szCs w:val="18"/>
          <w:color w:val="auto"/>
        </w:rPr>
        <w:t>reported, disclosures about contingent assets and liabilities and reported amounts of revenues and expenses. Such estimates include revenue recognition, the valuation of trade receivables, inventories, goodwill, intangible assets, other long-lived assets, legal contingencies,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19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Management believes there have been no changes during the nine months ended September 30, 2022 to the items that the Company disclosed as its critical accounting policies and estimates in Management’s Discussion and Analysis of Financial Condition and Results of Operations in the Company’s Annual Report on Form 10-K for the year ended December 31,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and Section 21E of the Securities Exchange Act of 1934, both as amended,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2021, and include, but are not limited to:</w:t>
      </w:r>
    </w:p>
    <w:p>
      <w:pPr>
        <w:spacing w:after="0" w:line="186"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our business to economic, political and financial market conditions generally and economic conditions in our service areas;</w:t>
      </w:r>
    </w:p>
    <w:p>
      <w:pPr>
        <w:spacing w:after="0" w:line="10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fixed price contracts and the risks associated therewith, including actual costs exceeding estimates and method of accounting for revenue;</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growth on our infrastructure, resources, and existing sales;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operations in both new and existing markets;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contract delay or cancellation as a result of on-going or worsening supply chain challenges;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employee-related cost inflation and labor shortages;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faulty services or products that could result in significant professional or product liability, warranty, or other claims;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developments with respect to any litigation or investigation;</w:t>
      </w:r>
    </w:p>
    <w:p>
      <w:pPr>
        <w:spacing w:after="0" w:line="117" w:lineRule="exact"/>
        <w:rPr>
          <w:rFonts w:ascii="Times New Roman" w:cs="Times New Roman" w:eastAsia="Times New Roman" w:hAnsi="Times New Roman"/>
          <w:sz w:val="18"/>
          <w:szCs w:val="18"/>
          <w:color w:val="auto"/>
        </w:rPr>
      </w:pPr>
    </w:p>
    <w:p>
      <w:pPr>
        <w:ind w:left="760" w:right="52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timely completion or performance standards that could result in higher cost and reduced profits or, in some cases, losses on projects;</w:t>
      </w:r>
    </w:p>
    <w:p>
      <w:pPr>
        <w:spacing w:after="0" w:line="5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fluctuations in prices for manufactured components and raw materials, including as a result of tariffs and surcharges and rising energy costs;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relating to rising raw material costs and the cost of labor;</w:t>
      </w:r>
    </w:p>
    <w:p>
      <w:pPr>
        <w:spacing w:after="0" w:line="103"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amount of debt incurred in connection with our strategic transactions and our ability to repay or refinance it or incur additional debt in the future;</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or local government regulations;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shares of our common stock and the amounts and timing of repurchases,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realize the expected benefits of our restructuring program;</w:t>
      </w:r>
    </w:p>
    <w:p>
      <w:pPr>
        <w:spacing w:after="0" w:line="103" w:lineRule="exact"/>
        <w:rPr>
          <w:rFonts w:ascii="Times New Roman" w:cs="Times New Roman" w:eastAsia="Times New Roman" w:hAnsi="Times New Roman"/>
          <w:sz w:val="18"/>
          <w:szCs w:val="18"/>
          <w:color w:val="auto"/>
        </w:rPr>
      </w:pPr>
    </w:p>
    <w:p>
      <w:pPr>
        <w:ind w:left="760" w:right="20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appropriate targets for acquisition to support our growth strategy and to consummate any such acquisitions on acceptable terms;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8" w:name="page29"/>
    <w:bookmarkEnd w:id="28"/>
    <w:p>
      <w:pPr>
        <w:ind w:left="760" w:right="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and realize the synergies from strategic transactions, as well as the potential for unknown or inestimable liabilities relating to the acquired businesses; and</w:t>
      </w:r>
    </w:p>
    <w:p>
      <w:pPr>
        <w:spacing w:after="0" w:line="40" w:lineRule="exact"/>
        <w:rPr>
          <w:rFonts w:ascii="Times New Roman" w:cs="Times New Roman" w:eastAsia="Times New Roman" w:hAnsi="Times New Roman"/>
          <w:sz w:val="18"/>
          <w:szCs w:val="18"/>
          <w:color w:val="auto"/>
        </w:rPr>
      </w:pPr>
    </w:p>
    <w:p>
      <w:pPr>
        <w:ind w:left="760" w:right="420" w:hanging="378"/>
        <w:spacing w:after="0" w:line="25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unpredictability and severity of catastrophic events, including cyber security threats, acts of terrorism or outbreak of war or hostilities or public health crises, such as uncertainties regarding the extent and duration of impacts of matters associated with COVID-19, as well as management’s response to any of the aforementioned factors.</w:t>
      </w:r>
    </w:p>
    <w:p>
      <w:pPr>
        <w:spacing w:after="0" w:line="16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carrying value of the Company’s total long-term debt and current maturities of long-term debt at September 30, 2022 was $111.9 million. Market risk was estimated as the potential decrease (increase) in future earnings and cash flows resulting from a hypothetical 10% increase (decrease) in the Company’s estimated weighted average borrowing rate at September 30, 2022. Most of the interest on the Company’s debt is indexed to SOFR market rates. The estimated annual impact of a hypothetical 10% change in the estimated weighted average borrowing rate at September 30, 2022 is $0.6 million.</w:t>
      </w:r>
    </w:p>
    <w:p>
      <w:pPr>
        <w:spacing w:after="0" w:line="17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has wholly-owned subsidiaries in several countries, including in the Netherlands, Canada, the People’s Republic of China, Mexico, United Kingdom, Singapore, Shanghai, Pune India, Dubai and Chile. In the past, we have not hedged our foreign currency exposure, and fluctuations in exchange rates have not materially affected our operating results. Future changes in exchange rates may positively or negatively impact our revenues, operating expenses and earnings. Since most of our foreign sales are denominated in the local currency, we do not anticipate that exposure to foreign currency rate fluctuations will be material in 2022.</w:t>
      </w:r>
    </w:p>
    <w:p>
      <w:pPr>
        <w:spacing w:after="0" w:line="17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7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September 30, 2022. Management believes that the condensed consolidated financial statements included in this report fairly present in all material respects the Company’s financial condition, results of operations and cash flows for each of the periods presented in this report.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jc w:val="both"/>
        <w:ind w:right="460"/>
        <w:spacing w:after="0" w:line="258"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of the Exchange Act) during the three months ended September 30, 2022 that materially affected, or are reasonably likely to materially affect, the Company’s internal control over financial reporting.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See Note 13 to the unaudited Condensed Consolidated Financial Statements contained in Part I, Item 1 of this Quarterly Report on Form 10-Q for information regarding legal proceedings in which we are involved.</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the Company’s risk factors that we disclosed in “Part I – Item 1A. Risk Factors” of our Annual Report on Form 10-K for the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purchases of our equity securities for the three months ended September 30,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Issuer's Purchases of Equity Securities</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5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center"/>
              <w:ind w:right="320"/>
              <w:spacing w:after="0" w:line="153" w:lineRule="exact"/>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3"/>
                <w:szCs w:val="13"/>
                <w:color w:val="auto"/>
              </w:rPr>
            </w:pPr>
          </w:p>
        </w:tc>
        <w:tc>
          <w:tcPr>
            <w:tcW w:w="124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center"/>
              <w:ind w:right="360"/>
              <w:spacing w:after="0" w:line="165" w:lineRule="exact"/>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center"/>
              <w:ind w:right="360"/>
              <w:spacing w:after="0" w:line="175" w:lineRule="exact"/>
              <w:rPr>
                <w:sz w:val="20"/>
                <w:szCs w:val="20"/>
                <w:color w:val="auto"/>
              </w:rPr>
            </w:pPr>
            <w:r>
              <w:rPr>
                <w:rFonts w:ascii="Times New Roman" w:cs="Times New Roman" w:eastAsia="Times New Roman" w:hAnsi="Times New Roman"/>
                <w:sz w:val="16"/>
                <w:szCs w:val="16"/>
                <w:b w:val="1"/>
                <w:bCs w:val="1"/>
                <w:color w:val="auto"/>
              </w:rPr>
              <w:t>Purchased as</w:t>
            </w:r>
          </w:p>
        </w:tc>
        <w:tc>
          <w:tcPr>
            <w:tcW w:w="100" w:type="dxa"/>
            <w:vAlign w:val="bottom"/>
          </w:tcPr>
          <w:p>
            <w:pPr>
              <w:spacing w:after="0"/>
              <w:rPr>
                <w:sz w:val="15"/>
                <w:szCs w:val="15"/>
                <w:color w:val="auto"/>
              </w:rPr>
            </w:pPr>
          </w:p>
        </w:tc>
        <w:tc>
          <w:tcPr>
            <w:tcW w:w="1240" w:type="dxa"/>
            <w:vAlign w:val="bottom"/>
          </w:tcPr>
          <w:p>
            <w:pPr>
              <w:jc w:val="center"/>
              <w:ind w:right="79"/>
              <w:spacing w:after="0" w:line="175" w:lineRule="exact"/>
              <w:rPr>
                <w:sz w:val="20"/>
                <w:szCs w:val="20"/>
                <w:color w:val="auto"/>
              </w:rPr>
            </w:pPr>
            <w:r>
              <w:rPr>
                <w:rFonts w:ascii="Times New Roman" w:cs="Times New Roman" w:eastAsia="Times New Roman" w:hAnsi="Times New Roman"/>
                <w:sz w:val="16"/>
                <w:szCs w:val="16"/>
                <w:b w:val="1"/>
                <w:bCs w:val="1"/>
                <w:color w:val="auto"/>
                <w:w w:val="99"/>
              </w:rPr>
              <w:t>Dollar Value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3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Total Number of</w:t>
            </w:r>
          </w:p>
        </w:tc>
        <w:tc>
          <w:tcPr>
            <w:tcW w:w="340" w:type="dxa"/>
            <w:vAlign w:val="bottom"/>
          </w:tcPr>
          <w:p>
            <w:pPr>
              <w:spacing w:after="0"/>
              <w:rPr>
                <w:sz w:val="15"/>
                <w:szCs w:val="15"/>
                <w:color w:val="auto"/>
              </w:rPr>
            </w:pPr>
          </w:p>
        </w:tc>
        <w:tc>
          <w:tcPr>
            <w:tcW w:w="11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320" w:type="dxa"/>
            <w:vAlign w:val="bottom"/>
          </w:tcPr>
          <w:p>
            <w:pPr>
              <w:spacing w:after="0"/>
              <w:rPr>
                <w:sz w:val="15"/>
                <w:szCs w:val="15"/>
                <w:color w:val="auto"/>
              </w:rPr>
            </w:pPr>
          </w:p>
        </w:tc>
        <w:tc>
          <w:tcPr>
            <w:tcW w:w="1480" w:type="dxa"/>
            <w:vAlign w:val="bottom"/>
            <w:gridSpan w:val="2"/>
          </w:tcPr>
          <w:p>
            <w:pPr>
              <w:jc w:val="center"/>
              <w:ind w:right="360"/>
              <w:spacing w:after="0" w:line="175" w:lineRule="exact"/>
              <w:rPr>
                <w:sz w:val="20"/>
                <w:szCs w:val="20"/>
                <w:color w:val="auto"/>
              </w:rPr>
            </w:pPr>
            <w:r>
              <w:rPr>
                <w:rFonts w:ascii="Times New Roman" w:cs="Times New Roman" w:eastAsia="Times New Roman" w:hAnsi="Times New Roman"/>
                <w:sz w:val="16"/>
                <w:szCs w:val="16"/>
                <w:b w:val="1"/>
                <w:bCs w:val="1"/>
                <w:color w:val="auto"/>
              </w:rPr>
              <w:t>Announced</w:t>
            </w:r>
          </w:p>
        </w:tc>
        <w:tc>
          <w:tcPr>
            <w:tcW w:w="134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Yet Be Purchased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3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Plans or</w:t>
            </w:r>
          </w:p>
        </w:tc>
        <w:tc>
          <w:tcPr>
            <w:tcW w:w="13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3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July 1, 2022 - July 31, 2022</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79,900</w:t>
            </w:r>
          </w:p>
        </w:tc>
        <w:tc>
          <w:tcPr>
            <w:tcW w:w="34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32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79,900</w:t>
            </w:r>
          </w:p>
        </w:tc>
        <w:tc>
          <w:tcPr>
            <w:tcW w:w="3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2022 - August 31, 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92,000</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92,000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1, 2022 - September 30, 2022</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84,000</w:t>
            </w:r>
          </w:p>
        </w:tc>
        <w:tc>
          <w:tcPr>
            <w:tcW w:w="3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3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84,000</w:t>
            </w:r>
          </w:p>
        </w:tc>
        <w:tc>
          <w:tcPr>
            <w:tcW w:w="3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13,485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255,900</w:t>
            </w:r>
          </w:p>
        </w:tc>
        <w:tc>
          <w:tcPr>
            <w:tcW w:w="8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255,900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-162560</wp:posOffset>
            </wp:positionV>
            <wp:extent cx="76835" cy="1631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-162560</wp:posOffset>
            </wp:positionV>
            <wp:extent cx="68580" cy="1631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-162560</wp:posOffset>
            </wp:positionV>
            <wp:extent cx="68580" cy="1631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70" w:lineRule="exact"/>
        <w:rPr>
          <w:sz w:val="20"/>
          <w:szCs w:val="20"/>
          <w:color w:val="auto"/>
        </w:rPr>
      </w:pPr>
    </w:p>
    <w:p>
      <w:pPr>
        <w:ind w:right="380" w:firstLine="8"/>
        <w:spacing w:after="0" w:line="28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2022, the Board of Directors authorized a $20.0 million share repurchase program as described within Note 8. The program expires on April 30, 2025.</w:t>
      </w:r>
    </w:p>
    <w:p>
      <w:pPr>
        <w:spacing w:after="0" w:line="14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Separation Agreement, dated as of September 30, 2022, by and between CECO Environmental Corp. and Matthew Eckl</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120" w:type="dxa"/>
            <w:vAlign w:val="bottom"/>
            <w:tcBorders>
              <w:left w:val="single" w:sz="8" w:color="0000FF"/>
            </w:tcBorders>
            <w:shd w:val="clear" w:color="auto" w:fill="0000FF"/>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Rule 13(a)/15d-14(a) Certification by Chief Executive Officer</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Rule 13(a)/15d-14(a) Certification by Chief Financial Officer</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(18 U.S. Section 1350)</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4120" w:type="dxa"/>
            <w:vAlign w:val="bottom"/>
            <w:tcBorders>
              <w:left w:val="single" w:sz="8" w:color="0000FF"/>
            </w:tcBorders>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(18 U.S. Section 1350)</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5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5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5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5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117" w:lineRule="exact"/>
        <w:rPr>
          <w:sz w:val="20"/>
          <w:szCs w:val="20"/>
          <w:color w:val="auto"/>
        </w:rPr>
      </w:pPr>
    </w:p>
    <w:p>
      <w:pPr>
        <w:ind w:left="1220" w:hanging="1022"/>
        <w:spacing w:after="0"/>
        <w:tabs>
          <w:tab w:leader="none" w:pos="12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11"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or arrangement</w:t>
      </w: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0" w:right="1440"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6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M. Gohr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Paul M. Gohr</w:t>
      </w:r>
    </w:p>
    <w:p>
      <w:pPr>
        <w:spacing w:after="0" w:line="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ind w:left="6680"/>
        <w:spacing w:after="0"/>
        <w:rPr>
          <w:sz w:val="20"/>
          <w:szCs w:val="20"/>
          <w:color w:val="auto"/>
        </w:rPr>
      </w:pPr>
      <w:r>
        <w:rPr>
          <w:rFonts w:ascii="Times New Roman" w:cs="Times New Roman" w:eastAsia="Times New Roman" w:hAnsi="Times New Roman"/>
          <w:sz w:val="17"/>
          <w:szCs w:val="17"/>
          <w:b w:val="1"/>
          <w:bCs w:val="1"/>
          <w:color w:val="auto"/>
        </w:rPr>
        <w:t>(principal accounting officer and duly authorized officer)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SEPARATION AGREEMENT AND RELEASE</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EXECUTIVE SEPARATION AGREEMENT AND RELEASE (the “Agreement”) is by and between CECO Environmental Corp. (the “Company”) and Matthew Eckl (the “Executive”) as of the Effective Date (as defined below).</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WHEREAS, the Company has decided to terminate the Executive’s employment as the Company’s Chief Financial Officer, and the Company and the Executive have mutually agreed to the following satisfactory transitional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this mutual Agreement, the Company and the Executive hereby agree as follows:</w:t>
      </w:r>
    </w:p>
    <w:p>
      <w:pPr>
        <w:spacing w:after="0" w:line="198" w:lineRule="exact"/>
        <w:rPr>
          <w:sz w:val="20"/>
          <w:szCs w:val="20"/>
          <w:color w:val="auto"/>
        </w:rPr>
      </w:pPr>
    </w:p>
    <w:p>
      <w:pPr>
        <w:ind w:right="20" w:firstLine="8"/>
        <w:spacing w:after="0" w:line="250"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Departure</w:t>
      </w:r>
      <w:r>
        <w:rPr>
          <w:rFonts w:ascii="Times New Roman" w:cs="Times New Roman" w:eastAsia="Times New Roman" w:hAnsi="Times New Roman"/>
          <w:sz w:val="18"/>
          <w:szCs w:val="18"/>
          <w:color w:val="auto"/>
        </w:rPr>
        <w:t>. Executive’s duties as Chief Financial Officer shall conclude on August 20, 2022 (the “Departure Date”) and Executive’s employment with the Company shall cease on the Departure Date. The Company shall be deemed to have satisfied the notice requirements for a termination of the Executive’s employment to be effective as of the Departure Date under the Executive Employment Agreement, dated as of January 9, 2017, by and between the Company and the Executive (the “Employment Agreement”), a copy of which is attached hereto.</w:t>
      </w:r>
    </w:p>
    <w:p>
      <w:pPr>
        <w:spacing w:after="0" w:line="177" w:lineRule="exact"/>
        <w:rPr>
          <w:rFonts w:ascii="Times New Roman" w:cs="Times New Roman" w:eastAsia="Times New Roman" w:hAnsi="Times New Roman"/>
          <w:sz w:val="18"/>
          <w:szCs w:val="18"/>
          <w:color w:val="auto"/>
        </w:rPr>
      </w:pPr>
    </w:p>
    <w:p>
      <w:pPr>
        <w:ind w:right="240" w:firstLine="8"/>
        <w:spacing w:after="0" w:line="258"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Departure Payments</w:t>
      </w:r>
      <w:r>
        <w:rPr>
          <w:rFonts w:ascii="Times New Roman" w:cs="Times New Roman" w:eastAsia="Times New Roman" w:hAnsi="Times New Roman"/>
          <w:sz w:val="18"/>
          <w:szCs w:val="18"/>
          <w:color w:val="auto"/>
        </w:rPr>
        <w:t>. The Company will provide the Executive with the following compensation, provided, in the case of paragraphs (b)-(d), that the Executive has timely executed and not revoked the Release (as set forth in Section 6 of this Agreement) and provided further that the Executive does not violate Section 5 of this Agreement; such compensation shall be in full satisfaction of Section 4 of the Employment Agreement:</w:t>
      </w:r>
    </w:p>
    <w:p>
      <w:pPr>
        <w:spacing w:after="0" w:line="155" w:lineRule="exact"/>
        <w:rPr>
          <w:rFonts w:ascii="Times New Roman" w:cs="Times New Roman" w:eastAsia="Times New Roman" w:hAnsi="Times New Roman"/>
          <w:sz w:val="18"/>
          <w:szCs w:val="18"/>
          <w:color w:val="auto"/>
        </w:rPr>
      </w:pPr>
    </w:p>
    <w:p>
      <w:pPr>
        <w:ind w:left="760" w:right="100" w:hanging="3"/>
        <w:spacing w:after="0" w:line="250" w:lineRule="auto"/>
        <w:tabs>
          <w:tab w:leader="none" w:pos="100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will pay the Executive, in one or more cash payments within 50 calendar days after the Departure Date (specifically, no later than October 9, 2022), the aggregate of the following amounts: the sum of (i) Executive’s annual base salary earned through the Departure Date to the extent not theretofore paid; (ii) Executive’s business expenses that are reimbursable pursuant to Section 2(b) (viii) of the Employment Agreement but have not been reimbursed by the Company as of the Departure Date; and (iii) any accrued vacation pay to the extent not theretofore paid.</w:t>
      </w:r>
    </w:p>
    <w:p>
      <w:pPr>
        <w:spacing w:after="0" w:line="163"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61st calendar day after the Departure Date (specifically, October 20, 2022), the Company will pay the Executive Three Hundred</w:t>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Sixty-Six Thousand Dollars ($366,000) in a lump sum in cash, which amount represents the Executive’s annual base salary.</w:t>
      </w:r>
    </w:p>
    <w:p>
      <w:pPr>
        <w:spacing w:after="0" w:line="192" w:lineRule="exact"/>
        <w:rPr>
          <w:sz w:val="20"/>
          <w:szCs w:val="20"/>
          <w:color w:val="auto"/>
        </w:rPr>
      </w:pPr>
    </w:p>
    <w:p>
      <w:pPr>
        <w:ind w:left="760" w:right="20" w:hanging="3"/>
        <w:spacing w:after="0" w:line="258" w:lineRule="auto"/>
        <w:tabs>
          <w:tab w:leader="none" w:pos="100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Executive a lump sum cash amount equal to the product of $201,300 (Executive’s 2022 target annual bonus) multiplied by 1.25 (specifically, $251,625), payable at the time 2022 annual bonus payments are made to the Company’s then-current employees, in lieu of any other payment to which Executive may be entitled under the Company’s 2022 annual bonus program.</w:t>
      </w:r>
    </w:p>
    <w:p>
      <w:pPr>
        <w:spacing w:after="0" w:line="155" w:lineRule="exact"/>
        <w:rPr>
          <w:rFonts w:ascii="Times New Roman" w:cs="Times New Roman" w:eastAsia="Times New Roman" w:hAnsi="Times New Roman"/>
          <w:sz w:val="18"/>
          <w:szCs w:val="18"/>
          <w:color w:val="auto"/>
        </w:rPr>
      </w:pPr>
    </w:p>
    <w:p>
      <w:pPr>
        <w:ind w:left="760" w:right="40" w:hanging="3"/>
        <w:spacing w:after="0" w:line="250" w:lineRule="auto"/>
        <w:tabs>
          <w:tab w:leader="none" w:pos="101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61st calendar day after the Departure Date (specifically, October 20, 2022), the Company will pay the Executive the amount in a lump sum in cash that represents the product of (i) 12 multiplied by (ii) the monthly COBRA premium for health, dental and vision benefits in effect for the Executive (and Executive’s spouse and dependents) immediately prior to the Departure Date, with such payment to be treated as taxable to the Executive.</w:t>
      </w:r>
    </w:p>
    <w:p>
      <w:pPr>
        <w:spacing w:after="0" w:line="177" w:lineRule="exact"/>
        <w:rPr>
          <w:rFonts w:ascii="Times New Roman" w:cs="Times New Roman" w:eastAsia="Times New Roman" w:hAnsi="Times New Roman"/>
          <w:sz w:val="18"/>
          <w:szCs w:val="18"/>
          <w:color w:val="auto"/>
        </w:rPr>
      </w:pPr>
    </w:p>
    <w:p>
      <w:pPr>
        <w:ind w:left="760" w:right="20" w:hanging="3"/>
        <w:spacing w:after="0" w:line="246" w:lineRule="auto"/>
        <w:tabs>
          <w:tab w:leader="none" w:pos="100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and notwithstanding the default treatment set forth in the award agreements applicable to the service-based restricted stock unit awards granted to the Executive in 2018, 2019, 2020 and 2021 that remained unvested and outstanding as of the Departure Date (the “RSUs”), as set forth on Exhibit A, such RSUs shall accelerate and be deemed vested as of the Departure Date, and shall be settled in shares not later than March 15, 2023; provided, that such accelerated vesting and settlement is contingent on the Executive timely executing and not revoking the Release (as set forth in Section 6 of this Agreement) and the Executive not violating Section 5 of this Agreement.</w:t>
      </w:r>
    </w:p>
    <w:p>
      <w:pPr>
        <w:spacing w:after="0" w:line="181" w:lineRule="exact"/>
        <w:rPr>
          <w:rFonts w:ascii="Times New Roman" w:cs="Times New Roman" w:eastAsia="Times New Roman" w:hAnsi="Times New Roman"/>
          <w:sz w:val="18"/>
          <w:szCs w:val="18"/>
          <w:color w:val="auto"/>
        </w:rPr>
      </w:pPr>
    </w:p>
    <w:p>
      <w:pPr>
        <w:ind w:right="760" w:firstLine="8"/>
        <w:spacing w:after="0" w:line="266"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Executive at Departure</w:t>
      </w:r>
      <w:r>
        <w:rPr>
          <w:rFonts w:ascii="Times New Roman" w:cs="Times New Roman" w:eastAsia="Times New Roman" w:hAnsi="Times New Roman"/>
          <w:sz w:val="18"/>
          <w:szCs w:val="18"/>
          <w:color w:val="auto"/>
        </w:rPr>
        <w:t>. Executive hereby resigns as an officer or director of any subsidiaries of the Company effective as of the Departure Date and represents and warrants that Executive will, on or before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10360"/>
        <w:spacing w:after="0"/>
        <w:rPr>
          <w:sz w:val="20"/>
          <w:szCs w:val="20"/>
          <w:color w:val="auto"/>
        </w:rPr>
      </w:pPr>
      <w:r>
        <w:rPr>
          <w:rFonts w:ascii="Times New Roman" w:cs="Times New Roman" w:eastAsia="Times New Roman" w:hAnsi="Times New Roman"/>
          <w:sz w:val="17"/>
          <w:szCs w:val="17"/>
          <w:color w:val="auto"/>
        </w:rPr>
        <w:t>Exhibit 10.1</w:t>
      </w:r>
    </w:p>
    <w:p>
      <w:pPr>
        <w:spacing w:after="0" w:line="27"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Departure Date, provide any resignations from such other positions as the Company deems necessary. Executive further represents and warrants that Executive will, on or before such date, deliver to the Company the original and all copies of all documents, records, and property of any nature whatsoever which are in Executive’s possession or control and which are the property of the Company or which relate to Confidential Information (as defined in Section 8 of the Employment Agreement), or to the business activities, facilities, employees, vendors, suppliers or customers of the Company, including any records (electronic or otherwise), documents or property created by the</w:t>
      </w: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192" w:lineRule="exact"/>
        <w:rPr>
          <w:sz w:val="20"/>
          <w:szCs w:val="20"/>
          <w:color w:val="auto"/>
        </w:rPr>
      </w:pPr>
    </w:p>
    <w:p>
      <w:pPr>
        <w:ind w:right="220" w:firstLine="8"/>
        <w:spacing w:after="0" w:line="250"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Except as provided below, all the terms of the agreement between the Company and the Executive are embodied in this Agreement and it fully supersedes any and all prior agreements or understandings, written or oral, including any notice periods contained therein, between the Executive and the Company, including, but not limited to, the Employment Agreement:</w:t>
      </w:r>
    </w:p>
    <w:p>
      <w:pPr>
        <w:spacing w:after="0" w:line="176" w:lineRule="exact"/>
        <w:rPr>
          <w:rFonts w:ascii="Times New Roman" w:cs="Times New Roman" w:eastAsia="Times New Roman" w:hAnsi="Times New Roman"/>
          <w:sz w:val="18"/>
          <w:szCs w:val="18"/>
          <w:color w:val="auto"/>
        </w:rPr>
      </w:pPr>
    </w:p>
    <w:p>
      <w:pPr>
        <w:ind w:left="760" w:right="60" w:hanging="3"/>
        <w:spacing w:after="0" w:line="266" w:lineRule="auto"/>
        <w:tabs>
          <w:tab w:leader="none" w:pos="100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affect the restrictive covenants set forth in Section 8 of the Employment Agreement, which shall remain in effect as binding obligations in accordance with their terms.</w:t>
      </w:r>
    </w:p>
    <w:p>
      <w:pPr>
        <w:spacing w:after="0" w:line="162" w:lineRule="exact"/>
        <w:rPr>
          <w:rFonts w:ascii="Times New Roman" w:cs="Times New Roman" w:eastAsia="Times New Roman" w:hAnsi="Times New Roman"/>
          <w:sz w:val="18"/>
          <w:szCs w:val="18"/>
          <w:color w:val="auto"/>
        </w:rPr>
      </w:pPr>
    </w:p>
    <w:p>
      <w:pPr>
        <w:ind w:left="760" w:right="120" w:hanging="3"/>
        <w:spacing w:after="0" w:line="266" w:lineRule="auto"/>
        <w:tabs>
          <w:tab w:leader="none" w:pos="101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limit or restrict in any way Executive’s existing rights or obligations under the Company’s employee benefit plans, including any retirement plan, retirement savings plan, or group medical plan.</w:t>
      </w:r>
    </w:p>
    <w:p>
      <w:pPr>
        <w:spacing w:after="0" w:line="162" w:lineRule="exact"/>
        <w:rPr>
          <w:rFonts w:ascii="Times New Roman" w:cs="Times New Roman" w:eastAsia="Times New Roman" w:hAnsi="Times New Roman"/>
          <w:sz w:val="18"/>
          <w:szCs w:val="18"/>
          <w:color w:val="auto"/>
        </w:rPr>
      </w:pPr>
    </w:p>
    <w:p>
      <w:pPr>
        <w:ind w:right="140" w:firstLine="8"/>
        <w:spacing w:after="0" w:line="244"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The Executive acknowledges and agrees to comply with the restrictive covenants set forth in Section 8 of the Employment Agreement. Notwithstanding anything in this Agreement to the contrary (or otherwise), nothing in this Agreement (or otherwise) prevents Executive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the purpose of clarity Executive is not prohibited from providing information voluntarily to the Securities and Exchange Commission pursuant to Section 21F of the Securities Exchange Act of 1934, as amended.</w:t>
      </w:r>
    </w:p>
    <w:p>
      <w:pPr>
        <w:spacing w:after="0" w:line="18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1140" w:hanging="383"/>
        <w:spacing w:after="0" w:line="241"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promises and covenants made herein, the Executive, for the Executive, the Executive’s heirs, executors, administrators, successors and assigns, does hereby RELEASE, ACQUIT AND FOREVER DISCHARGE the Company, and each of its parent, subsidiary, related and affiliated corporations or other entities, and each of their respective present or former officers, directors, shareholders, employees, agents, representatives, successors and assigns (all of whom are hereinafter collectively referred to as "Releasees") from any and all claims, demands, causes of action and liabilities of any kind or character, accrued or to accrue hereafter, which the Executive ever had, now has or may hereafter have against Releasees, through the Departure Date, arising out of any act, omission, statement, representation, transaction or occurrence, including, without limitation, those related to the Executive’s employment by the Company or the termination thereof. Without limiting the generality of the foregoing, it is understood and agreed that this Release constitutes a release of any claim or cause of action: (i) for breach of any employment, commission or other agreement existing between the Executive and the Company, all of which are hereby acknowledged to have terminated, except as otherwise stated herein; or (ii) otherwise related, in any way, to the Executive’s employment by the Company, including the termination thereof, and includes, without limitation, claims under Title VII of the Civil Rights Act of 1964 (and all of its amendments); the Americans with Disabilities Act of 1990, as amended; the Age Discrimination in Employment Act; the Older Workers Benefit Protection Act; the Anti-Retaliation provision of the Texas Workers Compensation Act; the Fair Labor Standards Act; the Texas Pay Day Law; the Texas Labor Code; the Family and Medical Leave Act; the Occupational Safety and Health Act; the National Labor Relations Act; the Fair Credit Reporting Act, as amended; the Rehabilitation Act; the Consolidated Omnibus Budget Reconciliation Act of 1985 (COBRA); the Sarbanes-Oxley Act of 2002; the Employee Polygraph Protection Act; the Financial Institutions Reform, Recovery and Enforcement Act; the Uniform Services Employment and Reemployment Rights Act of 1994; and any other state or federal statute or regulation governing the employment relationship or the Executive's rights, or the Company's obligations, in connection therewith. This release also constitutes a release of any claim or cause of action for invasion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10360"/>
        <w:spacing w:after="0"/>
        <w:rPr>
          <w:sz w:val="20"/>
          <w:szCs w:val="20"/>
          <w:color w:val="auto"/>
        </w:rPr>
      </w:pPr>
      <w:r>
        <w:rPr>
          <w:rFonts w:ascii="Times New Roman" w:cs="Times New Roman" w:eastAsia="Times New Roman" w:hAnsi="Times New Roman"/>
          <w:sz w:val="17"/>
          <w:szCs w:val="17"/>
          <w:color w:val="auto"/>
        </w:rPr>
        <w:t>Exhibit 10.1</w:t>
      </w:r>
    </w:p>
    <w:p>
      <w:pPr>
        <w:spacing w:after="0" w:line="27" w:lineRule="exact"/>
        <w:rPr>
          <w:sz w:val="20"/>
          <w:szCs w:val="20"/>
          <w:color w:val="auto"/>
        </w:rPr>
      </w:pPr>
    </w:p>
    <w:p>
      <w:pPr>
        <w:ind w:left="1140" w:right="40"/>
        <w:spacing w:after="0" w:line="242" w:lineRule="auto"/>
        <w:rPr>
          <w:sz w:val="20"/>
          <w:szCs w:val="20"/>
          <w:color w:val="auto"/>
        </w:rPr>
      </w:pPr>
      <w:r>
        <w:rPr>
          <w:rFonts w:ascii="Times New Roman" w:cs="Times New Roman" w:eastAsia="Times New Roman" w:hAnsi="Times New Roman"/>
          <w:sz w:val="18"/>
          <w:szCs w:val="18"/>
          <w:color w:val="auto"/>
        </w:rPr>
        <w:t>privacy, intentional or negligent infliction of emotional distress, wrongful termination, promissory estoppel, false imprisonment, defamation, negligence, gross negligence, breach of contract, libel or slander, tortious interference with contract or business relationship, misrepresentation, deceptive trade practices, fraud, and any employment-related claims, or for any personal injuries, however characterized, or by virtue of any fact(s), act(s) or event(s) occurring prior to the date of this Agreement.</w:t>
      </w:r>
    </w:p>
    <w:p>
      <w:pPr>
        <w:spacing w:after="0" w:line="181" w:lineRule="exact"/>
        <w:rPr>
          <w:sz w:val="20"/>
          <w:szCs w:val="20"/>
          <w:color w:val="auto"/>
        </w:rPr>
      </w:pPr>
    </w:p>
    <w:p>
      <w:pPr>
        <w:ind w:left="1140" w:right="60" w:hanging="383"/>
        <w:spacing w:after="0" w:line="242"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EXECUTIVE UNDERSTANDS THAT BY SIGNING AND NOT REVOKING THIS RELEASE, THE EXECUTIVE IS WAIVING ANY AND ALL RIGHTS OR CLAIMS WHICH THE EXECUTIVE MAY HAVE UNDER THE AGE DISCRIMINATION IN EMPLOYMENT ACT AND/OR THE OLDER WORKERS BENEFIT PROTECTION ACT (“OWBPA”) FOR AGE DISCRIMINATION ARISING FROM EMPLOYMENT WITH THE COMPANY, INCLUDING, WITHOUT LIMITATION, THE RIGHT TO SUE THE COMPANY IN FEDERAL OR STATE COURT FOR AGE DISCRIMINATION. THE EXECUTIVE FURTHER ACKNOWLEDGES THAT THE EXECUTIVE: (1) DOES NOT WAIVE ANY CLAIMS OR RIGHTS THAT MAY ARISE AFTER THE DATE THE AGREEMENT IS EXECUTED; (2) WAIVES CLAIMS OR RIGHTS ONLY IN EXCHANGE FOR CONSIDERATION IN ADDITION TO ANYTHING OF VALUE TO WHICH THE EXECUTIVE IS ALREADY ENTITLED; (3) HAS BEEN ADVISED BY THE COMPANY IN WRITING OF THE EXECUTIVE’S RIGHT TO CONSULT WITH AN ATTORNEY BEFORE SIGNING THIS RELEASE; (4) AGREES THAT THIS AGREEMENT IS WRITTEN IN A MANNER CALCULATED TO BE UNDERSTOOD BY THE EXECUTIVE, AND THE EXECUTIVE, IN FACT, UNDERSTANDS THE TERMS, CONTENTS, CONDITIONS, AND EFFECTS OF THIS AGREEMENT, AND HAS ENTERED INTO THIS AGREEMENT KNOWINGLY AND VOLUNTARILY; AND (5) HAS RECEIVED THE DISCLOSURES REQUIRED BY THE OWBPA, WHICH ARE ATTACHED TO THIS AGREEMENT AS EXHIBIT B.</w:t>
      </w:r>
    </w:p>
    <w:p>
      <w:pPr>
        <w:spacing w:after="0" w:line="187" w:lineRule="exact"/>
        <w:rPr>
          <w:rFonts w:ascii="Times New Roman" w:cs="Times New Roman" w:eastAsia="Times New Roman" w:hAnsi="Times New Roman"/>
          <w:sz w:val="18"/>
          <w:szCs w:val="18"/>
          <w:color w:val="auto"/>
        </w:rPr>
      </w:pPr>
    </w:p>
    <w:p>
      <w:pPr>
        <w:ind w:left="1140" w:hanging="383"/>
        <w:spacing w:after="0" w:line="24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this Agreement does not constitute a release nor a waiver of the Executive’s right to file a charge or participate in an investigation or proceeding conducted by the Equal Employment Opportunity Commission, the Texas Workforce Commission, or any other governmental agency with jurisdiction to regulate employment conditions or regulations; provided further, that the Executive does release and relinquish any right to receive any money, property, or any other thing of value, or any other financial benefit or award, as a result of any proceeding of any kind or character initiated by any such governmental agencies or organizations.</w:t>
      </w:r>
    </w:p>
    <w:p>
      <w:pPr>
        <w:spacing w:after="0" w:line="329"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acknowledges that the payments contemplated by Section 2 include consideration which the Executive would not be entitled to receive but for the Executive’s execution and non-revocation of this Agreement.</w:t>
      </w:r>
    </w:p>
    <w:p>
      <w:pPr>
        <w:spacing w:after="0" w:line="296" w:lineRule="exact"/>
        <w:rPr>
          <w:rFonts w:ascii="Times New Roman" w:cs="Times New Roman" w:eastAsia="Times New Roman" w:hAnsi="Times New Roman"/>
          <w:sz w:val="18"/>
          <w:szCs w:val="18"/>
          <w:color w:val="auto"/>
        </w:rPr>
      </w:pPr>
    </w:p>
    <w:p>
      <w:pPr>
        <w:ind w:right="200" w:firstLine="8"/>
        <w:spacing w:after="0" w:line="26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The Company hereby revokes any and all powers of attorney the Company may have granted the Executive during the Executive’s employment with the Company.</w:t>
      </w:r>
    </w:p>
    <w:p>
      <w:pPr>
        <w:spacing w:after="0" w:line="16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and Insurance</w:t>
      </w:r>
      <w:r>
        <w:rPr>
          <w:rFonts w:ascii="Times New Roman" w:cs="Times New Roman" w:eastAsia="Times New Roman" w:hAnsi="Times New Roman"/>
          <w:sz w:val="18"/>
          <w:szCs w:val="18"/>
          <w:color w:val="auto"/>
        </w:rPr>
        <w:t>. With respect to services provided by the Executive to the Departure Date and pursuant to this Agreement, the Company shall</w:t>
      </w:r>
    </w:p>
    <w:p>
      <w:pPr>
        <w:spacing w:after="0" w:line="15" w:lineRule="exact"/>
        <w:rPr>
          <w:rFonts w:ascii="Times New Roman" w:cs="Times New Roman" w:eastAsia="Times New Roman" w:hAnsi="Times New Roman"/>
          <w:sz w:val="18"/>
          <w:szCs w:val="18"/>
          <w:color w:val="auto"/>
        </w:rPr>
      </w:pPr>
    </w:p>
    <w:p>
      <w:pPr>
        <w:ind w:right="12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reimburse Executive for reasonable business expenses incurred in the performance of Executive’s services, (b) maintain Director and Officer insurance coverage for the Executive consistent with that provided to other Company directors and officers, and (c) provide Executive with full indemnification as permitted by law.</w:t>
      </w:r>
    </w:p>
    <w:p>
      <w:pPr>
        <w:spacing w:after="0" w:line="180" w:lineRule="exact"/>
        <w:rPr>
          <w:rFonts w:ascii="Times New Roman" w:cs="Times New Roman" w:eastAsia="Times New Roman" w:hAnsi="Times New Roman"/>
          <w:sz w:val="18"/>
          <w:szCs w:val="18"/>
          <w:color w:val="auto"/>
        </w:rPr>
      </w:pPr>
    </w:p>
    <w:p>
      <w:pPr>
        <w:ind w:right="60" w:firstLine="8"/>
        <w:spacing w:after="0" w:line="250"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payments made herein or the value of all property transferred to Executive hereunder shall be subject to applicable payroll and withholding taxes. This Agreement shall be construed and administered in compliance with Section 409A of the Internal Revenue Code. The parties agree to amend the Agreement as may be necessary to avoid application of Code Section 409A excise taxes or penalties to payments made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16" w:lineRule="exact"/>
        <w:rPr>
          <w:sz w:val="20"/>
          <w:szCs w:val="20"/>
          <w:color w:val="auto"/>
        </w:rPr>
      </w:pPr>
    </w:p>
    <w:p>
      <w:pPr>
        <w:ind w:right="20" w:firstLine="8"/>
        <w:spacing w:after="0"/>
        <w:tabs>
          <w:tab w:leader="none" w:pos="2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In the event any one or more of the provisions of this Agreement (or any part thereof) shall for any reason be held to be invalid, illegal or unenforceable, the remaining provisions of this Agreement (or part thereof) shall be unimpaired, and the invalid, illegal or unenforceable provision (or part thereof) shall be replaced by a provision (or part thereof), which, being valid, legal and enforceable, comes closest to the intention of the parties underlying the invalid, illegal or unenforceable provisions. However, in the event that any such provision of this Agreement (or part thereof) is adjudged by a court of competent jurisdiction to be invalid, illegal or unenforceable, but that the other provisions (or part thereof) are adjudged to be valid, legal and enforceable if such invalid, illegal</w:t>
      </w:r>
    </w:p>
    <w:p>
      <w:pPr>
        <w:ind w:right="2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unenforceable provision (or part thereof) were deleted or modified, then this Agreement shall apply with only such deletions or modifications, or both, as the case may be, as are necessary to permit the remaining separate provisions (or part thereof) to be valid, legal and enforceable.</w:t>
      </w:r>
    </w:p>
    <w:p>
      <w:pPr>
        <w:spacing w:after="0" w:line="155" w:lineRule="exact"/>
        <w:rPr>
          <w:rFonts w:ascii="Times New Roman" w:cs="Times New Roman" w:eastAsia="Times New Roman" w:hAnsi="Times New Roman"/>
          <w:sz w:val="18"/>
          <w:szCs w:val="18"/>
          <w:color w:val="auto"/>
        </w:rPr>
      </w:pPr>
    </w:p>
    <w:p>
      <w:pPr>
        <w:ind w:right="100" w:firstLine="8"/>
        <w:spacing w:after="0" w:line="266" w:lineRule="auto"/>
        <w:tabs>
          <w:tab w:leader="none" w:pos="2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the substantive laws of the State of Texas without regard to its conflict of laws provisions or the laws of any other jurisdiction in which the Executive resides or performs any duties hereunder, or where any violation of the Agreement occurs.</w:t>
      </w:r>
    </w:p>
    <w:p>
      <w:pPr>
        <w:spacing w:after="0" w:line="162" w:lineRule="exact"/>
        <w:rPr>
          <w:rFonts w:ascii="Times New Roman" w:cs="Times New Roman" w:eastAsia="Times New Roman" w:hAnsi="Times New Roman"/>
          <w:sz w:val="18"/>
          <w:szCs w:val="18"/>
          <w:color w:val="auto"/>
        </w:rPr>
      </w:pPr>
    </w:p>
    <w:p>
      <w:pPr>
        <w:ind w:firstLine="8"/>
        <w:spacing w:after="0" w:line="243" w:lineRule="auto"/>
        <w:tabs>
          <w:tab w:leader="none" w:pos="2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 Notices</w:t>
      </w:r>
      <w:r>
        <w:rPr>
          <w:rFonts w:ascii="Times New Roman" w:cs="Times New Roman" w:eastAsia="Times New Roman" w:hAnsi="Times New Roman"/>
          <w:sz w:val="18"/>
          <w:szCs w:val="18"/>
          <w:color w:val="auto"/>
        </w:rPr>
        <w:t>. The Company shall have the right to assign its obligations under this Agreement to any entity that acquires all or substantially all of the assets of the Company and continues the Company’s business. The rights and obligations of the Company under this Agreement shall inure to the benefit of and shall be binding upon the Company and its successors and assigns. The Executive may not assign the Executive’s rights or delegate the Executive’s obligations hereunder. Except as otherwise set forth under Section 15, all notices and other communications hereunder or under the Employment Agreement shall be in writing and shall be given by hand delivery to the other party or by registered or certified mail, return receipt requested, postage</w:t>
      </w:r>
    </w:p>
    <w:p>
      <w:pPr>
        <w:spacing w:after="0" w:line="4" w:lineRule="exact"/>
        <w:rPr>
          <w:rFonts w:ascii="Times New Roman" w:cs="Times New Roman" w:eastAsia="Times New Roman" w:hAnsi="Times New Roman"/>
          <w:sz w:val="18"/>
          <w:szCs w:val="18"/>
          <w:color w:val="auto"/>
        </w:rPr>
      </w:pPr>
    </w:p>
    <w:p>
      <w:pPr>
        <w:ind w:right="30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addressed as follows: If to the Executive, at the most recent address on file at the Company. If to the Company, to CECO Environmental Corp.; 14651 North Dallas Parkway, Suite 500; Dallas, Texas, 75254.</w:t>
      </w:r>
    </w:p>
    <w:p>
      <w:pPr>
        <w:spacing w:after="0" w:line="181" w:lineRule="exact"/>
        <w:rPr>
          <w:rFonts w:ascii="Times New Roman" w:cs="Times New Roman" w:eastAsia="Times New Roman" w:hAnsi="Times New Roman"/>
          <w:sz w:val="18"/>
          <w:szCs w:val="18"/>
          <w:color w:val="auto"/>
        </w:rPr>
      </w:pPr>
    </w:p>
    <w:p>
      <w:pPr>
        <w:ind w:right="260" w:firstLine="8"/>
        <w:spacing w:after="0" w:line="246" w:lineRule="auto"/>
        <w:tabs>
          <w:tab w:leader="none" w:pos="2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This Agreement may be amended or modified only by a written instrument executed by the Company and the Executive. No provision of this Agreement may be waived or discharged unless such waiver or discharge is in writing and signed by the Chief Executive Officer of the Company. Any failure by Executive or the Company to enforce any of the provisions of this Agreement shall not be construed to be a waiver of such provisions or any right to enforce each and every provision in the future. A waiver of any breach of this Agreement shall not be construed as a waiver of any other or subsequent breach.</w:t>
      </w:r>
    </w:p>
    <w:p>
      <w:pPr>
        <w:spacing w:after="0" w:line="181" w:lineRule="exact"/>
        <w:rPr>
          <w:rFonts w:ascii="Times New Roman" w:cs="Times New Roman" w:eastAsia="Times New Roman" w:hAnsi="Times New Roman"/>
          <w:sz w:val="18"/>
          <w:szCs w:val="18"/>
          <w:color w:val="auto"/>
        </w:rPr>
      </w:pPr>
    </w:p>
    <w:p>
      <w:pPr>
        <w:ind w:right="40" w:firstLine="8"/>
        <w:spacing w:after="0" w:line="243" w:lineRule="auto"/>
        <w:tabs>
          <w:tab w:leader="none" w:pos="2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Period for Enforceability/Revocation of Agreement</w:t>
      </w:r>
      <w:r>
        <w:rPr>
          <w:rFonts w:ascii="Times New Roman" w:cs="Times New Roman" w:eastAsia="Times New Roman" w:hAnsi="Times New Roman"/>
          <w:sz w:val="18"/>
          <w:szCs w:val="18"/>
          <w:color w:val="auto"/>
        </w:rPr>
        <w:t>. The Company's obligation to pay the amounts set forth in Section 2 and provide any other benefits described in this Agreement is contingent upon the Executive executing and returning this Agreement to the Company. The Executive may take up to forty-five (45) days after receiving this Agreement, to consider this Agreement prior to executing it. The Executive may sign this Agreement at any time during this forty-five (45) day period, except that the Executive may not sign this Agreement prior to the Departure Date. Any changes made to this Agreement after presentation to the Executive will not restart the running of the forty-five (45) day period. After executing this Agreement, the Executive shall have seven (7) days during</w:t>
      </w:r>
    </w:p>
    <w:p>
      <w:pPr>
        <w:spacing w:after="0" w:line="2" w:lineRule="exact"/>
        <w:rPr>
          <w:rFonts w:ascii="Times New Roman" w:cs="Times New Roman" w:eastAsia="Times New Roman" w:hAnsi="Times New Roman"/>
          <w:sz w:val="18"/>
          <w:szCs w:val="18"/>
          <w:color w:val="auto"/>
        </w:rPr>
      </w:pPr>
    </w:p>
    <w:p>
      <w:pPr>
        <w:ind w:right="100"/>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time the Executive may revoke the Executive’s consent to this Agreement by given written or electronic notification of the decision to revoke to the Company. This Agreement will not become effective or enforceable, and the payments and benefits described herein shall not become due, until such revocation period has expired and the Executive has delivered a written or electronic notice that the Executive has not exercised the Executive’s right to revoke this Agreement which notice is dated not less than eight (8) days after the date on which this Agreement is executed in substantially the form attached hereto as Exhibit C.</w:t>
      </w:r>
    </w:p>
    <w:p>
      <w:pPr>
        <w:spacing w:after="0" w:line="184" w:lineRule="exact"/>
        <w:rPr>
          <w:rFonts w:ascii="Times New Roman" w:cs="Times New Roman" w:eastAsia="Times New Roman" w:hAnsi="Times New Roman"/>
          <w:sz w:val="18"/>
          <w:szCs w:val="18"/>
          <w:color w:val="auto"/>
        </w:rPr>
      </w:pPr>
    </w:p>
    <w:p>
      <w:pPr>
        <w:ind w:right="160" w:firstLine="8"/>
        <w:spacing w:after="0" w:line="245" w:lineRule="auto"/>
        <w:tabs>
          <w:tab w:leader="none" w:pos="2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Revocation</w:t>
      </w:r>
      <w:r>
        <w:rPr>
          <w:rFonts w:ascii="Times New Roman" w:cs="Times New Roman" w:eastAsia="Times New Roman" w:hAnsi="Times New Roman"/>
          <w:sz w:val="18"/>
          <w:szCs w:val="18"/>
          <w:color w:val="auto"/>
        </w:rPr>
        <w:t>. Any notice of revocation to be given pursuant to the foregoing paragraph shall be sent by email or facsimile transmission to: Lynn Watkins-Asiyanbi, Senior Vice President, General Counsel and Corporate Secretary at lwatkins@OneCECO.com or (214) 351-4172. The Executive understands and acknowledges that the Executive will not receive any monies or benefits pursuant to this Agreement except upon the execution and non-revocation of this Agreement, and the fulfillment of the promises contained herein.</w:t>
      </w:r>
    </w:p>
    <w:p>
      <w:pPr>
        <w:spacing w:after="0" w:line="180" w:lineRule="exact"/>
        <w:rPr>
          <w:rFonts w:ascii="Times New Roman" w:cs="Times New Roman" w:eastAsia="Times New Roman" w:hAnsi="Times New Roman"/>
          <w:sz w:val="18"/>
          <w:szCs w:val="18"/>
          <w:color w:val="auto"/>
        </w:rPr>
      </w:pPr>
    </w:p>
    <w:p>
      <w:pPr>
        <w:ind w:right="440" w:firstLine="8"/>
        <w:spacing w:after="0" w:line="258" w:lineRule="auto"/>
        <w:tabs>
          <w:tab w:leader="none" w:pos="2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Effective Date of this Agreement shall be the date on which it is signed by the Executive, provided that it is also signed by the Company, regardless of when it is signed by the Company and provided that the Executive does not revoke this Agreement in accordance with the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10360"/>
        <w:spacing w:after="0"/>
        <w:rPr>
          <w:sz w:val="20"/>
          <w:szCs w:val="20"/>
          <w:color w:val="auto"/>
        </w:rPr>
      </w:pPr>
      <w:r>
        <w:rPr>
          <w:rFonts w:ascii="Times New Roman" w:cs="Times New Roman" w:eastAsia="Times New Roman" w:hAnsi="Times New Roman"/>
          <w:sz w:val="17"/>
          <w:szCs w:val="17"/>
          <w:color w:val="auto"/>
        </w:rPr>
        <w:t>Exhibit 10.1</w:t>
      </w:r>
    </w:p>
    <w:p>
      <w:pPr>
        <w:spacing w:after="0" w:line="27" w:lineRule="exact"/>
        <w:rPr>
          <w:sz w:val="20"/>
          <w:szCs w:val="20"/>
          <w:color w:val="auto"/>
        </w:rPr>
      </w:pPr>
    </w:p>
    <w:p>
      <w:pPr>
        <w:ind w:right="600"/>
        <w:spacing w:after="0" w:line="244" w:lineRule="auto"/>
        <w:rPr>
          <w:sz w:val="20"/>
          <w:szCs w:val="20"/>
          <w:color w:val="auto"/>
        </w:rPr>
      </w:pPr>
      <w:r>
        <w:rPr>
          <w:rFonts w:ascii="Times New Roman" w:cs="Times New Roman" w:eastAsia="Times New Roman" w:hAnsi="Times New Roman"/>
          <w:sz w:val="18"/>
          <w:szCs w:val="18"/>
          <w:color w:val="auto"/>
        </w:rPr>
        <w:t>THE COMPANY AND THE EXECUTIVE ACKNOWLEDGE THAT (A) EACH HAS CAREFULLY READ THIS AGREEMENT, (B) EACH UNDERSTANDS ITS TERMS, (C) ALL UNDERSTANDINGS AND AGREEMENTS BETWEEN THE COMPANY AND THE EXECUTIVE RELATING TO THE SUBJECTS COVERED IN THE AGREEMENT ARE CONTAINED IN IT, AND (D) EACH HAS ENTERED INTO THIS AGREEMENT VOLUNTARILY AND NOT IN RELIANCE ON ANY PROMISES OR REPRESENTATIONS BY THE OTHER, OTHER THAN THOSE CONTAINED IN THIS AGREEMENT ITSELF.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441325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executed this Agreement.</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Matthew Eckl</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CECO Environmental Corp.</w:t>
            </w:r>
          </w:p>
        </w:tc>
      </w:tr>
      <w:tr>
        <w:trPr>
          <w:trHeight w:val="580"/>
        </w:trPr>
        <w:tc>
          <w:tcPr>
            <w:tcW w:w="100" w:type="dxa"/>
            <w:vAlign w:val="bottom"/>
          </w:tcPr>
          <w:p>
            <w:pPr>
              <w:spacing w:after="0"/>
              <w:rPr>
                <w:sz w:val="24"/>
                <w:szCs w:val="24"/>
                <w:color w:val="auto"/>
              </w:rPr>
            </w:pPr>
          </w:p>
        </w:tc>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Matthew Eckl</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Todd Gleason</w:t>
            </w: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218"/>
        </w:trPr>
        <w:tc>
          <w:tcPr>
            <w:tcW w:w="10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Signature of Executive</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Todd Gleason</w:t>
            </w:r>
          </w:p>
        </w:tc>
      </w:tr>
      <w:tr>
        <w:trPr>
          <w:trHeight w:val="234"/>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92"/>
        </w:trPr>
        <w:tc>
          <w:tcPr>
            <w:tcW w:w="100" w:type="dxa"/>
            <w:vAlign w:val="bottom"/>
          </w:tcPr>
          <w:p>
            <w:pPr>
              <w:spacing w:after="0"/>
              <w:rPr>
                <w:sz w:val="24"/>
                <w:szCs w:val="24"/>
                <w:color w:val="auto"/>
              </w:rPr>
            </w:pPr>
          </w:p>
        </w:tc>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9, 2022</w:t>
            </w:r>
          </w:p>
        </w:tc>
      </w:tr>
      <w:tr>
        <w:trPr>
          <w:trHeight w:val="237"/>
        </w:trPr>
        <w:tc>
          <w:tcPr>
            <w:tcW w:w="100" w:type="dxa"/>
            <w:vAlign w:val="bottom"/>
          </w:tcPr>
          <w:p>
            <w:pPr>
              <w:spacing w:after="0"/>
              <w:rPr>
                <w:sz w:val="20"/>
                <w:szCs w:val="20"/>
                <w:color w:val="auto"/>
              </w:rPr>
            </w:pPr>
          </w:p>
        </w:tc>
        <w:tc>
          <w:tcPr>
            <w:tcW w:w="14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spacing w:after="0"/>
              <w:rPr>
                <w:sz w:val="20"/>
                <w:szCs w:val="20"/>
                <w:color w:val="auto"/>
              </w:rPr>
            </w:pPr>
          </w:p>
        </w:tc>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5280" w:type="dxa"/>
            <w:vAlign w:val="bottom"/>
          </w:tcPr>
          <w:p>
            <w:pPr>
              <w:spacing w:after="0"/>
              <w:rPr>
                <w:sz w:val="20"/>
                <w:szCs w:val="20"/>
                <w:color w:val="auto"/>
              </w:rPr>
            </w:pPr>
          </w:p>
        </w:tc>
      </w:tr>
      <w:tr>
        <w:trPr>
          <w:trHeight w:val="736"/>
        </w:trPr>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OMITTED SCHEDULES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Accelerated RSUs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Program Information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Notice of Non-Revocation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Gleason, certify that:</w:t>
      </w:r>
    </w:p>
    <w:p>
      <w:pPr>
        <w:spacing w:after="0" w:line="117"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03" w:lineRule="exact"/>
        <w:rPr>
          <w:rFonts w:ascii="Times New Roman" w:cs="Times New Roman" w:eastAsia="Times New Roman" w:hAnsi="Times New Roman"/>
          <w:sz w:val="18"/>
          <w:szCs w:val="18"/>
          <w:color w:val="auto"/>
        </w:rPr>
      </w:pPr>
    </w:p>
    <w:p>
      <w:pPr>
        <w:ind w:left="520" w:right="280" w:hanging="512"/>
        <w:spacing w:after="0" w:line="258"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020" w:right="120" w:hanging="479"/>
        <w:spacing w:after="0" w:line="258"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Johansson, certify that:</w:t>
      </w:r>
    </w:p>
    <w:p>
      <w:pPr>
        <w:spacing w:after="0" w:line="117"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03" w:lineRule="exact"/>
        <w:rPr>
          <w:rFonts w:ascii="Times New Roman" w:cs="Times New Roman" w:eastAsia="Times New Roman" w:hAnsi="Times New Roman"/>
          <w:sz w:val="18"/>
          <w:szCs w:val="18"/>
          <w:color w:val="auto"/>
        </w:rPr>
      </w:pPr>
    </w:p>
    <w:p>
      <w:pPr>
        <w:ind w:left="520" w:right="280" w:hanging="512"/>
        <w:spacing w:after="0" w:line="258" w:lineRule="auto"/>
        <w:tabs>
          <w:tab w:leader="none" w:pos="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020" w:right="120" w:hanging="479"/>
        <w:spacing w:after="0" w:line="258"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Johansson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3" w:lineRule="exact"/>
        <w:rPr>
          <w:sz w:val="20"/>
          <w:szCs w:val="20"/>
          <w:color w:val="auto"/>
        </w:rPr>
      </w:pPr>
    </w:p>
    <w:p>
      <w:pPr>
        <w:jc w:val="both"/>
        <w:ind w:right="200"/>
        <w:spacing w:after="0" w:line="280" w:lineRule="auto"/>
        <w:rPr>
          <w:sz w:val="20"/>
          <w:szCs w:val="20"/>
          <w:color w:val="auto"/>
        </w:rPr>
      </w:pPr>
      <w:r>
        <w:rPr>
          <w:rFonts w:ascii="Times New Roman" w:cs="Times New Roman" w:eastAsia="Times New Roman" w:hAnsi="Times New Roman"/>
          <w:sz w:val="17"/>
          <w:szCs w:val="17"/>
          <w:color w:val="auto"/>
        </w:rPr>
        <w:t>In connection with the Quarterly Report of CECO Environmental Corp. (the “Company”) on Form 10-Q for the nine month period ended September 30, 2022 as filed with the Securities and Exchange Commission on the date hereof (the “Report”), I, Todd Gleason, Chief Executive Officer of the Company, certify, pursuant to 18 U.S.C. § 1350, as adopted pursuant to § 906 of the Sarbanes-Oxley Act of 2002, to the best of my knowledge and belief, that:</w:t>
      </w:r>
    </w:p>
    <w:p>
      <w:pPr>
        <w:spacing w:after="0" w:line="45" w:lineRule="exact"/>
        <w:rPr>
          <w:sz w:val="20"/>
          <w:szCs w:val="20"/>
          <w:color w:val="auto"/>
        </w:rPr>
      </w:pPr>
    </w:p>
    <w:p>
      <w:pPr>
        <w:ind w:left="900" w:hanging="35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1020" w:right="680" w:hanging="479"/>
        <w:spacing w:after="0" w:line="266" w:lineRule="auto"/>
        <w:tabs>
          <w:tab w:leader="none" w:pos="8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7"/>
          <w:szCs w:val="17"/>
          <w:color w:val="auto"/>
        </w:rPr>
        <w:t>In connection with the Quarterly Report of CECO Environmental Corp. (the “Company”) on Form 10-Q for the nine month period ended September 30, 2022 as filed with the Securities and Exchange Commission on the date hereof (the “Report”), I, Peter Johansson, Chief Financial Officer of the Company, certify, pursuant to 18 U.S.C. § 1350, as adopted pursuant to § 906 of the Sarbanes-Oxley Act of 2002, to the best of my knowledge and belief, that:</w:t>
      </w:r>
    </w:p>
    <w:p>
      <w:pPr>
        <w:spacing w:after="0" w:line="45" w:lineRule="exact"/>
        <w:rPr>
          <w:sz w:val="20"/>
          <w:szCs w:val="20"/>
          <w:color w:val="auto"/>
        </w:rPr>
      </w:pPr>
    </w:p>
    <w:p>
      <w:pPr>
        <w:ind w:left="900" w:hanging="35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1020" w:right="680" w:hanging="479"/>
        <w:spacing w:after="0" w:line="266"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Johansson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5"/>
    </w:lvl>
  </w:abstractNum>
  <w:abstractNum w:abstractNumId="5">
    <w:nsid w:val="4E6AFB66"/>
    <w:multiLevelType w:val="hybridMultilevel"/>
    <w:lvl w:ilvl="0">
      <w:lvlJc w:val="left"/>
      <w:lvlText w:val="%1."/>
      <w:numFmt w:val="decimal"/>
      <w:start w:val="8"/>
    </w:lvl>
  </w:abstractNum>
  <w:abstractNum w:abstractNumId="6">
    <w:nsid w:val="25E45D32"/>
    <w:multiLevelType w:val="hybridMultilevel"/>
    <w:lvl w:ilvl="0">
      <w:lvlJc w:val="left"/>
      <w:lvlText w:val="%1."/>
      <w:numFmt w:val="decimal"/>
      <w:start w:val="9"/>
    </w:lvl>
  </w:abstractNum>
  <w:abstractNum w:abstractNumId="7">
    <w:nsid w:val="519B500D"/>
    <w:multiLevelType w:val="hybridMultilevel"/>
    <w:lvl w:ilvl="0">
      <w:lvlJc w:val="left"/>
      <w:lvlText w:val="%1."/>
      <w:numFmt w:val="decimal"/>
      <w:start w:val="14"/>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2"/>
    </w:lvl>
  </w:abstractNum>
  <w:abstractNum w:abstractNumId="10">
    <w:nsid w:val="7C83E458"/>
    <w:multiLevelType w:val="hybridMultilevel"/>
    <w:lvl w:ilvl="0">
      <w:lvlJc w:val="left"/>
      <w:lvlText w:val="(%1)"/>
      <w:numFmt w:val="decimal"/>
      <w:start w:val="4"/>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lvl w:ilvl="1">
      <w:lvlJc w:val="left"/>
      <w:lvlText w:val="%2"/>
      <w:numFmt w:val="decimal"/>
      <w:start w:val="104"/>
    </w:lvl>
  </w:abstractNum>
  <w:abstractNum w:abstractNumId="16">
    <w:nsid w:val="721DA317"/>
    <w:multiLevelType w:val="hybridMultilevel"/>
    <w:lvl w:ilvl="0">
      <w:lvlJc w:val="left"/>
      <w:lvlText w:val="%1."/>
      <w:numFmt w:val="decimal"/>
      <w:start w:val="1"/>
    </w:lvl>
    <w:lvl w:ilvl="1">
      <w:lvlJc w:val="left"/>
      <w:lvlText w:val="(%2)"/>
      <w:numFmt w:val="lowerLetter"/>
      <w:start w:val="1"/>
    </w:lvl>
  </w:abstractNum>
  <w:abstractNum w:abstractNumId="17">
    <w:nsid w:val="2443A858"/>
    <w:multiLevelType w:val="hybridMultilevel"/>
    <w:lvl w:ilvl="0">
      <w:lvlJc w:val="left"/>
      <w:lvlText w:val="%1"/>
      <w:numFmt w:val="decimal"/>
      <w:start w:val="1"/>
    </w:lvl>
    <w:lvl w:ilvl="1">
      <w:lvlJc w:val="left"/>
      <w:lvlText w:val="(%2)"/>
      <w:numFmt w:val="lowerLetter"/>
      <w:start w:val="3"/>
    </w:lvl>
  </w:abstractNum>
  <w:abstractNum w:abstractNumId="18">
    <w:nsid w:val="2D1D5AE9"/>
    <w:multiLevelType w:val="hybridMultilevel"/>
    <w:lvl w:ilvl="0">
      <w:lvlJc w:val="left"/>
      <w:lvlText w:val="%1."/>
      <w:numFmt w:val="decimal"/>
      <w:start w:val="3"/>
    </w:lvl>
    <w:lvl w:ilvl="1">
      <w:lvlJc w:val="left"/>
      <w:lvlText w:val="%2"/>
      <w:numFmt w:val="lowerLetter"/>
      <w:start w:val="1"/>
    </w:lvl>
  </w:abstractNum>
  <w:abstractNum w:abstractNumId="19">
    <w:nsid w:val="6763845E"/>
    <w:multiLevelType w:val="hybridMultilevel"/>
    <w:lvl w:ilvl="0">
      <w:lvlJc w:val="left"/>
      <w:lvlText w:val="%1."/>
      <w:numFmt w:val="decimal"/>
      <w:start w:val="4"/>
    </w:lvl>
    <w:lvl w:ilvl="1">
      <w:lvlJc w:val="left"/>
      <w:lvlText w:val="(%2)"/>
      <w:numFmt w:val="lowerLetter"/>
      <w:start w:val="1"/>
    </w:lvl>
  </w:abstractNum>
  <w:abstractNum w:abstractNumId="20">
    <w:nsid w:val="75A2A8D4"/>
    <w:multiLevelType w:val="hybridMultilevel"/>
    <w:lvl w:ilvl="0">
      <w:lvlJc w:val="left"/>
      <w:lvlText w:val="%1"/>
      <w:numFmt w:val="decimal"/>
      <w:start w:val="1"/>
    </w:lvl>
    <w:lvl w:ilvl="1">
      <w:lvlJc w:val="left"/>
      <w:lvlText w:val="(%2)"/>
      <w:numFmt w:val="lowerLetter"/>
      <w:start w:val="2"/>
    </w:lvl>
  </w:abstractNum>
  <w:abstractNum w:abstractNumId="21">
    <w:nsid w:val="8EDBDAB"/>
    <w:multiLevelType w:val="hybridMultilevel"/>
    <w:lvl w:ilvl="0">
      <w:lvlJc w:val="left"/>
      <w:lvlText w:val="%1."/>
      <w:numFmt w:val="decimal"/>
      <w:start w:val="7"/>
    </w:lvl>
    <w:lvl w:ilvl="1">
      <w:lvlJc w:val="left"/>
      <w:lvlText w:val="%2"/>
      <w:numFmt w:val="lowerLetter"/>
      <w:start w:val="1"/>
    </w:lvl>
  </w:abstractNum>
  <w:abstractNum w:abstractNumId="22">
    <w:nsid w:val="79838CB2"/>
    <w:multiLevelType w:val="hybridMultilevel"/>
    <w:lvl w:ilvl="0">
      <w:lvlJc w:val="left"/>
      <w:lvlText w:val="%1."/>
      <w:numFmt w:val="decimal"/>
      <w:start w:val="10"/>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2022-11-07T06:40:31Z</dcterms:created>
  <dcterms:modified xsi:type="dcterms:W3CDTF">2022-11-07T06:40:31Z</dcterms:modified>
</cp:coreProperties>
</file>