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b w:val="1"/>
          <w:bCs w:val="1"/>
          <w:color w:val="auto"/>
        </w:rPr>
        <w:t>UNITED STATES</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50"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SCHEDULE 13G</w:t>
      </w:r>
    </w:p>
    <w:p>
      <w:pPr>
        <w:spacing w:after="0" w:line="308"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Under the Securities Exchange Act of 1934</w:t>
      </w:r>
    </w:p>
    <w:p>
      <w:pPr>
        <w:spacing w:after="0" w:line="14"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w:t>
      </w:r>
    </w:p>
    <w:p>
      <w:pPr>
        <w:spacing w:after="0" w:line="200" w:lineRule="exact"/>
        <w:rPr>
          <w:sz w:val="24"/>
          <w:szCs w:val="24"/>
          <w:color w:val="auto"/>
        </w:rPr>
      </w:pPr>
    </w:p>
    <w:p>
      <w:pPr>
        <w:spacing w:after="0" w:line="218"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CECO ENVIRONMENTAL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(Name of Issuer)</w:t>
      </w:r>
    </w:p>
    <w:p>
      <w:pPr>
        <w:spacing w:after="0" w:line="127"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(Title of Class of Securities)</w:t>
      </w: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2620645</wp:posOffset>
            </wp:positionH>
            <wp:positionV relativeFrom="paragraph">
              <wp:posOffset>76200</wp:posOffset>
            </wp:positionV>
            <wp:extent cx="20154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015490" cy="8890"/>
                    </a:xfrm>
                    <a:prstGeom prst="rect">
                      <a:avLst/>
                    </a:prstGeom>
                    <a:noFill/>
                  </pic:spPr>
                </pic:pic>
              </a:graphicData>
            </a:graphic>
          </wp:anchor>
        </w:drawing>
      </w:r>
    </w:p>
    <w:p>
      <w:pPr>
        <w:spacing w:after="0" w:line="208"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(CUSIP Number)</w:t>
      </w:r>
    </w:p>
    <w:p>
      <w:pPr>
        <w:spacing w:after="0" w:line="141"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December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76200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8" w:lineRule="exact"/>
        <w:rPr>
          <w:sz w:val="24"/>
          <w:szCs w:val="24"/>
          <w:color w:val="auto"/>
        </w:rPr>
      </w:pPr>
    </w:p>
    <w:p>
      <w:pPr>
        <w:ind w:left="4100"/>
        <w:spacing w:after="0"/>
        <w:rPr>
          <w:sz w:val="20"/>
          <w:szCs w:val="20"/>
          <w:color w:val="auto"/>
        </w:rPr>
      </w:pPr>
      <w:r>
        <w:rPr>
          <w:rFonts w:ascii="Arial" w:cs="Arial" w:eastAsia="Arial" w:hAnsi="Arial"/>
          <w:sz w:val="14"/>
          <w:szCs w:val="14"/>
          <w:b w:val="1"/>
          <w:bCs w:val="1"/>
          <w:color w:val="auto"/>
        </w:rPr>
        <w:t>(Date of Event Which Requires Filing of this Statement)</w:t>
      </w:r>
    </w:p>
    <w:p>
      <w:pPr>
        <w:spacing w:after="0" w:line="141" w:lineRule="exact"/>
        <w:rPr>
          <w:sz w:val="24"/>
          <w:szCs w:val="24"/>
          <w:color w:val="auto"/>
        </w:rPr>
      </w:pPr>
    </w:p>
    <w:p>
      <w:pPr>
        <w:ind w:left="20"/>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158"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13d-1(b)</w:t>
      </w:r>
    </w:p>
    <w:p>
      <w:pPr>
        <w:spacing w:after="0" w:line="158"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13d-1(c)</w:t>
      </w:r>
    </w:p>
    <w:p>
      <w:pPr>
        <w:spacing w:after="0" w:line="157" w:lineRule="exact"/>
        <w:rPr>
          <w:rFonts w:ascii="MS PGothic" w:cs="MS PGothic" w:eastAsia="MS PGothic" w:hAnsi="MS PGothic"/>
          <w:sz w:val="18"/>
          <w:szCs w:val="18"/>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Rule 13d-1(d)</w:t>
      </w:r>
    </w:p>
    <w:p>
      <w:pPr>
        <w:spacing w:after="0" w:line="158" w:lineRule="exact"/>
        <w:rPr>
          <w:sz w:val="24"/>
          <w:szCs w:val="24"/>
          <w:color w:val="auto"/>
        </w:rPr>
      </w:pPr>
    </w:p>
    <w:p>
      <w:pPr>
        <w:ind w:left="220" w:right="80" w:hanging="212"/>
        <w:spacing w:after="0" w:line="268" w:lineRule="auto"/>
        <w:tabs>
          <w:tab w:leader="none" w:pos="22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18" w:lineRule="exact"/>
        <w:rPr>
          <w:sz w:val="24"/>
          <w:szCs w:val="24"/>
          <w:color w:val="auto"/>
        </w:rPr>
      </w:pPr>
    </w:p>
    <w:p>
      <w:pPr>
        <w:ind w:right="300"/>
        <w:spacing w:after="0" w:line="259"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CUSIP No. 125141101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 w:lineRule="exact"/>
        <w:rPr>
          <w:sz w:val="24"/>
          <w:szCs w:val="24"/>
          <w:color w:val="auto"/>
        </w:rPr>
      </w:pPr>
    </w:p>
    <w:p>
      <w:pPr>
        <w:ind w:left="380" w:hanging="284"/>
        <w:spacing w:after="0"/>
        <w:tabs>
          <w:tab w:leader="none" w:pos="38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Names of Reporting Persons.</w:t>
      </w:r>
    </w:p>
    <w:p>
      <w:pPr>
        <w:spacing w:after="0" w:line="15" w:lineRule="exact"/>
        <w:rPr>
          <w:rFonts w:ascii="Arial" w:cs="Arial" w:eastAsia="Arial" w:hAnsi="Arial"/>
          <w:sz w:val="18"/>
          <w:szCs w:val="18"/>
          <w:color w:val="auto"/>
        </w:rPr>
      </w:pPr>
    </w:p>
    <w:p>
      <w:pPr>
        <w:ind w:left="380"/>
        <w:spacing w:after="0"/>
        <w:rPr>
          <w:rFonts w:ascii="Arial" w:cs="Arial" w:eastAsia="Arial" w:hAnsi="Arial"/>
          <w:sz w:val="18"/>
          <w:szCs w:val="18"/>
          <w:color w:val="auto"/>
        </w:rPr>
      </w:pPr>
      <w:r>
        <w:rPr>
          <w:rFonts w:ascii="Arial" w:cs="Arial" w:eastAsia="Arial" w:hAnsi="Arial"/>
          <w:sz w:val="18"/>
          <w:szCs w:val="18"/>
          <w:color w:val="auto"/>
        </w:rPr>
        <w:t>I.R.S. Identification Nos. of above persons (entities only).</w:t>
      </w:r>
    </w:p>
    <w:p>
      <w:pPr>
        <w:spacing w:after="0" w:line="206"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Dimensional Fund Advisors LP (Tax ID: 30-0447847)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Check the Appropriate Box if a Member of a Group (See Instructions)</w:t>
      </w:r>
    </w:p>
    <w:p>
      <w:pPr>
        <w:spacing w:after="0" w:line="15"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16" w:lineRule="exact"/>
        <w:rPr>
          <w:rFonts w:ascii="Arial" w:cs="Arial" w:eastAsia="Arial" w:hAnsi="Arial"/>
          <w:sz w:val="18"/>
          <w:szCs w:val="18"/>
          <w:color w:val="auto"/>
        </w:rPr>
      </w:pPr>
    </w:p>
    <w:p>
      <w:pPr>
        <w:ind w:left="660" w:hanging="287"/>
        <w:spacing w:after="0" w:line="207" w:lineRule="exact"/>
        <w:tabs>
          <w:tab w:leader="none" w:pos="660" w:val="left"/>
        </w:tabs>
        <w:numPr>
          <w:ilvl w:val="1"/>
          <w:numId w:val="5"/>
        </w:numPr>
        <w:rPr>
          <w:rFonts w:ascii="Arial" w:cs="Arial" w:eastAsia="Arial" w:hAnsi="Arial"/>
          <w:sz w:val="18"/>
          <w:szCs w:val="18"/>
          <w:color w:val="auto"/>
        </w:rPr>
      </w:pPr>
      <w:r>
        <w:rPr>
          <w:rFonts w:ascii="MS PGothic" w:cs="MS PGothic" w:eastAsia="MS PGothic" w:hAnsi="MS PGothic"/>
          <w:sz w:val="18"/>
          <w:szCs w:val="18"/>
          <w:color w:val="auto"/>
        </w:rPr>
        <w:t>☒</w:t>
      </w:r>
    </w:p>
    <w:p>
      <w:pPr>
        <w:spacing w:after="0" w:line="22"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25" w:lineRule="exact"/>
        <w:rPr>
          <w:rFonts w:ascii="Arial" w:cs="Arial" w:eastAsia="Arial" w:hAnsi="Arial"/>
          <w:sz w:val="18"/>
          <w:szCs w:val="18"/>
          <w:color w:val="auto"/>
        </w:rPr>
      </w:pPr>
    </w:p>
    <w:p>
      <w:pPr>
        <w:ind w:left="380" w:hanging="284"/>
        <w:spacing w:after="0"/>
        <w:tabs>
          <w:tab w:leader="none" w:pos="3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-408305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-133985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Delaware Limited Partnership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240"/>
        <w:spacing w:after="0"/>
        <w:rPr>
          <w:sz w:val="20"/>
          <w:szCs w:val="20"/>
          <w:color w:val="auto"/>
        </w:rPr>
      </w:pPr>
      <w:r>
        <w:rPr>
          <w:rFonts w:ascii="Arial" w:cs="Arial" w:eastAsia="Arial" w:hAnsi="Arial"/>
          <w:sz w:val="18"/>
          <w:szCs w:val="18"/>
          <w:color w:val="auto"/>
        </w:rPr>
        <w:t>5. Sole Voting Power</w:t>
      </w:r>
    </w:p>
    <w:p>
      <w:pPr>
        <w:spacing w:after="0" w:line="212" w:lineRule="exact"/>
        <w:rPr>
          <w:sz w:val="24"/>
          <w:szCs w:val="24"/>
          <w:color w:val="auto"/>
        </w:rPr>
      </w:pPr>
    </w:p>
    <w:tbl>
      <w:tblPr>
        <w:tblLayout w:type="fixed"/>
        <w:tblInd w:w="0" w:type="dxa"/>
        <w:tblCellMar>
          <w:top w:w="0" w:type="dxa"/>
          <w:left w:w="0" w:type="dxa"/>
          <w:bottom w:w="0" w:type="dxa"/>
          <w:right w:w="0" w:type="dxa"/>
        </w:tblCellMar>
      </w:tblPr>
      <w:tr>
        <w:trPr>
          <w:trHeight w:val="278"/>
        </w:trPr>
        <w:tc>
          <w:tcPr>
            <w:tcW w:w="1040" w:type="dxa"/>
            <w:vAlign w:val="bottom"/>
          </w:tcPr>
          <w:p>
            <w:pPr>
              <w:spacing w:after="0"/>
              <w:rPr>
                <w:sz w:val="20"/>
                <w:szCs w:val="20"/>
                <w:color w:val="auto"/>
              </w:rPr>
            </w:pPr>
            <w:r>
              <w:rPr>
                <w:rFonts w:ascii="Arial" w:cs="Arial" w:eastAsia="Arial" w:hAnsi="Arial"/>
                <w:sz w:val="18"/>
                <w:szCs w:val="18"/>
                <w:color w:val="auto"/>
              </w:rPr>
              <w:t>Number of</w:t>
            </w:r>
          </w:p>
        </w:tc>
        <w:tc>
          <w:tcPr>
            <w:tcW w:w="360" w:type="dxa"/>
            <w:vAlign w:val="bottom"/>
            <w:tcBorders>
              <w:bottom w:val="single" w:sz="8" w:color="auto"/>
            </w:tcBorders>
          </w:tcPr>
          <w:p>
            <w:pPr>
              <w:spacing w:after="0"/>
              <w:rPr>
                <w:sz w:val="24"/>
                <w:szCs w:val="24"/>
                <w:color w:val="auto"/>
              </w:rPr>
            </w:pPr>
          </w:p>
        </w:tc>
        <w:tc>
          <w:tcPr>
            <w:tcW w:w="10020" w:type="dxa"/>
            <w:vAlign w:val="bottom"/>
            <w:tcBorders>
              <w:bottom w:val="single" w:sz="8" w:color="auto"/>
            </w:tcBorders>
          </w:tcPr>
          <w:p>
            <w:pPr>
              <w:ind w:left="400"/>
              <w:spacing w:after="0"/>
              <w:rPr>
                <w:sz w:val="20"/>
                <w:szCs w:val="20"/>
                <w:color w:val="auto"/>
              </w:rPr>
            </w:pPr>
            <w:r>
              <w:rPr>
                <w:rFonts w:ascii="Arial" w:cs="Arial" w:eastAsia="Arial" w:hAnsi="Arial"/>
                <w:sz w:val="22"/>
                <w:szCs w:val="22"/>
                <w:color w:val="auto"/>
              </w:rPr>
              <w:t>2252083 **see Note 1**</w:t>
            </w:r>
          </w:p>
        </w:tc>
        <w:tc>
          <w:tcPr>
            <w:tcW w:w="0" w:type="dxa"/>
            <w:vAlign w:val="bottom"/>
          </w:tcPr>
          <w:p>
            <w:pPr>
              <w:spacing w:after="0"/>
              <w:rPr>
                <w:sz w:val="1"/>
                <w:szCs w:val="1"/>
                <w:color w:val="auto"/>
              </w:rPr>
            </w:pPr>
          </w:p>
        </w:tc>
      </w:tr>
      <w:tr>
        <w:trPr>
          <w:trHeight w:val="242"/>
        </w:trPr>
        <w:tc>
          <w:tcPr>
            <w:tcW w:w="1040" w:type="dxa"/>
            <w:vAlign w:val="bottom"/>
          </w:tcPr>
          <w:p>
            <w:pPr>
              <w:spacing w:after="0"/>
              <w:rPr>
                <w:sz w:val="20"/>
                <w:szCs w:val="20"/>
                <w:color w:val="auto"/>
              </w:rPr>
            </w:pPr>
            <w:r>
              <w:rPr>
                <w:rFonts w:ascii="Arial" w:cs="Arial" w:eastAsia="Arial" w:hAnsi="Arial"/>
                <w:sz w:val="18"/>
                <w:szCs w:val="18"/>
                <w:color w:val="auto"/>
              </w:rPr>
              <w:t>Shares</w:t>
            </w:r>
          </w:p>
        </w:tc>
        <w:tc>
          <w:tcPr>
            <w:tcW w:w="360" w:type="dxa"/>
            <w:vAlign w:val="bottom"/>
          </w:tcPr>
          <w:p>
            <w:pPr>
              <w:jc w:val="right"/>
              <w:spacing w:after="0"/>
              <w:rPr>
                <w:sz w:val="20"/>
                <w:szCs w:val="20"/>
                <w:color w:val="auto"/>
              </w:rPr>
            </w:pPr>
            <w:r>
              <w:rPr>
                <w:rFonts w:ascii="Arial" w:cs="Arial" w:eastAsia="Arial" w:hAnsi="Arial"/>
                <w:sz w:val="18"/>
                <w:szCs w:val="18"/>
                <w:color w:val="auto"/>
              </w:rPr>
              <w:t>6.</w:t>
            </w:r>
          </w:p>
        </w:tc>
        <w:tc>
          <w:tcPr>
            <w:tcW w:w="10020" w:type="dxa"/>
            <w:vAlign w:val="bottom"/>
          </w:tcPr>
          <w:p>
            <w:pPr>
              <w:ind w:left="20"/>
              <w:spacing w:after="0"/>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Beneficially</w:t>
            </w:r>
          </w:p>
        </w:tc>
        <w:tc>
          <w:tcPr>
            <w:tcW w:w="360" w:type="dxa"/>
            <w:vAlign w:val="bottom"/>
          </w:tcPr>
          <w:p>
            <w:pPr>
              <w:spacing w:after="0"/>
              <w:rPr>
                <w:sz w:val="18"/>
                <w:szCs w:val="18"/>
                <w:color w:val="auto"/>
              </w:rPr>
            </w:pPr>
          </w:p>
        </w:tc>
        <w:tc>
          <w:tcPr>
            <w:tcW w:w="10020" w:type="dxa"/>
            <w:vAlign w:val="bottom"/>
            <w:vMerge w:val="restart"/>
          </w:tcPr>
          <w:p>
            <w:pPr>
              <w:ind w:left="400"/>
              <w:spacing w:after="0"/>
              <w:rPr>
                <w:sz w:val="20"/>
                <w:szCs w:val="20"/>
                <w:color w:val="auto"/>
              </w:rPr>
            </w:pPr>
            <w:r>
              <w:rPr>
                <w:rFonts w:ascii="Arial" w:cs="Arial" w:eastAsia="Arial" w:hAnsi="Arial"/>
                <w:sz w:val="22"/>
                <w:szCs w:val="22"/>
                <w:color w:val="auto"/>
              </w:rPr>
              <w:t>0</w:t>
            </w:r>
          </w:p>
        </w:tc>
        <w:tc>
          <w:tcPr>
            <w:tcW w:w="0" w:type="dxa"/>
            <w:vAlign w:val="bottom"/>
          </w:tcPr>
          <w:p>
            <w:pPr>
              <w:spacing w:after="0"/>
              <w:rPr>
                <w:sz w:val="1"/>
                <w:szCs w:val="1"/>
                <w:color w:val="auto"/>
              </w:rPr>
            </w:pPr>
          </w:p>
        </w:tc>
      </w:tr>
      <w:tr>
        <w:trPr>
          <w:trHeight w:val="222"/>
        </w:trPr>
        <w:tc>
          <w:tcPr>
            <w:tcW w:w="1040" w:type="dxa"/>
            <w:vAlign w:val="bottom"/>
          </w:tcPr>
          <w:p>
            <w:pPr>
              <w:spacing w:after="0"/>
              <w:rPr>
                <w:sz w:val="20"/>
                <w:szCs w:val="20"/>
                <w:color w:val="auto"/>
              </w:rPr>
            </w:pPr>
            <w:r>
              <w:rPr>
                <w:rFonts w:ascii="Arial" w:cs="Arial" w:eastAsia="Arial" w:hAnsi="Arial"/>
                <w:sz w:val="18"/>
                <w:szCs w:val="18"/>
                <w:color w:val="auto"/>
              </w:rPr>
              <w:t>Owned by</w:t>
            </w:r>
          </w:p>
        </w:tc>
        <w:tc>
          <w:tcPr>
            <w:tcW w:w="360" w:type="dxa"/>
            <w:vAlign w:val="bottom"/>
            <w:tcBorders>
              <w:bottom w:val="single" w:sz="8" w:color="auto"/>
            </w:tcBorders>
          </w:tcPr>
          <w:p>
            <w:pPr>
              <w:spacing w:after="0"/>
              <w:rPr>
                <w:sz w:val="19"/>
                <w:szCs w:val="19"/>
                <w:color w:val="auto"/>
              </w:rPr>
            </w:pPr>
          </w:p>
        </w:tc>
        <w:tc>
          <w:tcPr>
            <w:tcW w:w="100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90"/>
        </w:trPr>
        <w:tc>
          <w:tcPr>
            <w:tcW w:w="1040" w:type="dxa"/>
            <w:vAlign w:val="bottom"/>
          </w:tcPr>
          <w:p>
            <w:pPr>
              <w:spacing w:after="0" w:line="190" w:lineRule="exact"/>
              <w:rPr>
                <w:sz w:val="20"/>
                <w:szCs w:val="20"/>
                <w:color w:val="auto"/>
              </w:rPr>
            </w:pPr>
            <w:r>
              <w:rPr>
                <w:rFonts w:ascii="Arial" w:cs="Arial" w:eastAsia="Arial" w:hAnsi="Arial"/>
                <w:sz w:val="18"/>
                <w:szCs w:val="18"/>
                <w:color w:val="auto"/>
              </w:rPr>
              <w:t>Each</w:t>
            </w:r>
          </w:p>
        </w:tc>
        <w:tc>
          <w:tcPr>
            <w:tcW w:w="360" w:type="dxa"/>
            <w:vAlign w:val="bottom"/>
          </w:tcPr>
          <w:p>
            <w:pPr>
              <w:jc w:val="right"/>
              <w:spacing w:after="0" w:line="190" w:lineRule="exact"/>
              <w:rPr>
                <w:sz w:val="20"/>
                <w:szCs w:val="20"/>
                <w:color w:val="auto"/>
              </w:rPr>
            </w:pPr>
            <w:r>
              <w:rPr>
                <w:rFonts w:ascii="Arial" w:cs="Arial" w:eastAsia="Arial" w:hAnsi="Arial"/>
                <w:sz w:val="18"/>
                <w:szCs w:val="18"/>
                <w:color w:val="auto"/>
              </w:rPr>
              <w:t>7.</w:t>
            </w:r>
          </w:p>
        </w:tc>
        <w:tc>
          <w:tcPr>
            <w:tcW w:w="10020" w:type="dxa"/>
            <w:vAlign w:val="bottom"/>
          </w:tcPr>
          <w:p>
            <w:pPr>
              <w:ind w:left="20"/>
              <w:spacing w:after="0" w:line="190"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Reporting</w:t>
            </w:r>
          </w:p>
        </w:tc>
        <w:tc>
          <w:tcPr>
            <w:tcW w:w="36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tcPr>
          <w:p>
            <w:pPr>
              <w:spacing w:after="0"/>
              <w:rPr>
                <w:sz w:val="20"/>
                <w:szCs w:val="20"/>
                <w:color w:val="auto"/>
              </w:rPr>
            </w:pPr>
            <w:r>
              <w:rPr>
                <w:rFonts w:ascii="Arial" w:cs="Arial" w:eastAsia="Arial" w:hAnsi="Arial"/>
                <w:sz w:val="18"/>
                <w:szCs w:val="18"/>
                <w:color w:val="auto"/>
              </w:rPr>
              <w:t>Person</w:t>
            </w:r>
          </w:p>
        </w:tc>
        <w:tc>
          <w:tcPr>
            <w:tcW w:w="360" w:type="dxa"/>
            <w:vAlign w:val="bottom"/>
          </w:tcPr>
          <w:p>
            <w:pPr>
              <w:spacing w:after="0"/>
              <w:rPr>
                <w:sz w:val="18"/>
                <w:szCs w:val="18"/>
                <w:color w:val="auto"/>
              </w:rPr>
            </w:pPr>
          </w:p>
        </w:tc>
        <w:tc>
          <w:tcPr>
            <w:tcW w:w="10020" w:type="dxa"/>
            <w:vAlign w:val="bottom"/>
          </w:tcPr>
          <w:p>
            <w:pPr>
              <w:ind w:left="400"/>
              <w:spacing w:after="0" w:line="217" w:lineRule="exact"/>
              <w:rPr>
                <w:sz w:val="20"/>
                <w:szCs w:val="20"/>
                <w:color w:val="auto"/>
              </w:rPr>
            </w:pPr>
            <w:r>
              <w:rPr>
                <w:rFonts w:ascii="Arial" w:cs="Arial" w:eastAsia="Arial" w:hAnsi="Arial"/>
                <w:sz w:val="22"/>
                <w:szCs w:val="22"/>
                <w:color w:val="auto"/>
              </w:rPr>
              <w:t>2366493 **see Note 1**</w:t>
            </w:r>
          </w:p>
        </w:tc>
        <w:tc>
          <w:tcPr>
            <w:tcW w:w="0" w:type="dxa"/>
            <w:vAlign w:val="bottom"/>
          </w:tcPr>
          <w:p>
            <w:pPr>
              <w:spacing w:after="0"/>
              <w:rPr>
                <w:sz w:val="1"/>
                <w:szCs w:val="1"/>
                <w:color w:val="auto"/>
              </w:rPr>
            </w:pPr>
          </w:p>
        </w:tc>
      </w:tr>
      <w:tr>
        <w:trPr>
          <w:trHeight w:val="62"/>
        </w:trPr>
        <w:tc>
          <w:tcPr>
            <w:tcW w:w="1040" w:type="dxa"/>
            <w:vAlign w:val="bottom"/>
            <w:vMerge w:val="restart"/>
          </w:tcPr>
          <w:p>
            <w:pPr>
              <w:spacing w:after="0"/>
              <w:rPr>
                <w:sz w:val="20"/>
                <w:szCs w:val="20"/>
                <w:color w:val="auto"/>
              </w:rPr>
            </w:pPr>
            <w:r>
              <w:rPr>
                <w:rFonts w:ascii="Arial" w:cs="Arial" w:eastAsia="Arial" w:hAnsi="Arial"/>
                <w:sz w:val="18"/>
                <w:szCs w:val="18"/>
                <w:color w:val="auto"/>
              </w:rPr>
              <w:t>With</w:t>
            </w:r>
          </w:p>
        </w:tc>
        <w:tc>
          <w:tcPr>
            <w:tcW w:w="360" w:type="dxa"/>
            <w:vAlign w:val="bottom"/>
            <w:tcBorders>
              <w:bottom w:val="single" w:sz="8" w:color="auto"/>
            </w:tcBorders>
          </w:tcPr>
          <w:p>
            <w:pPr>
              <w:spacing w:after="0"/>
              <w:rPr>
                <w:sz w:val="5"/>
                <w:szCs w:val="5"/>
                <w:color w:val="auto"/>
              </w:rPr>
            </w:pPr>
          </w:p>
        </w:tc>
        <w:tc>
          <w:tcPr>
            <w:tcW w:w="100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0"/>
        </w:trPr>
        <w:tc>
          <w:tcPr>
            <w:tcW w:w="1040" w:type="dxa"/>
            <w:vAlign w:val="bottom"/>
            <w:vMerge w:val="continue"/>
          </w:tcPr>
          <w:p>
            <w:pPr>
              <w:spacing w:after="0"/>
              <w:rPr>
                <w:sz w:val="12"/>
                <w:szCs w:val="12"/>
                <w:color w:val="auto"/>
              </w:rPr>
            </w:pP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8.</w:t>
            </w:r>
          </w:p>
        </w:tc>
        <w:tc>
          <w:tcPr>
            <w:tcW w:w="10020" w:type="dxa"/>
            <w:vAlign w:val="bottom"/>
            <w:vMerge w:val="restart"/>
          </w:tcPr>
          <w:p>
            <w:pPr>
              <w:ind w:left="20"/>
              <w:spacing w:after="0"/>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76"/>
        </w:trPr>
        <w:tc>
          <w:tcPr>
            <w:tcW w:w="1040" w:type="dxa"/>
            <w:vAlign w:val="bottom"/>
          </w:tcPr>
          <w:p>
            <w:pPr>
              <w:spacing w:after="0"/>
              <w:rPr>
                <w:sz w:val="6"/>
                <w:szCs w:val="6"/>
                <w:color w:val="auto"/>
              </w:rPr>
            </w:pPr>
          </w:p>
        </w:tc>
        <w:tc>
          <w:tcPr>
            <w:tcW w:w="360" w:type="dxa"/>
            <w:vAlign w:val="bottom"/>
            <w:vMerge w:val="continue"/>
          </w:tcPr>
          <w:p>
            <w:pPr>
              <w:spacing w:after="0"/>
              <w:rPr>
                <w:sz w:val="6"/>
                <w:szCs w:val="6"/>
                <w:color w:val="auto"/>
              </w:rPr>
            </w:pPr>
          </w:p>
        </w:tc>
        <w:tc>
          <w:tcPr>
            <w:tcW w:w="100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bl>
    <w:p>
      <w:pPr>
        <w:spacing w:after="0" w:line="188" w:lineRule="exact"/>
        <w:rPr>
          <w:sz w:val="24"/>
          <w:szCs w:val="24"/>
          <w:color w:val="auto"/>
        </w:rPr>
      </w:pPr>
    </w:p>
    <w:p>
      <w:pPr>
        <w:ind w:left="1800"/>
        <w:spacing w:after="0"/>
        <w:rPr>
          <w:sz w:val="20"/>
          <w:szCs w:val="20"/>
          <w:color w:val="auto"/>
        </w:rPr>
      </w:pPr>
      <w:r>
        <w:rPr>
          <w:rFonts w:ascii="Arial" w:cs="Arial" w:eastAsia="Arial" w:hAnsi="Arial"/>
          <w:sz w:val="22"/>
          <w:szCs w:val="22"/>
          <w:color w:val="auto"/>
        </w:rPr>
        <w:t>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ind w:left="100"/>
        <w:spacing w:after="0"/>
        <w:tabs>
          <w:tab w:leader="none" w:pos="360" w:val="left"/>
        </w:tabs>
        <w:rPr>
          <w:sz w:val="20"/>
          <w:szCs w:val="20"/>
          <w:color w:val="auto"/>
        </w:rPr>
      </w:pPr>
      <w:r>
        <w:rPr>
          <w:rFonts w:ascii="Arial" w:cs="Arial" w:eastAsia="Arial" w:hAnsi="Arial"/>
          <w:sz w:val="18"/>
          <w:szCs w:val="18"/>
          <w:color w:val="auto"/>
        </w:rPr>
        <w:t>9.</w:t>
      </w:r>
      <w:r>
        <w:rPr>
          <w:sz w:val="20"/>
          <w:szCs w:val="20"/>
          <w:color w:val="auto"/>
        </w:rPr>
        <w:tab/>
      </w:r>
      <w:r>
        <w:rPr>
          <w:rFonts w:ascii="Arial" w:cs="Arial" w:eastAsia="Arial" w:hAnsi="Arial"/>
          <w:sz w:val="16"/>
          <w:szCs w:val="16"/>
          <w:color w:val="auto"/>
        </w:rPr>
        <w:t>Aggregate Amount Beneficially Owned by Each Reporting Person</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2366493 **see Note 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10.</w:t>
      </w:r>
      <w:r>
        <w:rPr>
          <w:sz w:val="20"/>
          <w:szCs w:val="20"/>
          <w:color w:val="auto"/>
        </w:rPr>
        <w:tab/>
      </w:r>
      <w:r>
        <w:rPr>
          <w:rFonts w:ascii="Arial" w:cs="Arial" w:eastAsia="Arial" w:hAnsi="Arial"/>
          <w:sz w:val="15"/>
          <w:szCs w:val="15"/>
          <w:color w:val="auto"/>
        </w:rPr>
        <w:t>Check if the Aggregate Amount in Row (9) Excludes Certain Shares (See Instructions)</w:t>
      </w:r>
    </w:p>
    <w:p>
      <w:pPr>
        <w:spacing w:after="0" w:line="212" w:lineRule="exact"/>
        <w:rPr>
          <w:sz w:val="24"/>
          <w:szCs w:val="24"/>
          <w:color w:val="auto"/>
        </w:rPr>
      </w:pPr>
    </w:p>
    <w:p>
      <w:pPr>
        <w:ind w:left="1020"/>
        <w:spacing w:after="0"/>
        <w:rPr>
          <w:sz w:val="20"/>
          <w:szCs w:val="20"/>
          <w:color w:val="auto"/>
        </w:rPr>
      </w:pPr>
      <w:r>
        <w:rPr>
          <w:rFonts w:ascii="Arial" w:cs="Arial" w:eastAsia="Arial" w:hAnsi="Arial"/>
          <w:sz w:val="22"/>
          <w:szCs w:val="22"/>
          <w:color w:val="auto"/>
        </w:rPr>
        <w:t>N/A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4"/>
          <w:szCs w:val="24"/>
          <w:color w:val="auto"/>
        </w:rPr>
      </w:pPr>
    </w:p>
    <w:p>
      <w:pPr>
        <w:spacing w:after="0"/>
        <w:tabs>
          <w:tab w:leader="none" w:pos="3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5"/>
          <w:szCs w:val="15"/>
          <w:color w:val="auto"/>
        </w:rPr>
        <w:t>Percent of Class Represented by Amount in Row (9)</w:t>
      </w:r>
    </w:p>
    <w:p>
      <w:pPr>
        <w:sectPr>
          <w:pgSz w:w="11900" w:h="16838" w:orient="portrait"/>
          <w:cols w:equalWidth="0" w:num="1">
            <w:col w:w="11420"/>
          </w:cols>
          <w:pgMar w:left="240" w:top="666" w:right="239" w:bottom="0" w:gutter="0" w:footer="0" w:header="0"/>
        </w:sectPr>
      </w:pPr>
    </w:p>
    <w:bookmarkStart w:id="1" w:name="page2"/>
    <w:bookmarkEnd w:id="1"/>
    <w:p>
      <w:pPr>
        <w:ind w:left="1020"/>
        <w:spacing w:after="0"/>
        <w:rPr>
          <w:sz w:val="20"/>
          <w:szCs w:val="20"/>
          <w:color w:val="auto"/>
        </w:rPr>
      </w:pPr>
      <w:r>
        <w:rPr>
          <w:rFonts w:ascii="Arial" w:cs="Arial" w:eastAsia="Arial" w:hAnsi="Arial"/>
          <w:sz w:val="22"/>
          <w:szCs w:val="22"/>
          <w:color w:val="auto"/>
        </w:rPr>
        <w:t>6.77%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 w:lineRule="exact"/>
        <w:rPr>
          <w:sz w:val="20"/>
          <w:szCs w:val="20"/>
          <w:color w:val="auto"/>
        </w:rPr>
      </w:pPr>
    </w:p>
    <w:p>
      <w:pPr>
        <w:spacing w:after="0"/>
        <w:tabs>
          <w:tab w:leader="none" w:pos="36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5"/>
          <w:szCs w:val="15"/>
          <w:color w:val="auto"/>
        </w:rPr>
        <w:t>Type of Reporting Person (See Instructions)</w:t>
      </w:r>
    </w:p>
    <w:p>
      <w:pPr>
        <w:spacing w:after="0" w:line="212" w:lineRule="exact"/>
        <w:rPr>
          <w:sz w:val="20"/>
          <w:szCs w:val="20"/>
          <w:color w:val="auto"/>
        </w:rPr>
      </w:pPr>
    </w:p>
    <w:p>
      <w:pPr>
        <w:ind w:left="1020"/>
        <w:spacing w:after="0"/>
        <w:rPr>
          <w:sz w:val="20"/>
          <w:szCs w:val="20"/>
          <w:color w:val="auto"/>
        </w:rPr>
      </w:pPr>
      <w:r>
        <w:rPr>
          <w:rFonts w:ascii="Arial" w:cs="Arial" w:eastAsia="Arial" w:hAnsi="Arial"/>
          <w:sz w:val="22"/>
          <w:szCs w:val="22"/>
          <w:color w:val="auto"/>
        </w:rPr>
        <w:t>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15875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19"/>
          </w:cols>
          <w:pgMar w:left="240" w:top="186" w:right="1440" w:bottom="1440" w:gutter="0" w:footer="0" w:header="0"/>
        </w:sectPr>
      </w:pPr>
    </w:p>
    <w:bookmarkStart w:id="2" w:name="page3"/>
    <w:bookmarkEnd w:id="2"/>
    <w:p>
      <w:pPr>
        <w:spacing w:after="0"/>
        <w:rPr>
          <w:sz w:val="20"/>
          <w:szCs w:val="20"/>
          <w:color w:val="auto"/>
        </w:rPr>
      </w:pPr>
      <w:r>
        <w:rPr>
          <w:rFonts w:ascii="Arial" w:cs="Arial" w:eastAsia="Arial" w:hAnsi="Arial"/>
          <w:sz w:val="18"/>
          <w:szCs w:val="18"/>
          <w:color w:val="auto"/>
        </w:rPr>
        <w:t>Item 1.</w:t>
      </w:r>
    </w:p>
    <w:p>
      <w:pPr>
        <w:spacing w:after="0" w:line="117" w:lineRule="exact"/>
        <w:rPr>
          <w:sz w:val="20"/>
          <w:szCs w:val="20"/>
          <w:color w:val="auto"/>
        </w:rPr>
      </w:pPr>
    </w:p>
    <w:p>
      <w:pPr>
        <w:ind w:left="1320" w:hanging="434"/>
        <w:spacing w:after="0"/>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Name of Issuer</w:t>
      </w:r>
    </w:p>
    <w:p>
      <w:pPr>
        <w:spacing w:after="0" w:line="200" w:lineRule="exact"/>
        <w:rPr>
          <w:sz w:val="20"/>
          <w:szCs w:val="20"/>
          <w:color w:val="auto"/>
        </w:rPr>
      </w:pPr>
    </w:p>
    <w:p>
      <w:pPr>
        <w:spacing w:after="0" w:line="214" w:lineRule="exact"/>
        <w:rPr>
          <w:sz w:val="20"/>
          <w:szCs w:val="20"/>
          <w:color w:val="auto"/>
        </w:rPr>
      </w:pPr>
    </w:p>
    <w:p>
      <w:pPr>
        <w:ind w:left="1760" w:right="6420" w:hanging="874"/>
        <w:spacing w:after="0" w:line="405" w:lineRule="auto"/>
        <w:tabs>
          <w:tab w:leader="none" w:pos="1328" w:val="left"/>
        </w:tabs>
        <w:numPr>
          <w:ilvl w:val="0"/>
          <w:numId w:val="7"/>
        </w:numPr>
        <w:rPr>
          <w:rFonts w:ascii="Arial" w:cs="Arial" w:eastAsia="Arial" w:hAnsi="Arial"/>
          <w:sz w:val="16"/>
          <w:szCs w:val="16"/>
          <w:color w:val="auto"/>
        </w:rPr>
      </w:pPr>
      <w:r>
        <w:rPr>
          <w:rFonts w:ascii="Arial" w:cs="Arial" w:eastAsia="Arial" w:hAnsi="Arial"/>
          <w:sz w:val="16"/>
          <w:szCs w:val="16"/>
          <w:color w:val="auto"/>
        </w:rPr>
        <w:t>Address of Issuer’s Principal Executive Offices 3120 Forrer St, Cincinnati,OH 45209-1016</w:t>
      </w:r>
    </w:p>
    <w:p>
      <w:pPr>
        <w:spacing w:after="0"/>
        <w:rPr>
          <w:sz w:val="20"/>
          <w:szCs w:val="20"/>
          <w:color w:val="auto"/>
        </w:rPr>
      </w:pPr>
      <w:r>
        <w:rPr>
          <w:rFonts w:ascii="Arial" w:cs="Arial" w:eastAsia="Arial" w:hAnsi="Arial"/>
          <w:sz w:val="18"/>
          <w:szCs w:val="18"/>
          <w:color w:val="auto"/>
        </w:rPr>
        <w:t>Item 2.</w:t>
      </w:r>
    </w:p>
    <w:p>
      <w:pPr>
        <w:spacing w:after="0" w:line="117" w:lineRule="exact"/>
        <w:rPr>
          <w:sz w:val="20"/>
          <w:szCs w:val="20"/>
          <w:color w:val="auto"/>
        </w:rPr>
      </w:pPr>
    </w:p>
    <w:p>
      <w:pPr>
        <w:ind w:left="1320" w:hanging="434"/>
        <w:spacing w:after="0"/>
        <w:tabs>
          <w:tab w:leader="none" w:pos="1320" w:val="left"/>
        </w:tabs>
        <w:numPr>
          <w:ilvl w:val="0"/>
          <w:numId w:val="8"/>
        </w:numPr>
        <w:rPr>
          <w:rFonts w:ascii="Arial" w:cs="Arial" w:eastAsia="Arial" w:hAnsi="Arial"/>
          <w:sz w:val="18"/>
          <w:szCs w:val="18"/>
          <w:color w:val="auto"/>
        </w:rPr>
      </w:pPr>
      <w:r>
        <w:rPr>
          <w:rFonts w:ascii="Arial" w:cs="Arial" w:eastAsia="Arial" w:hAnsi="Arial"/>
          <w:sz w:val="18"/>
          <w:szCs w:val="18"/>
          <w:color w:val="auto"/>
        </w:rPr>
        <w:t>Name of Person Filing</w:t>
      </w:r>
    </w:p>
    <w:p>
      <w:pPr>
        <w:spacing w:after="0" w:line="200" w:lineRule="exact"/>
        <w:rPr>
          <w:sz w:val="20"/>
          <w:szCs w:val="20"/>
          <w:color w:val="auto"/>
        </w:rPr>
      </w:pPr>
    </w:p>
    <w:p>
      <w:pPr>
        <w:spacing w:after="0" w:line="214" w:lineRule="exact"/>
        <w:rPr>
          <w:sz w:val="20"/>
          <w:szCs w:val="20"/>
          <w:color w:val="auto"/>
        </w:rPr>
      </w:pPr>
    </w:p>
    <w:p>
      <w:pPr>
        <w:ind w:left="1320" w:hanging="434"/>
        <w:spacing w:after="0"/>
        <w:tabs>
          <w:tab w:leader="none" w:pos="1320" w:val="left"/>
        </w:tabs>
        <w:numPr>
          <w:ilvl w:val="0"/>
          <w:numId w:val="9"/>
        </w:numPr>
        <w:rPr>
          <w:rFonts w:ascii="Arial" w:cs="Arial" w:eastAsia="Arial" w:hAnsi="Arial"/>
          <w:sz w:val="18"/>
          <w:szCs w:val="18"/>
          <w:color w:val="auto"/>
        </w:rPr>
      </w:pPr>
      <w:r>
        <w:rPr>
          <w:rFonts w:ascii="Arial" w:cs="Arial" w:eastAsia="Arial" w:hAnsi="Arial"/>
          <w:sz w:val="18"/>
          <w:szCs w:val="18"/>
          <w:color w:val="auto"/>
        </w:rPr>
        <w:t>Address of Principal Business Office, or if none, Residence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1320" w:hanging="434"/>
        <w:spacing w:after="0"/>
        <w:tabs>
          <w:tab w:leader="none" w:pos="13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Citizenship</w:t>
      </w:r>
    </w:p>
    <w:p>
      <w:pPr>
        <w:spacing w:after="0" w:line="200" w:lineRule="exact"/>
        <w:rPr>
          <w:sz w:val="20"/>
          <w:szCs w:val="20"/>
          <w:color w:val="auto"/>
        </w:rPr>
      </w:pPr>
    </w:p>
    <w:p>
      <w:pPr>
        <w:spacing w:after="0" w:line="214" w:lineRule="exact"/>
        <w:rPr>
          <w:sz w:val="20"/>
          <w:szCs w:val="20"/>
          <w:color w:val="auto"/>
        </w:rPr>
      </w:pPr>
    </w:p>
    <w:p>
      <w:pPr>
        <w:ind w:left="1760" w:right="8020" w:hanging="874"/>
        <w:spacing w:after="0" w:line="405" w:lineRule="auto"/>
        <w:tabs>
          <w:tab w:leader="none" w:pos="1328" w:val="left"/>
        </w:tabs>
        <w:numPr>
          <w:ilvl w:val="0"/>
          <w:numId w:val="11"/>
        </w:numPr>
        <w:rPr>
          <w:rFonts w:ascii="Arial" w:cs="Arial" w:eastAsia="Arial" w:hAnsi="Arial"/>
          <w:sz w:val="16"/>
          <w:szCs w:val="16"/>
          <w:color w:val="auto"/>
        </w:rPr>
      </w:pPr>
      <w:r>
        <w:rPr>
          <w:rFonts w:ascii="Arial" w:cs="Arial" w:eastAsia="Arial" w:hAnsi="Arial"/>
          <w:sz w:val="16"/>
          <w:szCs w:val="16"/>
          <w:color w:val="auto"/>
        </w:rPr>
        <w:t>Title of Class of Securities Common Stock</w:t>
      </w:r>
    </w:p>
    <w:p>
      <w:pPr>
        <w:ind w:left="1760" w:right="8660" w:hanging="874"/>
        <w:spacing w:after="0" w:line="432" w:lineRule="auto"/>
        <w:tabs>
          <w:tab w:leader="none" w:pos="1328" w:val="left"/>
        </w:tabs>
        <w:numPr>
          <w:ilvl w:val="0"/>
          <w:numId w:val="11"/>
        </w:numPr>
        <w:rPr>
          <w:rFonts w:ascii="Arial" w:cs="Arial" w:eastAsia="Arial" w:hAnsi="Arial"/>
          <w:sz w:val="15"/>
          <w:szCs w:val="15"/>
          <w:color w:val="auto"/>
        </w:rPr>
      </w:pPr>
      <w:r>
        <w:rPr>
          <w:rFonts w:ascii="Arial" w:cs="Arial" w:eastAsia="Arial" w:hAnsi="Arial"/>
          <w:sz w:val="15"/>
          <w:szCs w:val="15"/>
          <w:color w:val="auto"/>
        </w:rPr>
        <w:t>CUSIP Number 125141101</w:t>
      </w:r>
    </w:p>
    <w:p>
      <w:pPr>
        <w:spacing w:after="0"/>
        <w:tabs>
          <w:tab w:leader="none" w:pos="860" w:val="left"/>
        </w:tabs>
        <w:rPr>
          <w:sz w:val="20"/>
          <w:szCs w:val="20"/>
          <w:color w:val="auto"/>
        </w:rPr>
      </w:pPr>
      <w:r>
        <w:rPr>
          <w:rFonts w:ascii="Arial" w:cs="Arial" w:eastAsia="Arial" w:hAnsi="Arial"/>
          <w:sz w:val="18"/>
          <w:szCs w:val="18"/>
          <w:color w:val="auto"/>
        </w:rPr>
        <w:t>Item 3.</w:t>
      </w:r>
      <w:r>
        <w:rPr>
          <w:sz w:val="20"/>
          <w:szCs w:val="20"/>
          <w:color w:val="auto"/>
        </w:rPr>
        <w:tab/>
      </w:r>
      <w:r>
        <w:rPr>
          <w:rFonts w:ascii="Arial" w:cs="Arial" w:eastAsia="Arial" w:hAnsi="Arial"/>
          <w:sz w:val="16"/>
          <w:szCs w:val="16"/>
          <w:color w:val="auto"/>
        </w:rPr>
        <w:t>If this statement is filed pursuant to Sec. 240.13d-1(b) or 240.13d-2(b) or (c), check whether the person filing is a:</w:t>
      </w:r>
    </w:p>
    <w:p>
      <w:pPr>
        <w:spacing w:after="0" w:line="85" w:lineRule="exact"/>
        <w:rPr>
          <w:sz w:val="20"/>
          <w:szCs w:val="20"/>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Broker or dealer registered under section 15 of the Act (15 U.S.C. 78o);</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Bank as defined in section 3(a)(6)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Insurance company as defined in section 3(a)(19) of the Act (15 U.S.C. 78c);</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Investment company registered under section 8 of the Investment Company Act of 1940 (15 U.S.C. 80a-8);</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investment adviser in accordance with Sec. 240.13d-1(b)(1)(ii)(E);</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An employee benefit plan or endowment fund in accordance with Sec. 240.13d-1(b)(1)(ii)(F);</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parent holding company or control person in accordance with Sec. 240.13d-1(b)(1)(ii)(G);</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savings associations as defined in Section 3(b) of the Federal Deposit Insurance Act (12 U.S.C. 1813);</w:t>
      </w:r>
    </w:p>
    <w:p>
      <w:pPr>
        <w:spacing w:after="0" w:line="117" w:lineRule="exact"/>
        <w:rPr>
          <w:rFonts w:ascii="Arial" w:cs="Arial" w:eastAsia="Arial" w:hAnsi="Arial"/>
          <w:sz w:val="18"/>
          <w:szCs w:val="18"/>
          <w:color w:val="auto"/>
        </w:rPr>
      </w:pPr>
    </w:p>
    <w:p>
      <w:pPr>
        <w:ind w:left="1700" w:hanging="814"/>
        <w:spacing w:after="0" w:line="236" w:lineRule="exact"/>
        <w:tabs>
          <w:tab w:leader="none" w:pos="1322"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church plan that is excluded from the definition of an investment company under section 3(c)(14) of the Investment Company Act of 1940 (15 U.S.C. 80a-3);</w:t>
      </w:r>
    </w:p>
    <w:p>
      <w:pPr>
        <w:spacing w:after="0" w:line="69"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A non-U.S. institution in accordance with Sec. 240.13d-1(b)(1)(ii)(J);</w:t>
      </w:r>
    </w:p>
    <w:p>
      <w:pPr>
        <w:spacing w:after="0" w:line="117" w:lineRule="exact"/>
        <w:rPr>
          <w:rFonts w:ascii="Arial" w:cs="Arial" w:eastAsia="Arial" w:hAnsi="Arial"/>
          <w:sz w:val="18"/>
          <w:szCs w:val="18"/>
          <w:color w:val="auto"/>
        </w:rPr>
      </w:pPr>
    </w:p>
    <w:p>
      <w:pPr>
        <w:ind w:left="1320" w:hanging="434"/>
        <w:spacing w:after="0" w:line="207" w:lineRule="exact"/>
        <w:tabs>
          <w:tab w:leader="none" w:pos="132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Group, in accordance with Sec. 240.13d-1(b)(1)(ii)(J).</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color w:val="auto"/>
        </w:rPr>
        <w:t>Provide the following information regarding the aggregate number and percentage of the class of securities of the issuer identified in Item 1.</w:t>
      </w:r>
    </w:p>
    <w:p>
      <w:pPr>
        <w:spacing w:after="0" w:line="117" w:lineRule="exact"/>
        <w:rPr>
          <w:sz w:val="20"/>
          <w:szCs w:val="20"/>
          <w:color w:val="auto"/>
        </w:rPr>
      </w:pPr>
    </w:p>
    <w:p>
      <w:pPr>
        <w:ind w:left="1760" w:right="7700" w:hanging="874"/>
        <w:spacing w:after="0" w:line="405" w:lineRule="auto"/>
        <w:tabs>
          <w:tab w:leader="none" w:pos="1328" w:val="left"/>
        </w:tabs>
        <w:numPr>
          <w:ilvl w:val="0"/>
          <w:numId w:val="13"/>
        </w:numPr>
        <w:rPr>
          <w:rFonts w:ascii="Arial" w:cs="Arial" w:eastAsia="Arial" w:hAnsi="Arial"/>
          <w:sz w:val="16"/>
          <w:szCs w:val="16"/>
          <w:color w:val="auto"/>
        </w:rPr>
      </w:pPr>
      <w:r>
        <w:rPr>
          <w:rFonts w:ascii="Arial" w:cs="Arial" w:eastAsia="Arial" w:hAnsi="Arial"/>
          <w:sz w:val="16"/>
          <w:szCs w:val="16"/>
          <w:color w:val="auto"/>
        </w:rPr>
        <w:t>Amount beneficially owned: 2366493 **see Note 1**</w:t>
      </w:r>
    </w:p>
    <w:p>
      <w:pPr>
        <w:ind w:left="1320" w:hanging="434"/>
        <w:spacing w:after="0"/>
        <w:tabs>
          <w:tab w:leader="none" w:pos="13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77"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6.77%</w:t>
      </w:r>
    </w:p>
    <w:p>
      <w:pPr>
        <w:sectPr>
          <w:pgSz w:w="11900" w:h="16838" w:orient="portrait"/>
          <w:cols w:equalWidth="0" w:num="1">
            <w:col w:w="11200"/>
          </w:cols>
          <w:pgMar w:left="240" w:top="131" w:right="459" w:bottom="1440" w:gutter="0" w:footer="0" w:header="0"/>
        </w:sectPr>
      </w:pPr>
    </w:p>
    <w:bookmarkStart w:id="3" w:name="page4"/>
    <w:bookmarkEnd w:id="3"/>
    <w:p>
      <w:pPr>
        <w:ind w:left="1680" w:hanging="781"/>
        <w:spacing w:after="0"/>
        <w:tabs>
          <w:tab w:leader="none" w:pos="16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Number of shares as to which the person has:</w:t>
      </w:r>
    </w:p>
    <w:p>
      <w:pPr>
        <w:spacing w:after="0" w:line="117" w:lineRule="exact"/>
        <w:rPr>
          <w:rFonts w:ascii="Arial" w:cs="Arial" w:eastAsia="Arial" w:hAnsi="Arial"/>
          <w:sz w:val="18"/>
          <w:szCs w:val="18"/>
          <w:color w:val="auto"/>
        </w:rPr>
      </w:pPr>
    </w:p>
    <w:p>
      <w:pPr>
        <w:ind w:left="2500" w:right="654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vote or to direct the vote: 2252083 **see Note 1**</w:t>
      </w:r>
    </w:p>
    <w:p>
      <w:pPr>
        <w:spacing w:after="0" w:line="24" w:lineRule="exact"/>
        <w:rPr>
          <w:rFonts w:ascii="Arial" w:cs="Arial" w:eastAsia="Arial" w:hAnsi="Arial"/>
          <w:sz w:val="18"/>
          <w:szCs w:val="18"/>
          <w:color w:val="auto"/>
        </w:rPr>
      </w:pPr>
    </w:p>
    <w:p>
      <w:pPr>
        <w:ind w:left="2500" w:right="638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vote or to direct the vote: 0</w:t>
      </w:r>
    </w:p>
    <w:p>
      <w:pPr>
        <w:spacing w:after="0" w:line="24" w:lineRule="exact"/>
        <w:rPr>
          <w:rFonts w:ascii="Arial" w:cs="Arial" w:eastAsia="Arial" w:hAnsi="Arial"/>
          <w:sz w:val="18"/>
          <w:szCs w:val="18"/>
          <w:color w:val="auto"/>
        </w:rPr>
      </w:pPr>
    </w:p>
    <w:p>
      <w:pPr>
        <w:ind w:left="2500" w:right="566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Sole power to dispose or to direct the disposition of: 2366493 **see Note 1**</w:t>
      </w:r>
    </w:p>
    <w:p>
      <w:pPr>
        <w:spacing w:after="0" w:line="24" w:lineRule="exact"/>
        <w:rPr>
          <w:rFonts w:ascii="Arial" w:cs="Arial" w:eastAsia="Arial" w:hAnsi="Arial"/>
          <w:sz w:val="18"/>
          <w:szCs w:val="18"/>
          <w:color w:val="auto"/>
        </w:rPr>
      </w:pPr>
    </w:p>
    <w:p>
      <w:pPr>
        <w:ind w:left="2500" w:right="5500" w:hanging="817"/>
        <w:spacing w:after="0" w:line="346" w:lineRule="auto"/>
        <w:tabs>
          <w:tab w:leader="none" w:pos="2068" w:val="left"/>
        </w:tabs>
        <w:numPr>
          <w:ilvl w:val="2"/>
          <w:numId w:val="14"/>
        </w:numPr>
        <w:rPr>
          <w:rFonts w:ascii="Arial" w:cs="Arial" w:eastAsia="Arial" w:hAnsi="Arial"/>
          <w:sz w:val="18"/>
          <w:szCs w:val="18"/>
          <w:color w:val="auto"/>
        </w:rPr>
      </w:pPr>
      <w:r>
        <w:rPr>
          <w:rFonts w:ascii="Arial" w:cs="Arial" w:eastAsia="Arial" w:hAnsi="Arial"/>
          <w:sz w:val="18"/>
          <w:szCs w:val="18"/>
          <w:color w:val="auto"/>
        </w:rPr>
        <w:t>Shared power to dispose or to direct the disposition of: 0</w:t>
      </w:r>
    </w:p>
    <w:p>
      <w:pPr>
        <w:spacing w:after="0" w:line="64" w:lineRule="exact"/>
        <w:rPr>
          <w:rFonts w:ascii="Arial" w:cs="Arial" w:eastAsia="Arial" w:hAnsi="Arial"/>
          <w:sz w:val="18"/>
          <w:szCs w:val="18"/>
          <w:color w:val="auto"/>
        </w:rPr>
      </w:pPr>
    </w:p>
    <w:p>
      <w:pPr>
        <w:ind w:left="920" w:firstLine="1"/>
        <w:spacing w:after="0" w:line="287" w:lineRule="auto"/>
        <w:tabs>
          <w:tab w:leader="none" w:pos="1139" w:val="left"/>
        </w:tabs>
        <w:numPr>
          <w:ilvl w:val="1"/>
          <w:numId w:val="14"/>
        </w:numPr>
        <w:rPr>
          <w:rFonts w:ascii="Arial" w:cs="Arial" w:eastAsia="Arial" w:hAnsi="Arial"/>
          <w:sz w:val="16"/>
          <w:szCs w:val="16"/>
          <w:color w:val="auto"/>
        </w:rPr>
      </w:pPr>
      <w:r>
        <w:rPr>
          <w:rFonts w:ascii="Arial" w:cs="Arial" w:eastAsia="Arial" w:hAnsi="Arial"/>
          <w:sz w:val="16"/>
          <w:szCs w:val="16"/>
          <w:color w:val="auto"/>
        </w:rPr>
        <w:t>Note 1 ** Dimensional Fund Advisors LP, an investment adviser registered under Section 203 of the Investment Advisors Act of 1940, furnishes investment advice to four investment companies registered under the Investment Company Act of 1940, and serves as investment manager or sub-adviser to certain other commingled funds, group trusts and separate accounts (such investment companies, trusts and accounts, collectively referred to as the “Funds”). In certain cases, subsidiaries of Dimensional Fund Advisors LP may act as an adviser or sub-adviser to certain Funds. In its role as investment advisor, sub-adviser and/or manager, Dimensional Fund Advisors LP or its subsidiaries (collectively, “Dimensional”) may possess voting and/or investment power over the securities of the Issuer that are owned by the Funds, and may be deemed to be the beneficial owner of the shares of the Issuer held by the Funds. However, all securities reported in this schedule are owned by the Funds. Dimensional disclaims beneficial ownership of such securities. In addition, the filing of this Schedule 13G shall not be construed as an admission that the reporting person or any of its affiliates is the beneficial owner of any securities covered by this Schedule 13G for any other purposes than Section 13(d) of the Securities Exchange Act of 1934.</w:t>
      </w:r>
    </w:p>
    <w:p>
      <w:pPr>
        <w:spacing w:after="0" w:line="109"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5.</w:t>
      </w:r>
      <w:r>
        <w:rPr>
          <w:sz w:val="20"/>
          <w:szCs w:val="20"/>
          <w:color w:val="auto"/>
        </w:rPr>
        <w:tab/>
      </w:r>
      <w:r>
        <w:rPr>
          <w:rFonts w:ascii="Arial" w:cs="Arial" w:eastAsia="Arial" w:hAnsi="Arial"/>
          <w:sz w:val="15"/>
          <w:szCs w:val="15"/>
          <w:color w:val="auto"/>
        </w:rPr>
        <w:t>Ownership of Five Percent or Less of a Class</w:t>
      </w:r>
    </w:p>
    <w:p>
      <w:pPr>
        <w:spacing w:after="0" w:line="117"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If this statement is being filed to report the fact that as of the date hereof the reporting person has ceased to be the beneficial owner of more than five percent of the class of securities, check the following [ ].</w:t>
      </w:r>
    </w:p>
    <w:p>
      <w:pPr>
        <w:spacing w:after="0" w:line="78"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6.</w:t>
      </w:r>
      <w:r>
        <w:rPr>
          <w:sz w:val="20"/>
          <w:szCs w:val="20"/>
          <w:color w:val="auto"/>
        </w:rPr>
        <w:tab/>
      </w:r>
      <w:r>
        <w:rPr>
          <w:rFonts w:ascii="Arial" w:cs="Arial" w:eastAsia="Arial" w:hAnsi="Arial"/>
          <w:sz w:val="16"/>
          <w:szCs w:val="16"/>
          <w:color w:val="auto"/>
        </w:rPr>
        <w:t>Ownership of More than Five Percent on Behalf of Another Person</w:t>
      </w:r>
    </w:p>
    <w:p>
      <w:pPr>
        <w:spacing w:after="0" w:line="117" w:lineRule="exact"/>
        <w:rPr>
          <w:sz w:val="20"/>
          <w:szCs w:val="20"/>
          <w:color w:val="auto"/>
        </w:rPr>
      </w:pPr>
    </w:p>
    <w:p>
      <w:pPr>
        <w:jc w:val="both"/>
        <w:ind w:left="920" w:right="80"/>
        <w:spacing w:after="0" w:line="306" w:lineRule="auto"/>
        <w:rPr>
          <w:sz w:val="20"/>
          <w:szCs w:val="20"/>
          <w:color w:val="auto"/>
        </w:rPr>
      </w:pPr>
      <w:r>
        <w:rPr>
          <w:rFonts w:ascii="Arial" w:cs="Arial" w:eastAsia="Arial" w:hAnsi="Arial"/>
          <w:sz w:val="16"/>
          <w:szCs w:val="16"/>
          <w:color w:val="auto"/>
        </w:rPr>
        <w:t>The Funds described in Note 1 above have the right to receive or the power to direct the receipt of dividends from, or the proceeds from the sale of the securities held in their respective accounts. To the knowledge of Dimensional, the interest of any one such Fund does not exceed 5% of the class of securities. Dimensional Fund Advisors LP disclaims beneficial ownership of all such securities.</w:t>
      </w:r>
    </w:p>
    <w:p>
      <w:pPr>
        <w:spacing w:after="0" w:line="53" w:lineRule="exact"/>
        <w:rPr>
          <w:sz w:val="20"/>
          <w:szCs w:val="20"/>
          <w:color w:val="auto"/>
        </w:rPr>
      </w:pPr>
    </w:p>
    <w:p>
      <w:pPr>
        <w:ind w:left="920" w:right="400" w:hanging="917"/>
        <w:spacing w:after="0" w:line="268" w:lineRule="auto"/>
        <w:tabs>
          <w:tab w:leader="none" w:pos="900" w:val="left"/>
        </w:tabs>
        <w:rPr>
          <w:sz w:val="20"/>
          <w:szCs w:val="20"/>
          <w:color w:val="auto"/>
        </w:rPr>
      </w:pPr>
      <w:r>
        <w:rPr>
          <w:rFonts w:ascii="Arial" w:cs="Arial" w:eastAsia="Arial" w:hAnsi="Arial"/>
          <w:sz w:val="18"/>
          <w:szCs w:val="18"/>
          <w:color w:val="auto"/>
        </w:rPr>
        <w:t>Item 7.</w:t>
      </w:r>
      <w:r>
        <w:rPr>
          <w:sz w:val="20"/>
          <w:szCs w:val="20"/>
          <w:color w:val="auto"/>
        </w:rPr>
        <w:tab/>
      </w:r>
      <w:r>
        <w:rPr>
          <w:rFonts w:ascii="Arial" w:cs="Arial" w:eastAsia="Arial" w:hAnsi="Arial"/>
          <w:sz w:val="18"/>
          <w:szCs w:val="18"/>
          <w:color w:val="auto"/>
        </w:rPr>
        <w:t>Identification and Classification of the Subsidiary Which Acquired the Security Being Reported on By the Parent Holding Company or Control Person.</w:t>
      </w:r>
    </w:p>
    <w:p>
      <w:pPr>
        <w:spacing w:after="0" w:line="78"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225"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8.</w:t>
      </w:r>
      <w:r>
        <w:rPr>
          <w:sz w:val="20"/>
          <w:szCs w:val="20"/>
          <w:color w:val="auto"/>
        </w:rPr>
        <w:tab/>
      </w:r>
      <w:r>
        <w:rPr>
          <w:rFonts w:ascii="Arial" w:cs="Arial" w:eastAsia="Arial" w:hAnsi="Arial"/>
          <w:sz w:val="16"/>
          <w:szCs w:val="16"/>
          <w:color w:val="auto"/>
        </w:rPr>
        <w:t>Identification and Classification of Members of the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9.</w:t>
      </w:r>
      <w:r>
        <w:rPr>
          <w:sz w:val="20"/>
          <w:szCs w:val="20"/>
          <w:color w:val="auto"/>
        </w:rPr>
        <w:tab/>
      </w:r>
      <w:r>
        <w:rPr>
          <w:rFonts w:ascii="Arial" w:cs="Arial" w:eastAsia="Arial" w:hAnsi="Arial"/>
          <w:sz w:val="16"/>
          <w:szCs w:val="16"/>
          <w:color w:val="auto"/>
        </w:rPr>
        <w:t>Notice of Dissolution of Group</w:t>
      </w:r>
    </w:p>
    <w:p>
      <w:pPr>
        <w:spacing w:after="0" w:line="117" w:lineRule="exact"/>
        <w:rPr>
          <w:sz w:val="20"/>
          <w:szCs w:val="20"/>
          <w:color w:val="auto"/>
        </w:rPr>
      </w:pPr>
    </w:p>
    <w:p>
      <w:pPr>
        <w:ind w:left="920"/>
        <w:spacing w:after="0"/>
        <w:rPr>
          <w:sz w:val="20"/>
          <w:szCs w:val="20"/>
          <w:color w:val="auto"/>
        </w:rPr>
      </w:pPr>
      <w:r>
        <w:rPr>
          <w:rFonts w:ascii="Arial" w:cs="Arial" w:eastAsia="Arial" w:hAnsi="Arial"/>
          <w:sz w:val="18"/>
          <w:szCs w:val="18"/>
          <w:color w:val="auto"/>
        </w:rPr>
        <w:t>N/A</w:t>
      </w:r>
    </w:p>
    <w:p>
      <w:pPr>
        <w:spacing w:after="0" w:line="117"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Item 10.</w:t>
      </w:r>
      <w:r>
        <w:rPr>
          <w:sz w:val="20"/>
          <w:szCs w:val="20"/>
          <w:color w:val="auto"/>
        </w:rPr>
        <w:tab/>
      </w:r>
      <w:r>
        <w:rPr>
          <w:rFonts w:ascii="Arial" w:cs="Arial" w:eastAsia="Arial" w:hAnsi="Arial"/>
          <w:sz w:val="16"/>
          <w:szCs w:val="16"/>
          <w:color w:val="auto"/>
        </w:rPr>
        <w:t>Certification</w:t>
      </w:r>
    </w:p>
    <w:p>
      <w:pPr>
        <w:spacing w:after="0" w:line="117" w:lineRule="exact"/>
        <w:rPr>
          <w:sz w:val="20"/>
          <w:szCs w:val="20"/>
          <w:color w:val="auto"/>
        </w:rPr>
      </w:pPr>
    </w:p>
    <w:p>
      <w:pPr>
        <w:ind w:left="1360" w:right="100"/>
        <w:spacing w:after="0" w:line="298" w:lineRule="auto"/>
        <w:rPr>
          <w:sz w:val="20"/>
          <w:szCs w:val="20"/>
          <w:color w:val="auto"/>
        </w:rPr>
      </w:pPr>
      <w:r>
        <w:rPr>
          <w:rFonts w:ascii="Arial" w:cs="Arial" w:eastAsia="Arial" w:hAnsi="Arial"/>
          <w:sz w:val="16"/>
          <w:szCs w:val="16"/>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Sec. 240.14a-11.</w:t>
      </w:r>
    </w:p>
    <w:p>
      <w:pPr>
        <w:sectPr>
          <w:pgSz w:w="11900" w:h="16838" w:orient="portrait"/>
          <w:cols w:equalWidth="0" w:num="1">
            <w:col w:w="11400"/>
          </w:cols>
          <w:pgMar w:left="240" w:top="239" w:right="259" w:bottom="1440" w:gutter="0" w:footer="0" w:header="0"/>
        </w:sectPr>
      </w:pPr>
    </w:p>
    <w:bookmarkStart w:id="4" w:name="page5"/>
    <w:bookmarkEnd w:id="4"/>
    <w:p>
      <w:pPr>
        <w:ind w:left="5200"/>
        <w:spacing w:after="0"/>
        <w:rPr>
          <w:sz w:val="20"/>
          <w:szCs w:val="20"/>
          <w:color w:val="auto"/>
        </w:rPr>
      </w:pPr>
      <w:r>
        <w:rPr>
          <w:rFonts w:ascii="Arial" w:cs="Arial" w:eastAsia="Arial" w:hAnsi="Arial"/>
          <w:sz w:val="18"/>
          <w:szCs w:val="18"/>
          <w:b w:val="1"/>
          <w:bCs w:val="1"/>
          <w:color w:val="auto"/>
        </w:rPr>
        <w:t>SIGNATURE</w:t>
      </w:r>
    </w:p>
    <w:p>
      <w:pPr>
        <w:spacing w:after="0" w:line="164"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DIMENSIONAL FUND ADVISORS LP</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February 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17475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174750"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Dimensional Holdings Inc., General Partner</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Christopher Crossan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46621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Global Chief Compliance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80010</wp:posOffset>
            </wp:positionV>
            <wp:extent cx="1758315"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758315" cy="8890"/>
                    </a:xfrm>
                    <a:prstGeom prst="rect">
                      <a:avLst/>
                    </a:prstGeom>
                    <a:noFill/>
                  </pic:spPr>
                </pic:pic>
              </a:graphicData>
            </a:graphic>
          </wp:anchor>
        </w:drawing>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Title</w:t>
      </w:r>
    </w:p>
    <w:sectPr>
      <w:pgSz w:w="11900" w:h="16838" w:orient="portrait"/>
      <w:cols w:equalWidth="0" w:num="1">
        <w:col w:w="10780"/>
      </w:cols>
      <w:pgMar w:left="240" w:top="125" w:right="8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
      <w:numFmt w:val="bullet"/>
      <w:start w:val="1"/>
    </w:lvl>
  </w:abstractNum>
  <w:abstractNum w:abstractNumId="2">
    <w:nsid w:val="515F007C"/>
    <w:multiLevelType w:val="hybridMultilevel"/>
    <w:lvl w:ilvl="0">
      <w:lvlJc w:val="left"/>
      <w:lvlText w:val="*"/>
      <w:numFmt w:val="bullet"/>
      <w:start w:val="1"/>
    </w:lvl>
  </w:abstractNum>
  <w:abstractNum w:abstractNumId="3">
    <w:nsid w:val="5BD062C2"/>
    <w:multiLevelType w:val="hybridMultilevel"/>
    <w:lvl w:ilvl="0">
      <w:lvlJc w:val="left"/>
      <w:lvlText w:val="%1."/>
      <w:numFmt w:val="decimal"/>
      <w:start w:val="1"/>
    </w:lvl>
  </w:abstractNum>
  <w:abstractNum w:abstractNumId="4">
    <w:nsid w:val="12200854"/>
    <w:multiLevelType w:val="hybridMultilevel"/>
    <w:lvl w:ilvl="0">
      <w:lvlJc w:val="left"/>
      <w:lvlText w:val="%1."/>
      <w:numFmt w:val="decimal"/>
      <w:start w:val="2"/>
    </w:lvl>
    <w:lvl w:ilvl="1">
      <w:lvlJc w:val="left"/>
      <w:lvlText w:val="(%2)"/>
      <w:numFmt w:val="lowerLetter"/>
      <w:start w:val="1"/>
    </w:lvl>
  </w:abstractNum>
  <w:abstractNum w:abstractNumId="5">
    <w:nsid w:val="4DB127F8"/>
    <w:multiLevelType w:val="hybridMultilevel"/>
    <w:lvl w:ilvl="0">
      <w:lvlJc w:val="left"/>
      <w:lvlText w:val="(%1)"/>
      <w:numFmt w:val="lowerLetter"/>
      <w:start w:val="1"/>
    </w:lvl>
  </w:abstractNum>
  <w:abstractNum w:abstractNumId="6">
    <w:nsid w:val="216231B"/>
    <w:multiLevelType w:val="hybridMultilevel"/>
    <w:lvl w:ilvl="0">
      <w:lvlJc w:val="left"/>
      <w:lvlText w:val="(%1)"/>
      <w:numFmt w:val="lowerLetter"/>
      <w:start w:val="2"/>
    </w:lvl>
  </w:abstractNum>
  <w:abstractNum w:abstractNumId="7">
    <w:nsid w:val="1F16E9E8"/>
    <w:multiLevelType w:val="hybridMultilevel"/>
    <w:lvl w:ilvl="0">
      <w:lvlJc w:val="left"/>
      <w:lvlText w:val="(%1)"/>
      <w:numFmt w:val="lowerLetter"/>
      <w:start w:val="1"/>
    </w:lvl>
  </w:abstractNum>
  <w:abstractNum w:abstractNumId="8">
    <w:nsid w:val="1190CDE7"/>
    <w:multiLevelType w:val="hybridMultilevel"/>
    <w:lvl w:ilvl="0">
      <w:lvlJc w:val="left"/>
      <w:lvlText w:val="(%1)"/>
      <w:numFmt w:val="lowerLetter"/>
      <w:start w:val="2"/>
    </w:lvl>
  </w:abstractNum>
  <w:abstractNum w:abstractNumId="9">
    <w:nsid w:val="66EF438D"/>
    <w:multiLevelType w:val="hybridMultilevel"/>
    <w:lvl w:ilvl="0">
      <w:lvlJc w:val="left"/>
      <w:lvlText w:val="(%1)"/>
      <w:numFmt w:val="lowerLetter"/>
      <w:start w:val="3"/>
    </w:lvl>
  </w:abstractNum>
  <w:abstractNum w:abstractNumId="10">
    <w:nsid w:val="140E0F76"/>
    <w:multiLevelType w:val="hybridMultilevel"/>
    <w:lvl w:ilvl="0">
      <w:lvlJc w:val="left"/>
      <w:lvlText w:val="(%1)"/>
      <w:numFmt w:val="lowerLetter"/>
      <w:start w:val="4"/>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lowerLetter"/>
      <w:start w:val="1"/>
    </w:lvl>
  </w:abstractNum>
  <w:abstractNum w:abstractNumId="13">
    <w:nsid w:val="DED7263"/>
    <w:multiLevelType w:val="hybridMultilevel"/>
    <w:lvl w:ilvl="0">
      <w:lvlJc w:val="left"/>
      <w:lvlText w:val="(%1)"/>
      <w:numFmt w:val="lowerLetter"/>
      <w:start w:val="3"/>
    </w:lvl>
    <w:lvl w:ilvl="1">
      <w:lvlJc w:val="left"/>
      <w:lvlText w:val="**"/>
      <w:numFmt w:val="bullet"/>
      <w:start w:val="1"/>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2020-01-09T19:39:01Z</dcterms:created>
  <dcterms:modified xsi:type="dcterms:W3CDTF">2020-01-09T19:39:01Z</dcterms:modified>
</cp:coreProperties>
</file>