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Eckl Matthew</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14651 NORTH DALLAS PARKWAY</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DALLAS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75254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CECO ENVIRONMENTAL CORP</w:t>
              </w:r>
            </w:hyperlink>
            <w:r>
              <w:rPr/>
              <w:t xml:space="preserve"> [ </w:t>
            </w:r>
            <w:r>
              <w:rPr>
                <w:rFonts w:ascii="Times;serif" w:hAnsi="Times;serif"/>
                <w:color w:val="0000FF"/>
                <w:sz w:val="24"/>
                <w:highlight w:val="white"/>
              </w:rPr>
              <w:t>CECE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Financial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02/12/2018</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02/12/2018</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20,000</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46,500</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Restricted Stock Units ("RSUs") granted pursuant to Mr. Eckl's employment agreement entered into in January 2017. Each RSU represents the right to receive one share of CECO Environmental Corp. common stock, subject to terms of the applicable award agreement. The RSUs vest in five substantially equal installments on the anniversary of the date of the grant, commencing on February 12, 2019.</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Paul M. Gohr as Attorney-in- Fact for Matthew Eckl</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02/13/2018</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694654" TargetMode="External"/><Relationship Id="rId4" Type="http://schemas.openxmlformats.org/officeDocument/2006/relationships/hyperlink" Target="http://www.sec.gov/cgi-bin/browse-edgar?action=getcompany&amp;CIK=000000319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587</Words>
  <CharactersWithSpaces>3723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