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1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155575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6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142240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4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133350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97" w:lineRule="exact"/>
        <w:rPr>
          <w:sz w:val="24"/>
          <w:szCs w:val="24"/>
          <w:color w:val="auto"/>
        </w:rPr>
      </w:pPr>
    </w:p>
    <w:tbl>
      <w:tblPr>
        <w:tblLayout w:type="fixed"/>
        <w:tblInd w:w="980" w:type="dxa"/>
        <w:tblCellMar>
          <w:top w:w="0" w:type="dxa"/>
          <w:left w:w="0" w:type="dxa"/>
          <w:bottom w:w="0" w:type="dxa"/>
          <w:right w:w="0" w:type="dxa"/>
        </w:tblCellMar>
      </w:tblPr>
      <w:tr>
        <w:trPr>
          <w:trHeight w:val="238"/>
        </w:trPr>
        <w:tc>
          <w:tcPr>
            <w:tcW w:w="3600" w:type="dxa"/>
            <w:vAlign w:val="bottom"/>
          </w:tcPr>
          <w:p>
            <w:pPr>
              <w:jc w:val="center"/>
              <w:ind w:right="1858"/>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520" w:type="dxa"/>
            <w:vAlign w:val="bottom"/>
          </w:tcPr>
          <w:p>
            <w:pPr>
              <w:jc w:val="center"/>
              <w:ind w:right="322"/>
              <w:spacing w:after="0"/>
              <w:rPr>
                <w:sz w:val="20"/>
                <w:szCs w:val="20"/>
                <w:color w:val="auto"/>
              </w:rPr>
            </w:pPr>
            <w:r>
              <w:rPr>
                <w:rFonts w:ascii="Times New Roman" w:cs="Times New Roman" w:eastAsia="Times New Roman" w:hAnsi="Times New Roman"/>
                <w:sz w:val="18"/>
                <w:szCs w:val="18"/>
                <w:b w:val="1"/>
                <w:bCs w:val="1"/>
                <w:color w:val="auto"/>
                <w:w w:val="98"/>
              </w:rPr>
              <w:t>000-7099</w:t>
            </w:r>
          </w:p>
        </w:tc>
        <w:tc>
          <w:tcPr>
            <w:tcW w:w="2900" w:type="dxa"/>
            <w:vAlign w:val="bottom"/>
          </w:tcPr>
          <w:p>
            <w:pPr>
              <w:jc w:val="center"/>
              <w:ind w:left="1701"/>
              <w:spacing w:after="0"/>
              <w:rPr>
                <w:sz w:val="20"/>
                <w:szCs w:val="20"/>
                <w:color w:val="auto"/>
              </w:rPr>
            </w:pPr>
            <w:r>
              <w:rPr>
                <w:rFonts w:ascii="Times New Roman" w:cs="Times New Roman" w:eastAsia="Times New Roman" w:hAnsi="Times New Roman"/>
                <w:sz w:val="18"/>
                <w:szCs w:val="18"/>
                <w:b w:val="1"/>
                <w:bCs w:val="1"/>
                <w:color w:val="auto"/>
              </w:rPr>
              <w:t>13-2566064</w:t>
            </w:r>
          </w:p>
        </w:tc>
      </w:tr>
      <w:tr>
        <w:trPr>
          <w:trHeight w:val="151"/>
        </w:trPr>
        <w:tc>
          <w:tcPr>
            <w:tcW w:w="3600" w:type="dxa"/>
            <w:vAlign w:val="bottom"/>
          </w:tcPr>
          <w:p>
            <w:pPr>
              <w:jc w:val="center"/>
              <w:ind w:right="1858"/>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520" w:type="dxa"/>
            <w:vAlign w:val="bottom"/>
          </w:tcPr>
          <w:p>
            <w:pPr>
              <w:jc w:val="center"/>
              <w:ind w:right="322"/>
              <w:spacing w:after="0" w:line="151"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900" w:type="dxa"/>
            <w:vAlign w:val="bottom"/>
          </w:tcPr>
          <w:p>
            <w:pPr>
              <w:jc w:val="center"/>
              <w:ind w:left="172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00" w:type="dxa"/>
            <w:vAlign w:val="bottom"/>
          </w:tcPr>
          <w:p>
            <w:pPr>
              <w:jc w:val="center"/>
              <w:ind w:right="185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52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900" w:type="dxa"/>
            <w:vAlign w:val="bottom"/>
          </w:tcPr>
          <w:p>
            <w:pPr>
              <w:jc w:val="center"/>
              <w:ind w:left="17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20"/>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14651 North Dallas Parkway</w:t>
            </w:r>
          </w:p>
        </w:tc>
        <w:tc>
          <w:tcPr>
            <w:tcW w:w="25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16"/>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Suite 500</w:t>
            </w:r>
          </w:p>
        </w:tc>
        <w:tc>
          <w:tcPr>
            <w:tcW w:w="252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65"/>
        </w:trPr>
        <w:tc>
          <w:tcPr>
            <w:tcW w:w="360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rPr>
              <w:t>Dallas, TX</w:t>
            </w:r>
          </w:p>
        </w:tc>
        <w:tc>
          <w:tcPr>
            <w:tcW w:w="2520" w:type="dxa"/>
            <w:vAlign w:val="bottom"/>
          </w:tcPr>
          <w:p>
            <w:pPr>
              <w:spacing w:after="0"/>
              <w:rPr>
                <w:sz w:val="23"/>
                <w:szCs w:val="23"/>
                <w:color w:val="auto"/>
              </w:rPr>
            </w:pPr>
          </w:p>
        </w:tc>
        <w:tc>
          <w:tcPr>
            <w:tcW w:w="2900" w:type="dxa"/>
            <w:vAlign w:val="bottom"/>
          </w:tcPr>
          <w:p>
            <w:pPr>
              <w:jc w:val="right"/>
              <w:ind w:right="1201"/>
              <w:spacing w:after="0"/>
              <w:rPr>
                <w:sz w:val="20"/>
                <w:szCs w:val="20"/>
                <w:color w:val="auto"/>
              </w:rPr>
            </w:pPr>
            <w:r>
              <w:rPr>
                <w:rFonts w:ascii="Times New Roman" w:cs="Times New Roman" w:eastAsia="Times New Roman" w:hAnsi="Times New Roman"/>
                <w:sz w:val="18"/>
                <w:szCs w:val="18"/>
                <w:b w:val="1"/>
                <w:bCs w:val="1"/>
                <w:color w:val="auto"/>
              </w:rPr>
              <w:t>75254</w:t>
            </w:r>
          </w:p>
        </w:tc>
      </w:tr>
      <w:tr>
        <w:trPr>
          <w:trHeight w:val="193"/>
        </w:trPr>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20" w:type="dxa"/>
            <w:vAlign w:val="bottom"/>
          </w:tcPr>
          <w:p>
            <w:pPr>
              <w:spacing w:after="0"/>
              <w:rPr>
                <w:sz w:val="16"/>
                <w:szCs w:val="16"/>
                <w:color w:val="auto"/>
              </w:rPr>
            </w:pPr>
          </w:p>
        </w:tc>
        <w:tc>
          <w:tcPr>
            <w:tcW w:w="290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p>
      <w:pPr>
        <w:spacing w:after="0" w:line="175" w:lineRule="exact"/>
        <w:rPr>
          <w:sz w:val="24"/>
          <w:szCs w:val="24"/>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2" w:lineRule="exact"/>
        <w:rPr>
          <w:sz w:val="24"/>
          <w:szCs w:val="24"/>
          <w:color w:val="auto"/>
        </w:rPr>
      </w:pPr>
    </w:p>
    <w:tbl>
      <w:tblPr>
        <w:tblLayout w:type="fixed"/>
        <w:tblInd w:w="350" w:type="dxa"/>
        <w:tblCellMar>
          <w:top w:w="0" w:type="dxa"/>
          <w:left w:w="0" w:type="dxa"/>
          <w:bottom w:w="0" w:type="dxa"/>
          <w:right w:w="0" w:type="dxa"/>
        </w:tblCellMar>
      </w:tblPr>
      <w:tr>
        <w:trPr>
          <w:trHeight w:val="208"/>
        </w:trPr>
        <w:tc>
          <w:tcPr>
            <w:tcW w:w="39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4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55"/>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4520" w:type="dxa"/>
            <w:vAlign w:val="bottom"/>
            <w:tcBorders>
              <w:bottom w:val="single" w:sz="8" w:color="auto"/>
              <w:right w:val="single" w:sz="8" w:color="auto"/>
            </w:tcBorders>
          </w:tcPr>
          <w:p>
            <w:pPr>
              <w:spacing w:after="0"/>
              <w:rPr>
                <w:sz w:val="4"/>
                <w:szCs w:val="4"/>
                <w:color w:val="auto"/>
              </w:rPr>
            </w:pPr>
          </w:p>
        </w:tc>
      </w:tr>
      <w:tr>
        <w:trPr>
          <w:trHeight w:val="168"/>
        </w:trPr>
        <w:tc>
          <w:tcPr>
            <w:tcW w:w="3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CECO</w:t>
            </w:r>
          </w:p>
        </w:tc>
        <w:tc>
          <w:tcPr>
            <w:tcW w:w="4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5"/>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bl>
    <w:p>
      <w:pPr>
        <w:spacing w:after="0" w:line="144"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Calibri" w:cs="Calibri" w:eastAsia="Calibri" w:hAnsi="Calibri"/>
          <w:sz w:val="19"/>
          <w:szCs w:val="19"/>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19" w:right="49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As further described below under Item 5.07 of this Current Report on Form 8-K, at the 2024 annual meeting of stockholders (the “Annual Meeting”) of CECO Environmental Corp. (the “Company”), held on May 20, 2024, the Company’s stockholders approved an amendment to the Company’s Certificate of Incorporation to provide for exculpation of certain officers of the Company in limited circumstances as permitted by Section 102(b)(7) of the General Corporation Law of the State of Delaware (the “Amendment”). The Company’s Board of Directors had previously approved the Amendment. To effect the Amendment, on May 20, 2024, the Company filed a Certificate of Amendment to the Company’s Certificate of Incorporation (the “Certificate of Amendment”) with the Secretary of State of the State of Delaware, and the Certificate of Amendment became effective on that date. A more complete description of the Amendment is set forth in “Proposal 2 - Approval of the Amendment to Our Certificate of Incorporation to Incorporate Delaware Law Provisions Regarding Officer Exculpation” in the Company’s definitive proxy statement for the Annual Meeting, which was filed with the Securities and Exchange Commission on April 10, 2024. Each of that description and the foregoing summary of the Amendment and the Certificate of Amendment set forth under this Item 5.03 does not purport to be complete and is subject to, and qualified in its entirety by, the full text of the Certificate of Amendment, which is filed as Exhibit 3.1 to this Current Report on Form 8-K and incorporated herein by reference.</w:t>
      </w:r>
    </w:p>
    <w:p>
      <w:pPr>
        <w:spacing w:after="0" w:line="18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discussed above under Item 5.03, on May 20, 2024, the Company held the Annual Meeting. At the Annual Meeting, the Company's stockholders: (1) elected each of the eight director nominees listed below to serve as a director of the Company for a term that will continue until the next annual meeting of stockholders and until his or her successor is elected and duly qualified; (2) approved the amendment to the Company’s Certificate of Incorporation to incorporate Delaware law provisions regarding officer exculpation, as discussed in Item 5.03 above; (3) approved, on an advisory basis, the Company’s named executive officer compensation; and (4) ratified the appointment of BDO USA, P.C. (f/k/a BDO USA, LLP) as the Company’s independent registered public accounting firm for fiscal 2024. The voting results at the Annual Meeting with respect to each of the matters described above were as follows:</w:t>
      </w:r>
    </w:p>
    <w:p>
      <w:pPr>
        <w:spacing w:after="0" w:line="189" w:lineRule="exact"/>
        <w:rPr>
          <w:sz w:val="20"/>
          <w:szCs w:val="20"/>
          <w:color w:val="auto"/>
        </w:rPr>
      </w:pPr>
    </w:p>
    <w:p>
      <w:pPr>
        <w:ind w:left="520" w:hanging="512"/>
        <w:spacing w:after="0"/>
        <w:tabs>
          <w:tab w:leader="none" w:pos="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eight director nominees named in the proxy statement and standing for election were elected based upon the following votes: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DIRECTOR NOMINEE</w:t>
            </w:r>
          </w:p>
        </w:tc>
        <w:tc>
          <w:tcPr>
            <w:tcW w:w="220" w:type="dxa"/>
            <w:vAlign w:val="bottom"/>
          </w:tcPr>
          <w:p>
            <w:pPr>
              <w:spacing w:after="0"/>
              <w:rPr>
                <w:sz w:val="16"/>
                <w:szCs w:val="16"/>
                <w:color w:val="auto"/>
              </w:rPr>
            </w:pPr>
          </w:p>
        </w:tc>
        <w:tc>
          <w:tcPr>
            <w:tcW w:w="190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FOR</w:t>
            </w:r>
          </w:p>
        </w:tc>
        <w:tc>
          <w:tcPr>
            <w:tcW w:w="340" w:type="dxa"/>
            <w:vAlign w:val="bottom"/>
          </w:tcPr>
          <w:p>
            <w:pPr>
              <w:spacing w:after="0"/>
              <w:rPr>
                <w:sz w:val="16"/>
                <w:szCs w:val="16"/>
                <w:color w:val="auto"/>
              </w:rPr>
            </w:pPr>
          </w:p>
        </w:tc>
        <w:tc>
          <w:tcPr>
            <w:tcW w:w="190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340" w:type="dxa"/>
            <w:vAlign w:val="bottom"/>
          </w:tcPr>
          <w:p>
            <w:pPr>
              <w:spacing w:after="0"/>
              <w:rPr>
                <w:sz w:val="16"/>
                <w:szCs w:val="16"/>
                <w:color w:val="auto"/>
              </w:rPr>
            </w:pPr>
          </w:p>
        </w:tc>
        <w:tc>
          <w:tcPr>
            <w:tcW w:w="18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320" w:type="dxa"/>
            <w:vAlign w:val="bottom"/>
          </w:tcPr>
          <w:p>
            <w:pPr>
              <w:spacing w:after="0"/>
              <w:rPr>
                <w:sz w:val="16"/>
                <w:szCs w:val="16"/>
                <w:color w:val="auto"/>
              </w:rPr>
            </w:pPr>
          </w:p>
        </w:tc>
        <w:tc>
          <w:tcPr>
            <w:tcW w:w="18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100" w:type="dxa"/>
            <w:vAlign w:val="bottom"/>
          </w:tcPr>
          <w:p>
            <w:pPr>
              <w:spacing w:after="0"/>
              <w:rPr>
                <w:sz w:val="16"/>
                <w:szCs w:val="16"/>
                <w:color w:val="auto"/>
              </w:rPr>
            </w:pPr>
          </w:p>
        </w:tc>
      </w:tr>
      <w:tr>
        <w:trPr>
          <w:trHeight w:val="236"/>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Jason DeZwirek</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25,763,336</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1,386,032</w:t>
            </w:r>
          </w:p>
        </w:tc>
        <w:tc>
          <w:tcPr>
            <w:tcW w:w="2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19,352</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3,394,663</w:t>
            </w:r>
          </w:p>
        </w:tc>
        <w:tc>
          <w:tcPr>
            <w:tcW w:w="100" w:type="dxa"/>
            <w:vAlign w:val="bottom"/>
            <w:shd w:val="clear" w:color="auto" w:fill="CFF0FC"/>
          </w:tcPr>
          <w:p>
            <w:pPr>
              <w:spacing w:after="0"/>
              <w:rPr>
                <w:sz w:val="20"/>
                <w:szCs w:val="20"/>
                <w:color w:val="auto"/>
              </w:rPr>
            </w:pPr>
          </w:p>
        </w:tc>
      </w:tr>
      <w:tr>
        <w:trPr>
          <w:trHeight w:val="239"/>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Todd Gleason</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27,054,730</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95,218</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18,772</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3,394,663</w:t>
            </w:r>
          </w:p>
        </w:tc>
        <w:tc>
          <w:tcPr>
            <w:tcW w:w="100" w:type="dxa"/>
            <w:vAlign w:val="bottom"/>
          </w:tcPr>
          <w:p>
            <w:pPr>
              <w:spacing w:after="0"/>
              <w:rPr>
                <w:sz w:val="20"/>
                <w:szCs w:val="20"/>
                <w:color w:val="auto"/>
              </w:rPr>
            </w:pPr>
          </w:p>
        </w:tc>
      </w:tr>
      <w:tr>
        <w:trPr>
          <w:trHeight w:val="247"/>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Robert E. Knowling, Jr.</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27,044,271</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104,850</w:t>
            </w:r>
          </w:p>
        </w:tc>
        <w:tc>
          <w:tcPr>
            <w:tcW w:w="2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19,599</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3,394,663</w:t>
            </w:r>
          </w:p>
        </w:tc>
        <w:tc>
          <w:tcPr>
            <w:tcW w:w="100" w:type="dxa"/>
            <w:vAlign w:val="bottom"/>
            <w:shd w:val="clear" w:color="auto" w:fill="CFF0FC"/>
          </w:tcPr>
          <w:p>
            <w:pPr>
              <w:spacing w:after="0"/>
              <w:rPr>
                <w:sz w:val="21"/>
                <w:szCs w:val="21"/>
                <w:color w:val="auto"/>
              </w:rPr>
            </w:pPr>
          </w:p>
        </w:tc>
      </w:tr>
      <w:tr>
        <w:trPr>
          <w:trHeight w:val="239"/>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Claudio A. Mannarino</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26,966,186</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182,707</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19,827</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3,394,663</w:t>
            </w:r>
          </w:p>
        </w:tc>
        <w:tc>
          <w:tcPr>
            <w:tcW w:w="100" w:type="dxa"/>
            <w:vAlign w:val="bottom"/>
          </w:tcPr>
          <w:p>
            <w:pPr>
              <w:spacing w:after="0"/>
              <w:rPr>
                <w:sz w:val="20"/>
                <w:szCs w:val="20"/>
                <w:color w:val="auto"/>
              </w:rPr>
            </w:pPr>
          </w:p>
        </w:tc>
      </w:tr>
      <w:tr>
        <w:trPr>
          <w:trHeight w:val="247"/>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Munish Nanda</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25,868,812</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1,149,917</w:t>
            </w:r>
          </w:p>
        </w:tc>
        <w:tc>
          <w:tcPr>
            <w:tcW w:w="2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149,991</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3,394,663</w:t>
            </w:r>
          </w:p>
        </w:tc>
        <w:tc>
          <w:tcPr>
            <w:tcW w:w="100" w:type="dxa"/>
            <w:vAlign w:val="bottom"/>
            <w:shd w:val="clear" w:color="auto" w:fill="CFF0FC"/>
          </w:tcPr>
          <w:p>
            <w:pPr>
              <w:spacing w:after="0"/>
              <w:rPr>
                <w:sz w:val="21"/>
                <w:szCs w:val="21"/>
                <w:color w:val="auto"/>
              </w:rPr>
            </w:pPr>
          </w:p>
        </w:tc>
      </w:tr>
      <w:tr>
        <w:trPr>
          <w:trHeight w:val="239"/>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Valerie Gentile Sachs</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24,938,041</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2,212,093</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18,586</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3,394,663</w:t>
            </w:r>
          </w:p>
        </w:tc>
        <w:tc>
          <w:tcPr>
            <w:tcW w:w="100" w:type="dxa"/>
            <w:vAlign w:val="bottom"/>
          </w:tcPr>
          <w:p>
            <w:pPr>
              <w:spacing w:after="0"/>
              <w:rPr>
                <w:sz w:val="20"/>
                <w:szCs w:val="20"/>
                <w:color w:val="auto"/>
              </w:rPr>
            </w:pPr>
          </w:p>
        </w:tc>
      </w:tr>
      <w:tr>
        <w:trPr>
          <w:trHeight w:val="247"/>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Laurie A. Siegel</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27,110,459</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25,118</w:t>
            </w:r>
          </w:p>
        </w:tc>
        <w:tc>
          <w:tcPr>
            <w:tcW w:w="2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33,143</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3,394,663</w:t>
            </w:r>
          </w:p>
        </w:tc>
        <w:tc>
          <w:tcPr>
            <w:tcW w:w="100" w:type="dxa"/>
            <w:vAlign w:val="bottom"/>
            <w:shd w:val="clear" w:color="auto" w:fill="CFF0FC"/>
          </w:tcPr>
          <w:p>
            <w:pPr>
              <w:spacing w:after="0"/>
              <w:rPr>
                <w:sz w:val="21"/>
                <w:szCs w:val="21"/>
                <w:color w:val="auto"/>
              </w:rPr>
            </w:pPr>
          </w:p>
        </w:tc>
      </w:tr>
      <w:tr>
        <w:trPr>
          <w:trHeight w:val="234"/>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F. Wallman</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26,427,168</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707,337</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34,215</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3,394,663</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to the Company's Certificate of Incorporation was approved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34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FOR</w:t>
            </w:r>
          </w:p>
        </w:tc>
        <w:tc>
          <w:tcPr>
            <w:tcW w:w="620" w:type="dxa"/>
            <w:vAlign w:val="bottom"/>
          </w:tcPr>
          <w:p>
            <w:pPr>
              <w:spacing w:after="0"/>
              <w:rPr>
                <w:sz w:val="16"/>
                <w:szCs w:val="16"/>
                <w:color w:val="auto"/>
              </w:rPr>
            </w:pPr>
          </w:p>
        </w:tc>
        <w:tc>
          <w:tcPr>
            <w:tcW w:w="234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600" w:type="dxa"/>
            <w:vAlign w:val="bottom"/>
          </w:tcPr>
          <w:p>
            <w:pPr>
              <w:spacing w:after="0"/>
              <w:rPr>
                <w:sz w:val="16"/>
                <w:szCs w:val="16"/>
                <w:color w:val="auto"/>
              </w:rPr>
            </w:pPr>
          </w:p>
        </w:tc>
        <w:tc>
          <w:tcPr>
            <w:tcW w:w="232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580" w:type="dxa"/>
            <w:vAlign w:val="bottom"/>
          </w:tcPr>
          <w:p>
            <w:pPr>
              <w:spacing w:after="0"/>
              <w:rPr>
                <w:sz w:val="16"/>
                <w:szCs w:val="16"/>
                <w:color w:val="auto"/>
              </w:rPr>
            </w:pPr>
          </w:p>
        </w:tc>
        <w:tc>
          <w:tcPr>
            <w:tcW w:w="23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100" w:type="dxa"/>
            <w:vAlign w:val="bottom"/>
          </w:tcPr>
          <w:p>
            <w:pPr>
              <w:spacing w:after="0"/>
              <w:rPr>
                <w:sz w:val="16"/>
                <w:szCs w:val="16"/>
                <w:color w:val="auto"/>
              </w:rPr>
            </w:pPr>
          </w:p>
        </w:tc>
      </w:tr>
      <w:tr>
        <w:trPr>
          <w:trHeight w:val="236"/>
        </w:trPr>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24,337,617</w:t>
            </w:r>
          </w:p>
        </w:tc>
        <w:tc>
          <w:tcPr>
            <w:tcW w:w="2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2,777,718</w:t>
            </w:r>
          </w:p>
        </w:tc>
        <w:tc>
          <w:tcPr>
            <w:tcW w:w="2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53,385</w:t>
            </w:r>
          </w:p>
        </w:tc>
        <w:tc>
          <w:tcPr>
            <w:tcW w:w="2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3,394,663</w:t>
            </w:r>
          </w:p>
        </w:tc>
        <w:tc>
          <w:tcPr>
            <w:tcW w:w="100" w:type="dxa"/>
            <w:vAlign w:val="bottom"/>
            <w:shd w:val="clear" w:color="auto" w:fill="CFF0FC"/>
          </w:tcPr>
          <w:p>
            <w:pPr>
              <w:spacing w:after="0"/>
              <w:rPr>
                <w:sz w:val="20"/>
                <w:szCs w:val="20"/>
                <w:color w:val="auto"/>
              </w:rPr>
            </w:pPr>
          </w:p>
        </w:tc>
      </w:tr>
    </w:tbl>
    <w:p>
      <w:pPr>
        <w:spacing w:after="0" w:line="198"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named executive officer compensation was approved on an advisory basis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34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FOR</w:t>
            </w:r>
          </w:p>
        </w:tc>
        <w:tc>
          <w:tcPr>
            <w:tcW w:w="620" w:type="dxa"/>
            <w:vAlign w:val="bottom"/>
          </w:tcPr>
          <w:p>
            <w:pPr>
              <w:spacing w:after="0"/>
              <w:rPr>
                <w:sz w:val="16"/>
                <w:szCs w:val="16"/>
                <w:color w:val="auto"/>
              </w:rPr>
            </w:pPr>
          </w:p>
        </w:tc>
        <w:tc>
          <w:tcPr>
            <w:tcW w:w="234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600" w:type="dxa"/>
            <w:vAlign w:val="bottom"/>
          </w:tcPr>
          <w:p>
            <w:pPr>
              <w:spacing w:after="0"/>
              <w:rPr>
                <w:sz w:val="16"/>
                <w:szCs w:val="16"/>
                <w:color w:val="auto"/>
              </w:rPr>
            </w:pPr>
          </w:p>
        </w:tc>
        <w:tc>
          <w:tcPr>
            <w:tcW w:w="232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580" w:type="dxa"/>
            <w:vAlign w:val="bottom"/>
          </w:tcPr>
          <w:p>
            <w:pPr>
              <w:spacing w:after="0"/>
              <w:rPr>
                <w:sz w:val="16"/>
                <w:szCs w:val="16"/>
                <w:color w:val="auto"/>
              </w:rPr>
            </w:pPr>
          </w:p>
        </w:tc>
        <w:tc>
          <w:tcPr>
            <w:tcW w:w="23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100" w:type="dxa"/>
            <w:vAlign w:val="bottom"/>
          </w:tcPr>
          <w:p>
            <w:pPr>
              <w:spacing w:after="0"/>
              <w:rPr>
                <w:sz w:val="16"/>
                <w:szCs w:val="16"/>
                <w:color w:val="auto"/>
              </w:rPr>
            </w:pPr>
          </w:p>
        </w:tc>
      </w:tr>
      <w:tr>
        <w:trPr>
          <w:trHeight w:val="237"/>
        </w:trPr>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26,668,319</w:t>
            </w:r>
          </w:p>
        </w:tc>
        <w:tc>
          <w:tcPr>
            <w:tcW w:w="2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431,341</w:t>
            </w:r>
          </w:p>
        </w:tc>
        <w:tc>
          <w:tcPr>
            <w:tcW w:w="2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69,060</w:t>
            </w:r>
          </w:p>
        </w:tc>
        <w:tc>
          <w:tcPr>
            <w:tcW w:w="2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3,394,663</w:t>
            </w:r>
          </w:p>
        </w:tc>
        <w:tc>
          <w:tcPr>
            <w:tcW w:w="100" w:type="dxa"/>
            <w:vAlign w:val="bottom"/>
            <w:shd w:val="clear" w:color="auto" w:fill="CFF0FC"/>
          </w:tcPr>
          <w:p>
            <w:pPr>
              <w:spacing w:after="0"/>
              <w:rPr>
                <w:sz w:val="20"/>
                <w:szCs w:val="20"/>
                <w:color w:val="auto"/>
              </w:rPr>
            </w:pPr>
          </w:p>
        </w:tc>
      </w:tr>
    </w:tbl>
    <w:p>
      <w:pPr>
        <w:spacing w:after="0" w:line="198"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BDO USA, P.C. as the Company’s independent registered public accounting firm for fiscal 2024 was ratified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80" w:type="dxa"/>
            <w:vAlign w:val="bottom"/>
            <w:tcBorders>
              <w:bottom w:val="single" w:sz="8" w:color="auto"/>
            </w:tcBorders>
          </w:tcPr>
          <w:p>
            <w:pPr>
              <w:jc w:val="right"/>
              <w:ind w:right="1399"/>
              <w:spacing w:after="0"/>
              <w:rPr>
                <w:sz w:val="20"/>
                <w:szCs w:val="20"/>
                <w:color w:val="auto"/>
              </w:rPr>
            </w:pPr>
            <w:r>
              <w:rPr>
                <w:rFonts w:ascii="Times New Roman" w:cs="Times New Roman" w:eastAsia="Times New Roman" w:hAnsi="Times New Roman"/>
                <w:sz w:val="14"/>
                <w:szCs w:val="14"/>
                <w:b w:val="1"/>
                <w:bCs w:val="1"/>
                <w:color w:val="auto"/>
              </w:rPr>
              <w:t>FOR</w:t>
            </w:r>
          </w:p>
        </w:tc>
        <w:tc>
          <w:tcPr>
            <w:tcW w:w="680" w:type="dxa"/>
            <w:vAlign w:val="bottom"/>
          </w:tcPr>
          <w:p>
            <w:pPr>
              <w:spacing w:after="0"/>
              <w:rPr>
                <w:sz w:val="16"/>
                <w:szCs w:val="16"/>
                <w:color w:val="auto"/>
              </w:rPr>
            </w:pPr>
          </w:p>
        </w:tc>
        <w:tc>
          <w:tcPr>
            <w:tcW w:w="3280" w:type="dxa"/>
            <w:vAlign w:val="bottom"/>
            <w:tcBorders>
              <w:bottom w:val="single" w:sz="8" w:color="auto"/>
            </w:tcBorders>
          </w:tcPr>
          <w:p>
            <w:pPr>
              <w:jc w:val="right"/>
              <w:ind w:right="1248"/>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660" w:type="dxa"/>
            <w:vAlign w:val="bottom"/>
          </w:tcPr>
          <w:p>
            <w:pPr>
              <w:spacing w:after="0"/>
              <w:rPr>
                <w:sz w:val="16"/>
                <w:szCs w:val="16"/>
                <w:color w:val="auto"/>
              </w:rPr>
            </w:pPr>
          </w:p>
        </w:tc>
        <w:tc>
          <w:tcPr>
            <w:tcW w:w="3240" w:type="dxa"/>
            <w:vAlign w:val="bottom"/>
            <w:tcBorders>
              <w:bottom w:val="single" w:sz="8" w:color="auto"/>
            </w:tcBorders>
          </w:tcPr>
          <w:p>
            <w:pPr>
              <w:jc w:val="right"/>
              <w:ind w:right="1248"/>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00" w:type="dxa"/>
            <w:vAlign w:val="bottom"/>
          </w:tcPr>
          <w:p>
            <w:pPr>
              <w:spacing w:after="0"/>
              <w:rPr>
                <w:sz w:val="16"/>
                <w:szCs w:val="16"/>
                <w:color w:val="auto"/>
              </w:rPr>
            </w:pPr>
          </w:p>
        </w:tc>
      </w:tr>
      <w:tr>
        <w:trPr>
          <w:trHeight w:val="237"/>
        </w:trPr>
        <w:tc>
          <w:tcPr>
            <w:tcW w:w="3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30,247,700</w:t>
            </w:r>
          </w:p>
        </w:tc>
        <w:tc>
          <w:tcPr>
            <w:tcW w:w="3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263,274</w:t>
            </w:r>
          </w:p>
        </w:tc>
        <w:tc>
          <w:tcPr>
            <w:tcW w:w="3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52,409</w:t>
            </w:r>
          </w:p>
        </w:tc>
        <w:tc>
          <w:tcPr>
            <w:tcW w:w="100" w:type="dxa"/>
            <w:vAlign w:val="bottom"/>
            <w:shd w:val="clear" w:color="auto" w:fill="CFF0FC"/>
          </w:tcPr>
          <w:p>
            <w:pPr>
              <w:spacing w:after="0"/>
              <w:rPr>
                <w:sz w:val="20"/>
                <w:szCs w:val="20"/>
                <w:color w:val="auto"/>
              </w:rPr>
            </w:pPr>
          </w:p>
        </w:tc>
      </w:tr>
      <w:tr>
        <w:trPr>
          <w:trHeight w:val="1843"/>
        </w:trPr>
        <w:tc>
          <w:tcPr>
            <w:tcW w:w="32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391"/>
        </w:trPr>
        <w:tc>
          <w:tcPr>
            <w:tcW w:w="1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26"/>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Certificate of Amendment to the Certificate of Incorporation of CECO Environmental Corp.</w:t>
            </w:r>
          </w:p>
        </w:tc>
      </w:tr>
      <w:tr>
        <w:trPr>
          <w:trHeight w:val="48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380" w:type="dxa"/>
            <w:vAlign w:val="bottom"/>
          </w:tcPr>
          <w:p>
            <w:pPr>
              <w:spacing w:after="0"/>
              <w:rPr>
                <w:sz w:val="24"/>
                <w:szCs w:val="24"/>
                <w:color w:val="auto"/>
              </w:rPr>
            </w:pPr>
          </w:p>
        </w:tc>
      </w:tr>
      <w:tr>
        <w:trPr>
          <w:trHeight w:val="992"/>
        </w:trPr>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4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6760" w:val="left"/>
        </w:tabs>
        <w:rPr>
          <w:sz w:val="20"/>
          <w:szCs w:val="20"/>
          <w:color w:val="auto"/>
        </w:rPr>
      </w:pPr>
      <w:r>
        <w:rPr>
          <w:rFonts w:ascii="Times New Roman" w:cs="Times New Roman" w:eastAsia="Times New Roman" w:hAnsi="Times New Roman"/>
          <w:sz w:val="18"/>
          <w:szCs w:val="18"/>
          <w:color w:val="auto"/>
        </w:rPr>
        <w:t>Date: May 22, 2024</w:t>
      </w:r>
      <w:r>
        <w:rPr>
          <w:sz w:val="20"/>
          <w:szCs w:val="20"/>
          <w:color w:val="auto"/>
        </w:rPr>
        <w:tab/>
      </w:r>
      <w:r>
        <w:rPr>
          <w:rFonts w:ascii="Times New Roman" w:cs="Times New Roman" w:eastAsia="Times New Roman" w:hAnsi="Times New Roman"/>
          <w:sz w:val="17"/>
          <w:szCs w:val="17"/>
          <w:color w:val="auto"/>
        </w:rPr>
        <w:t>CECO Environmental Corp.</w:t>
      </w:r>
    </w:p>
    <w:p>
      <w:pPr>
        <w:spacing w:after="0" w:line="279" w:lineRule="exact"/>
        <w:rPr>
          <w:sz w:val="20"/>
          <w:szCs w:val="20"/>
          <w:color w:val="auto"/>
        </w:rPr>
      </w:pPr>
    </w:p>
    <w:p>
      <w:pPr>
        <w:ind w:left="678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Joycelynn Watkins-Asiyanbi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Joycelynn Watkins-Asiyanbi</w:t>
      </w:r>
    </w:p>
    <w:p>
      <w:pPr>
        <w:spacing w:after="0" w:line="3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SVP, Chief Administrative and Legal Officer</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p>
      <w:pPr>
        <w:jc w:val="center"/>
        <w:ind w:right="60"/>
        <w:spacing w:after="0" w:line="262" w:lineRule="auto"/>
        <w:rPr>
          <w:sz w:val="20"/>
          <w:szCs w:val="20"/>
          <w:color w:val="auto"/>
        </w:rPr>
      </w:pPr>
      <w:r>
        <w:rPr>
          <w:rFonts w:ascii="Times New Roman" w:cs="Times New Roman" w:eastAsia="Times New Roman" w:hAnsi="Times New Roman"/>
          <w:sz w:val="22"/>
          <w:szCs w:val="22"/>
          <w:b w:val="1"/>
          <w:bCs w:val="1"/>
          <w:color w:val="auto"/>
        </w:rPr>
        <w:t>CERTIFICATE OF AMENDMENT TO THE CERTIFICATE OF INCORPORATION OF CECO ENVIRONMENTAL CORP.</w:t>
      </w:r>
    </w:p>
    <w:p>
      <w:pPr>
        <w:spacing w:after="0" w:line="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CECO Environmental Corp. (the “Corporation”), a corporation organized and existing under the General Corporation Law of the State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(the “DGCL”), does hereby certify as follows:</w:t>
      </w:r>
    </w:p>
    <w:p>
      <w:pPr>
        <w:spacing w:after="0" w:line="99" w:lineRule="exact"/>
        <w:rPr>
          <w:sz w:val="20"/>
          <w:szCs w:val="20"/>
          <w:color w:val="auto"/>
        </w:rPr>
      </w:pPr>
    </w:p>
    <w:p>
      <w:pPr>
        <w:ind w:left="760" w:hanging="752"/>
        <w:spacing w:after="0" w:line="282" w:lineRule="auto"/>
        <w:tabs>
          <w:tab w:leader="none" w:pos="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This Certificate of Amendment (the “Certificate of Amendment”) amends certain provisions of the Corporation’s Certificate of Incorporation filed with the Secretary of State of the State of Delaware on January 10, 2002 (the “Certificate of Incorporation”).</w:t>
      </w:r>
    </w:p>
    <w:p>
      <w:pPr>
        <w:spacing w:after="0" w:line="13" w:lineRule="exact"/>
        <w:rPr>
          <w:rFonts w:ascii="Times New Roman" w:cs="Times New Roman" w:eastAsia="Times New Roman" w:hAnsi="Times New Roman"/>
          <w:sz w:val="16"/>
          <w:szCs w:val="16"/>
          <w:color w:val="auto"/>
        </w:rPr>
      </w:pPr>
    </w:p>
    <w:p>
      <w:pPr>
        <w:ind w:left="760" w:hanging="752"/>
        <w:spacing w:after="0"/>
        <w:tabs>
          <w:tab w:leader="none" w:pos="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This Certificate of Amendment was duly adopted in accordance with the provisions of Section 242 of the DGCL.</w:t>
      </w:r>
    </w:p>
    <w:p>
      <w:pPr>
        <w:spacing w:after="0" w:line="90" w:lineRule="exact"/>
        <w:rPr>
          <w:rFonts w:ascii="Times New Roman" w:cs="Times New Roman" w:eastAsia="Times New Roman" w:hAnsi="Times New Roman"/>
          <w:sz w:val="16"/>
          <w:szCs w:val="16"/>
          <w:color w:val="auto"/>
        </w:rPr>
      </w:pPr>
    </w:p>
    <w:p>
      <w:pPr>
        <w:ind w:left="760" w:hanging="752"/>
        <w:spacing w:after="0"/>
        <w:tabs>
          <w:tab w:leader="none" w:pos="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Article IX, Section B. of the Certificate of Incorporation is hereby amended and restated in its entirety to read as follows:</w:t>
      </w:r>
    </w:p>
    <w:p>
      <w:pPr>
        <w:spacing w:after="0" w:line="113" w:lineRule="exact"/>
        <w:rPr>
          <w:rFonts w:ascii="Times New Roman" w:cs="Times New Roman" w:eastAsia="Times New Roman" w:hAnsi="Times New Roman"/>
          <w:sz w:val="16"/>
          <w:szCs w:val="16"/>
          <w:color w:val="auto"/>
        </w:rPr>
      </w:pPr>
    </w:p>
    <w:p>
      <w:pPr>
        <w:ind w:left="4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color w:val="auto"/>
        </w:rPr>
        <w:t>B. Elimination of Certain Liability of Directors and Officers:</w:t>
      </w:r>
    </w:p>
    <w:p>
      <w:pPr>
        <w:spacing w:after="0" w:line="121" w:lineRule="exact"/>
        <w:rPr>
          <w:sz w:val="20"/>
          <w:szCs w:val="20"/>
          <w:color w:val="auto"/>
        </w:rPr>
      </w:pPr>
    </w:p>
    <w:p>
      <w:pPr>
        <w:jc w:val="both"/>
        <w:ind w:left="660" w:firstLine="749"/>
        <w:spacing w:after="0" w:line="257" w:lineRule="auto"/>
        <w:rPr>
          <w:sz w:val="20"/>
          <w:szCs w:val="20"/>
          <w:color w:val="auto"/>
        </w:rPr>
      </w:pPr>
      <w:r>
        <w:rPr>
          <w:rFonts w:ascii="Times New Roman" w:cs="Times New Roman" w:eastAsia="Times New Roman" w:hAnsi="Times New Roman"/>
          <w:sz w:val="18"/>
          <w:szCs w:val="18"/>
          <w:color w:val="auto"/>
        </w:rPr>
        <w:t>No director or officer of the Corporation shall be personally liable to the Corporation or its stockholders for monetary damages for breach of fiduciary duty as a director or officer, except for liability (i) for any breach of the director’s or officer’s duty of loyalty to the Corporation or its stockholders, (ii) for acts or omissions not in good faith or which involve intentional misconduct or a knowing violation of law,</w:t>
      </w:r>
    </w:p>
    <w:p>
      <w:pPr>
        <w:spacing w:after="0" w:line="1" w:lineRule="exact"/>
        <w:rPr>
          <w:sz w:val="20"/>
          <w:szCs w:val="20"/>
          <w:color w:val="auto"/>
        </w:rPr>
      </w:pPr>
    </w:p>
    <w:p>
      <w:pPr>
        <w:jc w:val="both"/>
        <w:ind w:left="660" w:firstLine="4"/>
        <w:spacing w:after="0" w:line="252" w:lineRule="auto"/>
        <w:tabs>
          <w:tab w:leader="none" w:pos="9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directors only, under Section 174 of the DGCL, as the same exists or hereafter may be amended, (iv) for any transaction from which the director or officer derived an improper personal benefit, or (v) in the case of officers only, for any action by or in the right of the Corporation. If the DGCL is amended to authorize the further elimination or limitation of liability of directors or officers, then the liability of a director or officer of the Corporation, in addition to the limitation on personal liability provided herein, shall be eliminated or limited to the fullest extent permitted by the DGCL, as so amended. Any repeal or modification of this Article IX by the stockholders of the Corporation shall be prospective only, and shall not adversely affect any limitation on the personal liability of a director or officer of the Corporation existing at the time of such repeal or modification.</w:t>
      </w:r>
    </w:p>
    <w:p>
      <w:pPr>
        <w:spacing w:after="0" w:line="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WITNESS WHEREOF, the Corporation has caused this Certificate of Amendment to be signed this 20th day of May, 2024.</w:t>
      </w:r>
    </w:p>
    <w:p>
      <w:pPr>
        <w:spacing w:after="0" w:line="127" w:lineRule="exact"/>
        <w:rPr>
          <w:sz w:val="20"/>
          <w:szCs w:val="20"/>
          <w:color w:val="auto"/>
        </w:rPr>
      </w:pPr>
    </w:p>
    <w:tbl>
      <w:tblPr>
        <w:tblLayout w:type="fixed"/>
        <w:tblInd w:w="540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CECO ENVIRONMENTAL CORP.</w:t>
            </w:r>
          </w:p>
        </w:tc>
      </w:tr>
      <w:tr>
        <w:trPr>
          <w:trHeight w:val="68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Lynn Watkins-Asiyanbi</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Lynn Watkins-Asiyanbi</w:t>
            </w:r>
          </w:p>
        </w:tc>
      </w:tr>
      <w:tr>
        <w:trPr>
          <w:trHeight w:val="22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SVP,  Chief  Administrative  &amp;  Legal  Officer  and  Corporate</w:t>
            </w:r>
          </w:p>
        </w:tc>
      </w:tr>
      <w:tr>
        <w:trPr>
          <w:trHeight w:val="234"/>
        </w:trPr>
        <w:tc>
          <w:tcPr>
            <w:tcW w:w="880" w:type="dxa"/>
            <w:vAlign w:val="bottom"/>
          </w:tcPr>
          <w:p>
            <w:pPr>
              <w:spacing w:after="0"/>
              <w:rPr>
                <w:sz w:val="20"/>
                <w:szCs w:val="20"/>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3"/>
    </w:lvl>
  </w:abstractNum>
  <w:abstractNum w:abstractNumId="4">
    <w:nsid w:val="507ED7AB"/>
    <w:multiLevelType w:val="hybridMultilevel"/>
    <w:lvl w:ilvl="0">
      <w:lvlJc w:val="left"/>
      <w:lvlText w:val="(%1)"/>
      <w:numFmt w:val="decimal"/>
      <w:start w:val="4"/>
    </w:lvl>
  </w:abstractNum>
  <w:abstractNum w:abstractNumId="5">
    <w:nsid w:val="2EB141F2"/>
    <w:multiLevelType w:val="hybridMultilevel"/>
    <w:lvl w:ilvl="0">
      <w:lvlJc w:val="left"/>
      <w:lvlText w:val="%1."/>
      <w:numFmt w:val="decimal"/>
      <w:start w:val="1"/>
    </w:lvl>
    <w:lvl w:ilvl="1">
      <w:lvlJc w:val="left"/>
      <w:lvlText w:val="%2"/>
      <w:numFmt w:val="upperLetter"/>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2024-05-22T13:08:18Z</dcterms:created>
  <dcterms:modified xsi:type="dcterms:W3CDTF">2024-05-22T13:08:18Z</dcterms:modified>
</cp:coreProperties>
</file>