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5762625</wp:posOffset>
            </wp:positionH>
            <wp:positionV relativeFrom="page">
              <wp:posOffset>339725</wp:posOffset>
            </wp:positionV>
            <wp:extent cx="1428750" cy="551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5511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273D86"/>
        </w:rPr>
        <w:t>2023 ANNUAL REPORT</w:t>
      </w:r>
    </w:p>
    <w:p>
      <w:pPr>
        <w:spacing w:after="0" w:line="200" w:lineRule="exact"/>
        <w:rPr>
          <w:sz w:val="24"/>
          <w:szCs w:val="24"/>
          <w:color w:val="auto"/>
        </w:rPr>
      </w:pPr>
    </w:p>
    <w:p>
      <w:pPr>
        <w:spacing w:after="0" w:line="214" w:lineRule="exact"/>
        <w:rPr>
          <w:sz w:val="24"/>
          <w:szCs w:val="24"/>
          <w:color w:val="auto"/>
        </w:rPr>
      </w:pPr>
    </w:p>
    <w:p>
      <w:pPr>
        <w:ind w:left="360"/>
        <w:spacing w:after="0"/>
        <w:rPr>
          <w:sz w:val="20"/>
          <w:szCs w:val="20"/>
          <w:color w:val="auto"/>
        </w:rPr>
      </w:pPr>
      <w:r>
        <w:rPr>
          <w:rFonts w:ascii="Arial" w:cs="Arial" w:eastAsia="Arial" w:hAnsi="Arial"/>
          <w:sz w:val="40"/>
          <w:szCs w:val="40"/>
          <w:color w:val="273D86"/>
        </w:rPr>
        <w:t>When industry seeks</w:t>
      </w:r>
    </w:p>
    <w:p>
      <w:pPr>
        <w:ind w:left="360"/>
        <w:spacing w:after="0" w:line="197" w:lineRule="auto"/>
        <w:rPr>
          <w:sz w:val="20"/>
          <w:szCs w:val="20"/>
          <w:color w:val="auto"/>
        </w:rPr>
      </w:pPr>
      <w:r>
        <w:rPr>
          <w:rFonts w:ascii="Arial" w:cs="Arial" w:eastAsia="Arial" w:hAnsi="Arial"/>
          <w:sz w:val="144"/>
          <w:szCs w:val="144"/>
          <w:color w:val="273D86"/>
        </w:rPr>
        <w:t>Cleaner,</w:t>
      </w:r>
    </w:p>
    <w:p>
      <w:pPr>
        <w:ind w:left="360"/>
        <w:spacing w:after="0" w:line="197" w:lineRule="auto"/>
        <w:rPr>
          <w:sz w:val="20"/>
          <w:szCs w:val="20"/>
          <w:color w:val="auto"/>
        </w:rPr>
      </w:pPr>
      <w:r>
        <w:rPr>
          <w:rFonts w:ascii="Arial" w:cs="Arial" w:eastAsia="Arial" w:hAnsi="Arial"/>
          <w:sz w:val="144"/>
          <w:szCs w:val="144"/>
          <w:color w:val="98B82F"/>
        </w:rPr>
        <w:t>Greener,</w:t>
      </w:r>
    </w:p>
    <w:p>
      <w:pPr>
        <w:ind w:left="360"/>
        <w:spacing w:after="0" w:line="197" w:lineRule="auto"/>
        <w:rPr>
          <w:sz w:val="20"/>
          <w:szCs w:val="20"/>
          <w:color w:val="auto"/>
        </w:rPr>
      </w:pPr>
      <w:r>
        <w:rPr>
          <w:rFonts w:ascii="Arial" w:cs="Arial" w:eastAsia="Arial" w:hAnsi="Arial"/>
          <w:sz w:val="144"/>
          <w:szCs w:val="144"/>
          <w:color w:val="273D86"/>
        </w:rPr>
        <w:t>Safer,</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44"/>
          <w:szCs w:val="144"/>
          <w:color w:val="273D86"/>
        </w:rPr>
        <w:t>Better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113665</wp:posOffset>
            </wp:positionV>
            <wp:extent cx="7543800" cy="4343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4343400"/>
                    </a:xfrm>
                    <a:prstGeom prst="rect">
                      <a:avLst/>
                    </a:prstGeom>
                    <a:noFill/>
                  </pic:spPr>
                </pic:pic>
              </a:graphicData>
            </a:graphic>
          </wp:anchor>
        </w:drawing>
      </w:r>
    </w:p>
    <w:p>
      <w:pPr>
        <w:spacing w:after="0" w:line="274" w:lineRule="exact"/>
        <w:rPr>
          <w:sz w:val="24"/>
          <w:szCs w:val="24"/>
          <w:color w:val="auto"/>
        </w:rPr>
      </w:pPr>
    </w:p>
    <w:p>
      <w:pPr>
        <w:ind w:left="360"/>
        <w:spacing w:after="0"/>
        <w:rPr>
          <w:sz w:val="20"/>
          <w:szCs w:val="20"/>
          <w:color w:val="auto"/>
        </w:rPr>
      </w:pPr>
      <w:r>
        <w:rPr>
          <w:rFonts w:ascii="Arial" w:cs="Arial" w:eastAsia="Arial" w:hAnsi="Arial"/>
          <w:sz w:val="48"/>
          <w:szCs w:val="48"/>
          <w:color w:val="FFFFFF"/>
        </w:rPr>
        <w:t xml:space="preserve">they seek </w:t>
      </w:r>
      <w:r>
        <w:rPr>
          <w:rFonts w:ascii="Arial" w:cs="Arial" w:eastAsia="Arial" w:hAnsi="Arial"/>
          <w:sz w:val="48"/>
          <w:szCs w:val="48"/>
          <w:b w:val="1"/>
          <w:bCs w:val="1"/>
          <w:color w:val="FFFFFF"/>
        </w:rPr>
        <w:t>CECO.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80"/>
        <w:spacing w:after="0"/>
        <w:rPr>
          <w:sz w:val="20"/>
          <w:szCs w:val="20"/>
          <w:color w:val="auto"/>
        </w:rPr>
      </w:pPr>
      <w:r>
        <w:rPr>
          <w:rFonts w:ascii="Arial" w:cs="Arial" w:eastAsia="Arial" w:hAnsi="Arial"/>
          <w:sz w:val="36"/>
          <w:szCs w:val="36"/>
          <w:color w:val="FFFFFF"/>
        </w:rPr>
        <w:t>AIR, WATER, AND</w:t>
      </w:r>
    </w:p>
    <w:p>
      <w:pPr>
        <w:spacing w:after="0" w:line="18" w:lineRule="exact"/>
        <w:rPr>
          <w:sz w:val="24"/>
          <w:szCs w:val="24"/>
          <w:color w:val="auto"/>
        </w:rPr>
      </w:pPr>
    </w:p>
    <w:p>
      <w:pPr>
        <w:ind w:left="80"/>
        <w:spacing w:after="0"/>
        <w:rPr>
          <w:sz w:val="20"/>
          <w:szCs w:val="20"/>
          <w:color w:val="auto"/>
        </w:rPr>
      </w:pPr>
      <w:r>
        <w:rPr>
          <w:rFonts w:ascii="Arial" w:cs="Arial" w:eastAsia="Arial" w:hAnsi="Arial"/>
          <w:sz w:val="35"/>
          <w:szCs w:val="35"/>
          <w:color w:val="FFFFFF"/>
        </w:rPr>
        <w:t>ENERGY TRANSITION</w:t>
      </w:r>
    </w:p>
    <w:p>
      <w:pPr>
        <w:sectPr>
          <w:pgSz w:w="11880" w:h="15480" w:orient="portrait"/>
          <w:cols w:equalWidth="0" w:num="1">
            <w:col w:w="10420"/>
          </w:cols>
          <w:pgMar w:left="900" w:top="1440" w:right="56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360" w:val="left"/>
        </w:tabs>
        <w:rPr>
          <w:sz w:val="20"/>
          <w:szCs w:val="20"/>
          <w:color w:val="auto"/>
        </w:rPr>
      </w:pPr>
      <w:r>
        <w:rPr>
          <w:rFonts w:ascii="Arial" w:cs="Arial" w:eastAsia="Arial" w:hAnsi="Arial"/>
          <w:sz w:val="24"/>
          <w:szCs w:val="24"/>
          <w:b w:val="1"/>
          <w:bCs w:val="1"/>
          <w:color w:val="auto"/>
        </w:rPr>
        <w:t>1</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p>
    <w:p>
      <w:pPr>
        <w:spacing w:after="0" w:line="20" w:lineRule="exact"/>
        <w:rPr>
          <w:sz w:val="24"/>
          <w:szCs w:val="24"/>
          <w:color w:val="auto"/>
        </w:rPr>
      </w:pPr>
    </w:p>
    <w:p>
      <w:pPr>
        <w:sectPr>
          <w:pgSz w:w="11880" w:h="15480" w:orient="portrait"/>
          <w:cols w:equalWidth="0" w:num="1">
            <w:col w:w="10420"/>
          </w:cols>
          <w:pgMar w:left="900" w:top="1440" w:right="560" w:bottom="0" w:gutter="0" w:footer="0" w:header="0"/>
          <w:type w:val="continuous"/>
        </w:sectPr>
      </w:pPr>
    </w:p>
    <w:bookmarkStart w:id="1" w:name="page2"/>
    <w:bookmarkEnd w:id="1"/>
    <w:p>
      <w:pPr>
        <w:ind w:right="4080"/>
        <w:spacing w:after="0" w:line="242" w:lineRule="auto"/>
        <w:rPr>
          <w:sz w:val="20"/>
          <w:szCs w:val="20"/>
          <w:color w:val="auto"/>
        </w:rPr>
      </w:pPr>
      <w:r>
        <w:rPr>
          <w:rFonts w:ascii="Arial" w:cs="Arial" w:eastAsia="Arial" w:hAnsi="Arial"/>
          <w:sz w:val="62"/>
          <w:szCs w:val="62"/>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828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1828800"/>
                    </a:xfrm>
                    <a:prstGeom prst="rect">
                      <a:avLst/>
                    </a:prstGeom>
                    <a:noFill/>
                  </pic:spPr>
                </pic:pic>
              </a:graphicData>
            </a:graphic>
          </wp:anchor>
        </w:drawing>
        <w:t>ACCOMPLISH MORE TOGETHER.</w:t>
      </w:r>
    </w:p>
    <w:p>
      <w:pPr>
        <w:spacing w:after="0" w:line="2" w:lineRule="exact"/>
        <w:rPr>
          <w:sz w:val="20"/>
          <w:szCs w:val="20"/>
          <w:color w:val="auto"/>
        </w:rPr>
      </w:pPr>
    </w:p>
    <w:p>
      <w:pPr>
        <w:spacing w:after="0"/>
        <w:rPr>
          <w:sz w:val="20"/>
          <w:szCs w:val="20"/>
          <w:color w:val="auto"/>
        </w:rPr>
      </w:pPr>
      <w:r>
        <w:rPr>
          <w:rFonts w:ascii="Arial" w:cs="Arial" w:eastAsia="Arial" w:hAnsi="Arial"/>
          <w:sz w:val="72"/>
          <w:szCs w:val="72"/>
          <w:color w:val="98B82F"/>
        </w:rPr>
        <w:t>SUSTAINABLY.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13" w:lineRule="auto"/>
        <w:rPr>
          <w:sz w:val="20"/>
          <w:szCs w:val="20"/>
          <w:color w:val="auto"/>
        </w:rPr>
      </w:pPr>
      <w:r>
        <w:rPr>
          <w:rFonts w:ascii="Arial" w:cs="Arial" w:eastAsia="Arial" w:hAnsi="Arial"/>
          <w:sz w:val="28"/>
          <w:szCs w:val="28"/>
          <w:color w:val="273D86"/>
        </w:rPr>
        <w:t>CECO Environmental is a leading environmentally focused, diversified industrial company whose solutions protect people, the environment, and industrial equipment across the globe, serving a broad landscape of industrial air, industrial water and energy transition markets.</w:t>
      </w:r>
    </w:p>
    <w:p>
      <w:pPr>
        <w:spacing w:after="0" w:line="372" w:lineRule="exact"/>
        <w:rPr>
          <w:sz w:val="20"/>
          <w:szCs w:val="20"/>
          <w:color w:val="auto"/>
        </w:rPr>
      </w:pPr>
    </w:p>
    <w:p>
      <w:pPr>
        <w:spacing w:after="0"/>
        <w:rPr>
          <w:sz w:val="20"/>
          <w:szCs w:val="20"/>
          <w:color w:val="auto"/>
        </w:rPr>
      </w:pPr>
      <w:r>
        <w:rPr>
          <w:rFonts w:ascii="Arial" w:cs="Arial" w:eastAsia="Arial" w:hAnsi="Arial"/>
          <w:sz w:val="48"/>
          <w:szCs w:val="48"/>
          <w:color w:val="273D86"/>
        </w:rPr>
        <w:t xml:space="preserve">OUR MISSION </w:t>
      </w:r>
      <w:r>
        <w:rPr>
          <w:rFonts w:ascii="Arial" w:cs="Arial" w:eastAsia="Arial" w:hAnsi="Arial"/>
          <w:sz w:val="48"/>
          <w:szCs w:val="48"/>
          <w:color w:val="98B82F"/>
        </w:rPr>
        <w:t>&amp;</w:t>
      </w:r>
      <w:r>
        <w:rPr>
          <w:rFonts w:ascii="Arial" w:cs="Arial" w:eastAsia="Arial" w:hAnsi="Arial"/>
          <w:sz w:val="48"/>
          <w:szCs w:val="48"/>
          <w:color w:val="273D86"/>
        </w:rPr>
        <w:t xml:space="preserve"> VALUES</w:t>
      </w:r>
    </w:p>
    <w:p>
      <w:pPr>
        <w:spacing w:after="0"/>
        <w:rPr>
          <w:sz w:val="20"/>
          <w:szCs w:val="20"/>
          <w:color w:val="auto"/>
        </w:rPr>
      </w:pPr>
      <w:r>
        <w:rPr>
          <w:rFonts w:ascii="Arial" w:cs="Arial" w:eastAsia="Arial" w:hAnsi="Arial"/>
          <w:sz w:val="28"/>
          <w:szCs w:val="28"/>
          <w:b w:val="1"/>
          <w:bCs w:val="1"/>
          <w:color w:val="98B82F"/>
        </w:rPr>
        <w:t>Passionate About What We Do. And Why We Do It.</w:t>
      </w:r>
    </w:p>
    <w:p>
      <w:pPr>
        <w:sectPr>
          <w:pgSz w:w="11880" w:h="15480" w:orient="portrait"/>
          <w:cols w:equalWidth="0" w:num="1">
            <w:col w:w="9820"/>
          </w:cols>
          <w:pgMar w:left="720" w:top="360" w:right="1340" w:bottom="249" w:gutter="0" w:footer="0" w:header="0"/>
        </w:sectPr>
      </w:pPr>
    </w:p>
    <w:p>
      <w:pPr>
        <w:spacing w:after="0" w:line="312" w:lineRule="exact"/>
        <w:rPr>
          <w:sz w:val="20"/>
          <w:szCs w:val="20"/>
          <w:color w:val="auto"/>
        </w:rPr>
      </w:pPr>
    </w:p>
    <w:p>
      <w:pPr>
        <w:ind w:left="1060"/>
        <w:spacing w:after="0"/>
        <w:rPr>
          <w:sz w:val="20"/>
          <w:szCs w:val="20"/>
          <w:color w:val="auto"/>
        </w:rPr>
      </w:pPr>
      <w:r>
        <w:rPr>
          <w:rFonts w:ascii="Arial" w:cs="Arial" w:eastAsia="Arial" w:hAnsi="Arial"/>
          <w:sz w:val="24"/>
          <w:szCs w:val="24"/>
          <w:color w:val="273D86"/>
        </w:rPr>
        <w:t>WE PROTECT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457200" cy="469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200" cy="469265"/>
                    </a:xfrm>
                    <a:prstGeom prst="rect">
                      <a:avLst/>
                    </a:prstGeom>
                    <a:noFill/>
                  </pic:spPr>
                </pic:pic>
              </a:graphicData>
            </a:graphic>
          </wp:anchor>
        </w:drawing>
      </w:r>
    </w:p>
    <w:p>
      <w:pPr>
        <w:ind w:left="1060" w:right="820"/>
        <w:spacing w:after="0" w:line="250" w:lineRule="auto"/>
        <w:rPr>
          <w:sz w:val="20"/>
          <w:szCs w:val="20"/>
          <w:color w:val="auto"/>
        </w:rPr>
      </w:pPr>
      <w:r>
        <w:rPr>
          <w:rFonts w:ascii="Arial" w:cs="Arial" w:eastAsia="Arial" w:hAnsi="Arial"/>
          <w:sz w:val="20"/>
          <w:szCs w:val="20"/>
          <w:color w:val="auto"/>
        </w:rPr>
        <w:t>Solving customer challenges to ensure their employees work in a safe and productive work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457200" cy="424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424180"/>
                    </a:xfrm>
                    <a:prstGeom prst="rect">
                      <a:avLst/>
                    </a:prstGeom>
                    <a:noFill/>
                  </pic:spPr>
                </pic:pic>
              </a:graphicData>
            </a:graphic>
          </wp:anchor>
        </w:drawing>
      </w:r>
    </w:p>
    <w:p>
      <w:pPr>
        <w:spacing w:after="0" w:line="156" w:lineRule="exact"/>
        <w:rPr>
          <w:sz w:val="20"/>
          <w:szCs w:val="20"/>
          <w:color w:val="auto"/>
        </w:rPr>
      </w:pPr>
    </w:p>
    <w:p>
      <w:pPr>
        <w:ind w:left="1060"/>
        <w:spacing w:after="0"/>
        <w:rPr>
          <w:sz w:val="20"/>
          <w:szCs w:val="20"/>
          <w:color w:val="auto"/>
        </w:rPr>
      </w:pPr>
      <w:r>
        <w:rPr>
          <w:rFonts w:ascii="Arial" w:cs="Arial" w:eastAsia="Arial" w:hAnsi="Arial"/>
          <w:sz w:val="22"/>
          <w:szCs w:val="22"/>
          <w:color w:val="273D86"/>
        </w:rPr>
        <w:t>WE PROTECT THE ENVIRONMENT</w:t>
      </w:r>
    </w:p>
    <w:p>
      <w:pPr>
        <w:spacing w:after="0" w:line="41" w:lineRule="exact"/>
        <w:rPr>
          <w:sz w:val="20"/>
          <w:szCs w:val="20"/>
          <w:color w:val="auto"/>
        </w:rPr>
      </w:pPr>
    </w:p>
    <w:p>
      <w:pPr>
        <w:ind w:left="1060" w:right="420"/>
        <w:spacing w:after="0" w:line="276" w:lineRule="auto"/>
        <w:rPr>
          <w:sz w:val="20"/>
          <w:szCs w:val="20"/>
          <w:color w:val="auto"/>
        </w:rPr>
      </w:pPr>
      <w:r>
        <w:rPr>
          <w:rFonts w:ascii="Arial" w:cs="Arial" w:eastAsia="Arial" w:hAnsi="Arial"/>
          <w:sz w:val="19"/>
          <w:szCs w:val="19"/>
          <w:color w:val="auto"/>
        </w:rPr>
        <w:t>We minimize our environmental impact and help our global customers do the same</w:t>
      </w:r>
    </w:p>
    <w:p>
      <w:pPr>
        <w:spacing w:after="0" w:line="152" w:lineRule="exact"/>
        <w:rPr>
          <w:sz w:val="20"/>
          <w:szCs w:val="20"/>
          <w:color w:val="auto"/>
        </w:rPr>
      </w:pPr>
    </w:p>
    <w:p>
      <w:pPr>
        <w:ind w:left="1060" w:right="560"/>
        <w:spacing w:after="0" w:line="303" w:lineRule="auto"/>
        <w:rPr>
          <w:sz w:val="20"/>
          <w:szCs w:val="20"/>
          <w:color w:val="auto"/>
        </w:rPr>
      </w:pPr>
      <w:r>
        <w:rPr>
          <w:rFonts w:ascii="Arial" w:cs="Arial" w:eastAsia="Arial" w:hAnsi="Arial"/>
          <w:sz w:val="20"/>
          <w:szCs w:val="20"/>
          <w:color w:val="273D86"/>
        </w:rPr>
        <w:t>WE PROTECT INDUSTRIAL EQUIPMENT AND IMPROVE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-340360</wp:posOffset>
            </wp:positionV>
            <wp:extent cx="453390"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3390" cy="484505"/>
                    </a:xfrm>
                    <a:prstGeom prst="rect">
                      <a:avLst/>
                    </a:prstGeom>
                    <a:noFill/>
                  </pic:spPr>
                </pic:pic>
              </a:graphicData>
            </a:graphic>
          </wp:anchor>
        </w:drawing>
      </w:r>
    </w:p>
    <w:p>
      <w:pPr>
        <w:ind w:left="1060" w:right="960"/>
        <w:spacing w:after="0" w:line="250" w:lineRule="auto"/>
        <w:rPr>
          <w:sz w:val="20"/>
          <w:szCs w:val="20"/>
          <w:color w:val="auto"/>
        </w:rPr>
      </w:pPr>
      <w:r>
        <w:rPr>
          <w:rFonts w:ascii="Arial" w:cs="Arial" w:eastAsia="Arial" w:hAnsi="Arial"/>
          <w:sz w:val="20"/>
          <w:szCs w:val="20"/>
          <w:color w:val="auto"/>
        </w:rPr>
        <w:t>We help maximize our customer’s investment in their operating systems and optimize their output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37"/>
          <w:szCs w:val="37"/>
          <w:color w:val="273D86"/>
        </w:rPr>
        <w:t>CECO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75565</wp:posOffset>
            </wp:positionV>
            <wp:extent cx="2660650" cy="1922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0650" cy="192278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23"/>
          <w:szCs w:val="23"/>
          <w:color w:val="FFFFFF"/>
        </w:rPr>
        <w:t>C</w:t>
      </w:r>
      <w:r>
        <w:rPr>
          <w:rFonts w:ascii="Arial" w:cs="Arial" w:eastAsia="Arial" w:hAnsi="Arial"/>
          <w:sz w:val="19"/>
          <w:szCs w:val="19"/>
          <w:b w:val="1"/>
          <w:bCs w:val="1"/>
          <w:color w:val="FFFFFF"/>
        </w:rPr>
        <w:t>ustomer First</w:t>
      </w:r>
    </w:p>
    <w:p>
      <w:pPr>
        <w:spacing w:after="0" w:line="75" w:lineRule="exact"/>
        <w:rPr>
          <w:sz w:val="20"/>
          <w:szCs w:val="20"/>
          <w:color w:val="auto"/>
        </w:rPr>
      </w:pPr>
    </w:p>
    <w:p>
      <w:pPr>
        <w:spacing w:after="0"/>
        <w:tabs>
          <w:tab w:leader="none" w:pos="1840" w:val="left"/>
        </w:tabs>
        <w:rPr>
          <w:sz w:val="20"/>
          <w:szCs w:val="20"/>
          <w:color w:val="auto"/>
        </w:rPr>
      </w:pPr>
      <w:r>
        <w:rPr>
          <w:rFonts w:ascii="Arial" w:cs="Arial" w:eastAsia="Arial" w:hAnsi="Arial"/>
          <w:sz w:val="23"/>
          <w:szCs w:val="23"/>
          <w:color w:val="FFFFFF"/>
        </w:rPr>
        <w:t>A</w:t>
      </w:r>
      <w:r>
        <w:rPr>
          <w:rFonts w:ascii="Arial" w:cs="Arial" w:eastAsia="Arial" w:hAnsi="Arial"/>
          <w:sz w:val="19"/>
          <w:szCs w:val="19"/>
          <w:b w:val="1"/>
          <w:bCs w:val="1"/>
          <w:color w:val="FFFFFF"/>
        </w:rPr>
        <w:t>ccountability</w:t>
      </w:r>
      <w:r>
        <w:rPr>
          <w:sz w:val="20"/>
          <w:szCs w:val="20"/>
          <w:color w:val="auto"/>
        </w:rPr>
        <w:tab/>
      </w:r>
      <w:r>
        <w:rPr>
          <w:rFonts w:ascii="Arial" w:cs="Arial" w:eastAsia="Arial" w:hAnsi="Arial"/>
          <w:sz w:val="31"/>
          <w:szCs w:val="31"/>
          <w:color w:val="273D86"/>
        </w:rPr>
        <w:t>WIN</w:t>
      </w:r>
    </w:p>
    <w:p>
      <w:pPr>
        <w:spacing w:after="0" w:line="260" w:lineRule="exact"/>
        <w:rPr>
          <w:sz w:val="20"/>
          <w:szCs w:val="20"/>
          <w:color w:val="auto"/>
        </w:rPr>
      </w:pPr>
    </w:p>
    <w:p>
      <w:pPr>
        <w:spacing w:after="0"/>
        <w:rPr>
          <w:sz w:val="20"/>
          <w:szCs w:val="20"/>
          <w:color w:val="auto"/>
        </w:rPr>
      </w:pPr>
      <w:r>
        <w:rPr>
          <w:rFonts w:ascii="Arial" w:cs="Arial" w:eastAsia="Arial" w:hAnsi="Arial"/>
          <w:sz w:val="23"/>
          <w:szCs w:val="23"/>
          <w:color w:val="FFFFFF"/>
        </w:rPr>
        <w:t>R</w:t>
      </w:r>
      <w:r>
        <w:rPr>
          <w:rFonts w:ascii="Arial" w:cs="Arial" w:eastAsia="Arial" w:hAnsi="Arial"/>
          <w:sz w:val="19"/>
          <w:szCs w:val="19"/>
          <w:b w:val="1"/>
          <w:bCs w:val="1"/>
          <w:color w:val="FFFFFF"/>
        </w:rPr>
        <w:t>elentless Execution</w:t>
      </w:r>
    </w:p>
    <w:p>
      <w:pPr>
        <w:spacing w:after="0" w:line="22" w:lineRule="exact"/>
        <w:rPr>
          <w:sz w:val="20"/>
          <w:szCs w:val="20"/>
          <w:color w:val="auto"/>
        </w:rPr>
      </w:pPr>
    </w:p>
    <w:p>
      <w:pPr>
        <w:spacing w:after="0"/>
        <w:tabs>
          <w:tab w:leader="none" w:pos="1840" w:val="left"/>
        </w:tabs>
        <w:rPr>
          <w:sz w:val="20"/>
          <w:szCs w:val="20"/>
          <w:color w:val="auto"/>
        </w:rPr>
      </w:pPr>
      <w:r>
        <w:rPr>
          <w:rFonts w:ascii="Arial" w:cs="Arial" w:eastAsia="Arial" w:hAnsi="Arial"/>
          <w:sz w:val="23"/>
          <w:szCs w:val="23"/>
          <w:color w:val="FFFFFF"/>
        </w:rPr>
        <w:t>R</w:t>
      </w:r>
      <w:r>
        <w:rPr>
          <w:rFonts w:ascii="Arial" w:cs="Arial" w:eastAsia="Arial" w:hAnsi="Arial"/>
          <w:sz w:val="19"/>
          <w:szCs w:val="19"/>
          <w:b w:val="1"/>
          <w:bCs w:val="1"/>
          <w:color w:val="FFFFFF"/>
        </w:rPr>
        <w:t>espect</w:t>
      </w:r>
      <w:r>
        <w:rPr>
          <w:sz w:val="20"/>
          <w:szCs w:val="20"/>
          <w:color w:val="auto"/>
        </w:rPr>
        <w:tab/>
      </w:r>
      <w:r>
        <w:rPr>
          <w:rFonts w:ascii="Arial" w:cs="Arial" w:eastAsia="Arial" w:hAnsi="Arial"/>
          <w:sz w:val="47"/>
          <w:szCs w:val="47"/>
          <w:color w:val="98B82F"/>
          <w:vertAlign w:val="subscript"/>
        </w:rPr>
        <w:t>WIN</w:t>
      </w:r>
    </w:p>
    <w:p>
      <w:pPr>
        <w:spacing w:after="0" w:line="149" w:lineRule="exact"/>
        <w:rPr>
          <w:sz w:val="20"/>
          <w:szCs w:val="20"/>
          <w:color w:val="auto"/>
        </w:rPr>
      </w:pPr>
    </w:p>
    <w:p>
      <w:pPr>
        <w:spacing w:after="0"/>
        <w:tabs>
          <w:tab w:leader="none" w:pos="1660" w:val="left"/>
        </w:tabs>
        <w:rPr>
          <w:sz w:val="20"/>
          <w:szCs w:val="20"/>
          <w:color w:val="auto"/>
        </w:rPr>
      </w:pPr>
      <w:r>
        <w:rPr>
          <w:rFonts w:ascii="Arial" w:cs="Arial" w:eastAsia="Arial" w:hAnsi="Arial"/>
          <w:sz w:val="23"/>
          <w:szCs w:val="23"/>
          <w:color w:val="FFFFFF"/>
        </w:rPr>
        <w:t>I</w:t>
      </w:r>
      <w:r>
        <w:rPr>
          <w:rFonts w:ascii="Arial" w:cs="Arial" w:eastAsia="Arial" w:hAnsi="Arial"/>
          <w:sz w:val="19"/>
          <w:szCs w:val="19"/>
          <w:b w:val="1"/>
          <w:bCs w:val="1"/>
          <w:color w:val="FFFFFF"/>
        </w:rPr>
        <w:t>ntegrity</w:t>
      </w:r>
      <w:r>
        <w:rPr>
          <w:sz w:val="20"/>
          <w:szCs w:val="20"/>
          <w:color w:val="auto"/>
        </w:rPr>
        <w:tab/>
      </w:r>
      <w:r>
        <w:rPr>
          <w:rFonts w:ascii="Arial" w:cs="Arial" w:eastAsia="Arial" w:hAnsi="Arial"/>
          <w:sz w:val="30"/>
          <w:szCs w:val="30"/>
          <w:color w:val="98B82F"/>
        </w:rPr>
        <w:t>RIGHT</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color w:val="FFFFFF"/>
        </w:rPr>
        <w:t>T</w:t>
      </w:r>
      <w:r>
        <w:rPr>
          <w:rFonts w:ascii="Arial" w:cs="Arial" w:eastAsia="Arial" w:hAnsi="Arial"/>
          <w:sz w:val="19"/>
          <w:szCs w:val="19"/>
          <w:b w:val="1"/>
          <w:bCs w:val="1"/>
          <w:color w:val="FFFFFF"/>
        </w:rPr>
        <w:t>eamwork</w:t>
      </w:r>
    </w:p>
    <w:p>
      <w:pPr>
        <w:spacing w:after="0" w:line="305" w:lineRule="exact"/>
        <w:rPr>
          <w:sz w:val="20"/>
          <w:szCs w:val="20"/>
          <w:color w:val="auto"/>
        </w:rPr>
      </w:pPr>
    </w:p>
    <w:p>
      <w:pPr>
        <w:sectPr>
          <w:pgSz w:w="11880" w:h="15480" w:orient="portrait"/>
          <w:cols w:equalWidth="0" w:num="2">
            <w:col w:w="5300" w:space="720"/>
            <w:col w:w="3800"/>
          </w:cols>
          <w:pgMar w:left="720" w:top="360" w:right="1340" w:bottom="249"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45"/>
          <w:szCs w:val="45"/>
          <w:color w:val="273D86"/>
        </w:rPr>
        <w:t>SERVING CUSTOMERS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908050</wp:posOffset>
            </wp:positionV>
            <wp:extent cx="130175" cy="192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175" cy="19240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351790</wp:posOffset>
            </wp:positionV>
            <wp:extent cx="4451350" cy="959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51350" cy="95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40"/>
        <w:spacing w:after="0" w:line="326" w:lineRule="exact"/>
        <w:rPr>
          <w:sz w:val="20"/>
          <w:szCs w:val="20"/>
          <w:color w:val="auto"/>
        </w:rPr>
      </w:pPr>
      <w:r>
        <w:rPr>
          <w:sz w:val="1"/>
          <w:szCs w:val="1"/>
          <w:color w:val="auto"/>
        </w:rPr>
        <w:drawing>
          <wp:inline distT="0" distB="0" distL="0" distR="0">
            <wp:extent cx="130175" cy="1924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175" cy="192405"/>
                    </a:xfrm>
                    <a:prstGeom prst="rect">
                      <a:avLst/>
                    </a:prstGeom>
                    <a:noFill/>
                    <a:ln>
                      <a:noFill/>
                    </a:ln>
                  </pic:spPr>
                </pic:pic>
              </a:graphicData>
            </a:graphic>
          </wp:inline>
        </w:drawing>
      </w:r>
      <w:r>
        <w:rPr>
          <w:rFonts w:ascii="MS PGothic" w:cs="MS PGothic" w:eastAsia="MS PGothic" w:hAnsi="MS PGothic"/>
          <w:sz w:val="16"/>
          <w:szCs w:val="16"/>
          <w:color w:val="273D86"/>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-189865</wp:posOffset>
            </wp:positionV>
            <wp:extent cx="130175" cy="192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175" cy="19240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-20955</wp:posOffset>
            </wp:positionV>
            <wp:extent cx="130175" cy="192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175" cy="19240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318770</wp:posOffset>
            </wp:positionV>
            <wp:extent cx="130175" cy="192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175" cy="1924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040"/>
        <w:spacing w:after="0" w:line="298" w:lineRule="exact"/>
        <w:tabs>
          <w:tab w:leader="none" w:pos="4400" w:val="left"/>
        </w:tabs>
        <w:rPr>
          <w:sz w:val="20"/>
          <w:szCs w:val="20"/>
          <w:color w:val="auto"/>
        </w:rPr>
      </w:pPr>
      <w:r>
        <w:rPr>
          <w:rFonts w:ascii="MS PGothic" w:cs="MS PGothic" w:eastAsia="MS PGothic" w:hAnsi="MS PGothic"/>
          <w:sz w:val="23"/>
          <w:szCs w:val="23"/>
          <w:color w:val="273D86"/>
        </w:rPr>
        <w:t>★</w:t>
      </w:r>
      <w:r>
        <w:rPr>
          <w:rFonts w:ascii="Arial" w:cs="Arial" w:eastAsia="Arial" w:hAnsi="Arial"/>
          <w:sz w:val="18"/>
          <w:szCs w:val="18"/>
          <w:color w:val="262626"/>
        </w:rPr>
        <w:t xml:space="preserve"> Global Headquarters: Dallas, Texas</w:t>
      </w:r>
      <w:r>
        <w:rPr>
          <w:sz w:val="20"/>
          <w:szCs w:val="20"/>
          <w:color w:val="auto"/>
        </w:rPr>
        <w:tab/>
      </w:r>
      <w:r>
        <w:rPr>
          <w:rFonts w:ascii="Arial" w:cs="Arial" w:eastAsia="Arial" w:hAnsi="Arial"/>
          <w:sz w:val="22"/>
          <w:szCs w:val="22"/>
          <w:color w:val="273D86"/>
        </w:rPr>
        <w:t xml:space="preserve">~1,100 </w:t>
      </w:r>
      <w:r>
        <w:rPr>
          <w:rFonts w:ascii="Arial" w:cs="Arial" w:eastAsia="Arial" w:hAnsi="Arial"/>
          <w:sz w:val="17"/>
          <w:szCs w:val="17"/>
          <w:color w:val="262626"/>
        </w:rPr>
        <w:t>Employees worldwide</w:t>
      </w:r>
    </w:p>
    <w:p>
      <w:pPr>
        <w:spacing w:after="0" w:line="33" w:lineRule="exact"/>
        <w:rPr>
          <w:sz w:val="20"/>
          <w:szCs w:val="20"/>
          <w:color w:val="auto"/>
        </w:rPr>
      </w:pPr>
    </w:p>
    <w:p>
      <w:pPr>
        <w:jc w:val="right"/>
        <w:ind w:right="2300"/>
        <w:spacing w:after="0"/>
        <w:tabs>
          <w:tab w:leader="none" w:pos="3080" w:val="left"/>
        </w:tabs>
        <w:rPr>
          <w:sz w:val="20"/>
          <w:szCs w:val="20"/>
          <w:color w:val="auto"/>
        </w:rPr>
      </w:pPr>
      <w:r>
        <w:rPr>
          <w:sz w:val="1"/>
          <w:szCs w:val="1"/>
          <w:color w:val="auto"/>
        </w:rPr>
        <w:drawing>
          <wp:inline distT="0" distB="0" distL="0" distR="0">
            <wp:extent cx="130175" cy="1924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175" cy="192405"/>
                    </a:xfrm>
                    <a:prstGeom prst="rect">
                      <a:avLst/>
                    </a:prstGeom>
                    <a:noFill/>
                    <a:ln>
                      <a:noFill/>
                    </a:ln>
                  </pic:spPr>
                </pic:pic>
              </a:graphicData>
            </a:graphic>
          </wp:inline>
        </w:drawing>
      </w:r>
      <w:r>
        <w:rPr>
          <w:rFonts w:ascii="Arial" w:cs="Arial" w:eastAsia="Arial" w:hAnsi="Arial"/>
          <w:sz w:val="18"/>
          <w:szCs w:val="18"/>
          <w:color w:val="262626"/>
        </w:rPr>
        <w:t xml:space="preserve"> Sales and Engineering</w:t>
      </w:r>
      <w:r>
        <w:rPr>
          <w:sz w:val="20"/>
          <w:szCs w:val="20"/>
          <w:color w:val="auto"/>
        </w:rPr>
        <w:tab/>
      </w:r>
      <w:r>
        <w:rPr>
          <w:rFonts w:ascii="Arial" w:cs="Arial" w:eastAsia="Arial" w:hAnsi="Arial"/>
          <w:sz w:val="22"/>
          <w:szCs w:val="22"/>
          <w:color w:val="273D86"/>
        </w:rPr>
        <w:t xml:space="preserve">~60% </w:t>
      </w:r>
      <w:r>
        <w:rPr>
          <w:rFonts w:ascii="Arial" w:cs="Arial" w:eastAsia="Arial" w:hAnsi="Arial"/>
          <w:sz w:val="17"/>
          <w:szCs w:val="17"/>
          <w:color w:val="262626"/>
        </w:rPr>
        <w:t>are Engineers/Solution experts</w:t>
      </w:r>
    </w:p>
    <w:p>
      <w:pPr>
        <w:spacing w:after="0" w:line="15" w:lineRule="exact"/>
        <w:rPr>
          <w:sz w:val="20"/>
          <w:szCs w:val="20"/>
          <w:color w:val="auto"/>
        </w:rPr>
      </w:pPr>
    </w:p>
    <w:p>
      <w:pPr>
        <w:ind w:left="1040"/>
        <w:spacing w:after="0"/>
        <w:tabs>
          <w:tab w:leader="none" w:pos="4400" w:val="left"/>
        </w:tabs>
        <w:rPr>
          <w:sz w:val="20"/>
          <w:szCs w:val="20"/>
          <w:color w:val="auto"/>
        </w:rPr>
      </w:pPr>
      <w:r>
        <w:rPr>
          <w:sz w:val="1"/>
          <w:szCs w:val="1"/>
          <w:color w:val="auto"/>
        </w:rPr>
        <w:drawing>
          <wp:inline distT="0" distB="0" distL="0" distR="0">
            <wp:extent cx="130175" cy="1924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175" cy="192405"/>
                    </a:xfrm>
                    <a:prstGeom prst="rect">
                      <a:avLst/>
                    </a:prstGeom>
                    <a:noFill/>
                    <a:ln>
                      <a:noFill/>
                    </a:ln>
                  </pic:spPr>
                </pic:pic>
              </a:graphicData>
            </a:graphic>
          </wp:inline>
        </w:drawing>
      </w:r>
      <w:r>
        <w:rPr>
          <w:rFonts w:ascii="Arial" w:cs="Arial" w:eastAsia="Arial" w:hAnsi="Arial"/>
          <w:sz w:val="18"/>
          <w:szCs w:val="18"/>
          <w:color w:val="262626"/>
        </w:rPr>
        <w:t xml:space="preserve"> Manufacturing and Assembly</w:t>
      </w:r>
      <w:r>
        <w:rPr>
          <w:sz w:val="20"/>
          <w:szCs w:val="20"/>
          <w:color w:val="auto"/>
        </w:rPr>
        <w:tab/>
      </w:r>
      <w:r>
        <w:rPr>
          <w:rFonts w:ascii="Arial" w:cs="Arial" w:eastAsia="Arial" w:hAnsi="Arial"/>
          <w:sz w:val="22"/>
          <w:szCs w:val="22"/>
          <w:color w:val="273D86"/>
        </w:rPr>
        <w:t xml:space="preserve">~40% </w:t>
      </w:r>
      <w:r>
        <w:rPr>
          <w:rFonts w:ascii="Arial" w:cs="Arial" w:eastAsia="Arial" w:hAnsi="Arial"/>
          <w:sz w:val="17"/>
          <w:szCs w:val="17"/>
          <w:color w:val="262626"/>
        </w:rPr>
        <w:t>International Sales</w:t>
      </w:r>
    </w:p>
    <w:p>
      <w:pPr>
        <w:spacing w:after="0" w:line="20" w:lineRule="exact"/>
        <w:rPr>
          <w:sz w:val="20"/>
          <w:szCs w:val="20"/>
          <w:color w:val="auto"/>
        </w:rPr>
      </w:pPr>
    </w:p>
    <w:p>
      <w:pPr>
        <w:sectPr>
          <w:pgSz w:w="11880" w:h="15480" w:orient="portrait"/>
          <w:cols w:equalWidth="0" w:num="1">
            <w:col w:w="9820"/>
          </w:cols>
          <w:pgMar w:left="720" w:top="360" w:right="1340" w:bottom="249" w:gutter="0" w:footer="0" w:header="0"/>
          <w:type w:val="continuous"/>
        </w:sectPr>
      </w:pPr>
    </w:p>
    <w:bookmarkStart w:id="2" w:name="page3"/>
    <w:bookmarkEnd w:id="2"/>
    <w:p>
      <w:pPr>
        <w:ind w:left="20"/>
        <w:spacing w:after="0"/>
        <w:rPr>
          <w:sz w:val="20"/>
          <w:szCs w:val="20"/>
          <w:color w:val="auto"/>
        </w:rPr>
      </w:pPr>
      <w:r>
        <w:rPr>
          <w:rFonts w:ascii="Arial" w:cs="Arial" w:eastAsia="Arial" w:hAnsi="Arial"/>
          <w:sz w:val="64"/>
          <w:szCs w:val="64"/>
          <w:color w:val="273D86"/>
        </w:rPr>
        <w:drawing>
          <wp:anchor simplePos="0" relativeHeight="251657728" behindDoc="1" locked="0" layoutInCell="0" allowOverlap="1">
            <wp:simplePos x="0" y="0"/>
            <wp:positionH relativeFrom="page">
              <wp:posOffset>687705</wp:posOffset>
            </wp:positionH>
            <wp:positionV relativeFrom="page">
              <wp:posOffset>508635</wp:posOffset>
            </wp:positionV>
            <wp:extent cx="939800" cy="939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0" cy="939800"/>
                    </a:xfrm>
                    <a:prstGeom prst="rect">
                      <a:avLst/>
                    </a:prstGeom>
                    <a:noFill/>
                  </pic:spPr>
                </pic:pic>
              </a:graphicData>
            </a:graphic>
          </wp:anchor>
        </w:drawing>
        <w:t>2023 FINANCIAL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0"/>
        <w:spacing w:after="0"/>
        <w:rPr>
          <w:sz w:val="20"/>
          <w:szCs w:val="20"/>
          <w:color w:val="auto"/>
        </w:rPr>
      </w:pPr>
      <w:r>
        <w:rPr>
          <w:rFonts w:ascii="Arial" w:cs="Arial" w:eastAsia="Arial" w:hAnsi="Arial"/>
          <w:sz w:val="24"/>
          <w:szCs w:val="24"/>
          <w:b w:val="1"/>
          <w:bCs w:val="1"/>
          <w:color w:val="auto"/>
        </w:rPr>
        <w:t>Revenue</w:t>
      </w:r>
    </w:p>
    <w:p>
      <w:pPr>
        <w:jc w:val="center"/>
        <w:ind w:right="180"/>
        <w:spacing w:after="0"/>
        <w:rPr>
          <w:sz w:val="20"/>
          <w:szCs w:val="20"/>
          <w:color w:val="auto"/>
        </w:rPr>
      </w:pPr>
      <w:r>
        <w:rPr>
          <w:rFonts w:ascii="Arial" w:cs="Arial" w:eastAsia="Arial" w:hAnsi="Arial"/>
          <w:sz w:val="72"/>
          <w:szCs w:val="72"/>
          <w:color w:val="273D86"/>
        </w:rPr>
        <w:t>$545M</w:t>
      </w:r>
    </w:p>
    <w:p>
      <w:pPr>
        <w:spacing w:after="0" w:line="57" w:lineRule="exact"/>
        <w:rPr>
          <w:sz w:val="20"/>
          <w:szCs w:val="20"/>
          <w:color w:val="auto"/>
        </w:rPr>
      </w:pPr>
    </w:p>
    <w:p>
      <w:pPr>
        <w:jc w:val="center"/>
        <w:ind w:right="200"/>
        <w:spacing w:after="0"/>
        <w:rPr>
          <w:sz w:val="20"/>
          <w:szCs w:val="20"/>
          <w:color w:val="auto"/>
        </w:rPr>
      </w:pPr>
      <w:r>
        <w:rPr>
          <w:sz w:val="1"/>
          <w:szCs w:val="1"/>
          <w:color w:val="auto"/>
        </w:rPr>
        <w:drawing>
          <wp:inline distT="0" distB="0" distL="0" distR="0">
            <wp:extent cx="139700" cy="139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00" cy="139700"/>
                    </a:xfrm>
                    <a:prstGeom prst="rect">
                      <a:avLst/>
                    </a:prstGeom>
                    <a:noFill/>
                    <a:ln>
                      <a:noFill/>
                    </a:ln>
                  </pic:spPr>
                </pic:pic>
              </a:graphicData>
            </a:graphic>
          </wp:inline>
        </w:drawing>
      </w:r>
      <w:r>
        <w:rPr>
          <w:rFonts w:ascii="Arial" w:cs="Arial" w:eastAsia="Arial" w:hAnsi="Arial"/>
          <w:sz w:val="24"/>
          <w:szCs w:val="24"/>
          <w:color w:val="auto"/>
        </w:rPr>
        <w:t xml:space="preserve"> 29% YOY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372110</wp:posOffset>
                </wp:positionV>
                <wp:extent cx="64008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BFBFB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9.3pt" to="486pt,29.3pt" o:allowincell="f" strokecolor="#BFBFBF" strokeweight="0.7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2261870</wp:posOffset>
                </wp:positionV>
                <wp:extent cx="64008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BFBFB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78.1pt" to="486pt,178.1pt" o:allowincell="f" strokecolor="#BFBFBF" strokeweight="0.7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4017645</wp:posOffset>
                </wp:positionV>
                <wp:extent cx="64008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BFBFB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16.35pt" to="486pt,316.35pt" o:allowincell="f" strokecolor="#BFBFBF" strokeweight="0.75pt"/>
            </w:pict>
          </mc:Fallback>
        </mc:AlternateContent>
        <mc:AlternateContent>
          <mc:Choice Requires="wps">
            <w:drawing>
              <wp:anchor simplePos="0" relativeHeight="251657728" behindDoc="1" locked="0" layoutInCell="0" allowOverlap="1">
                <wp:simplePos x="0" y="0"/>
                <wp:positionH relativeFrom="column">
                  <wp:posOffset>4064000</wp:posOffset>
                </wp:positionH>
                <wp:positionV relativeFrom="paragraph">
                  <wp:posOffset>367030</wp:posOffset>
                </wp:positionV>
                <wp:extent cx="0" cy="365569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55695"/>
                        </a:xfrm>
                        <a:prstGeom prst="line">
                          <a:avLst/>
                        </a:prstGeom>
                        <a:solidFill>
                          <a:srgbClr val="FFFFFF"/>
                        </a:solidFill>
                        <a:ln w="9525">
                          <a:solidFill>
                            <a:srgbClr val="BFBFB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pt,28.9pt" to="320pt,316.75pt" o:allowincell="f" strokecolor="#BFBFBF" strokeweight="0.75pt"/>
            </w:pict>
          </mc:Fallback>
        </mc:AlternateContent>
        <mc:AlternateContent>
          <mc:Choice Requires="wps">
            <w:drawing>
              <wp:anchor simplePos="0" relativeHeight="251657728" behindDoc="1" locked="0" layoutInCell="0" allowOverlap="1">
                <wp:simplePos x="0" y="0"/>
                <wp:positionH relativeFrom="column">
                  <wp:posOffset>1879600</wp:posOffset>
                </wp:positionH>
                <wp:positionV relativeFrom="paragraph">
                  <wp:posOffset>367030</wp:posOffset>
                </wp:positionV>
                <wp:extent cx="0" cy="365569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55695"/>
                        </a:xfrm>
                        <a:prstGeom prst="line">
                          <a:avLst/>
                        </a:prstGeom>
                        <a:solidFill>
                          <a:srgbClr val="FFFFFF"/>
                        </a:solidFill>
                        <a:ln w="9525">
                          <a:solidFill>
                            <a:srgbClr val="BFBFB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pt,28.9pt" to="148pt,316.75pt" o:allowincell="f" strokecolor="#BFBFBF" strokeweight="0.7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2720" w:type="dxa"/>
            <w:vAlign w:val="bottom"/>
          </w:tcPr>
          <w:p>
            <w:pPr>
              <w:ind w:left="620"/>
              <w:spacing w:after="0"/>
              <w:rPr>
                <w:sz w:val="20"/>
                <w:szCs w:val="20"/>
                <w:color w:val="auto"/>
              </w:rPr>
            </w:pPr>
            <w:r>
              <w:rPr>
                <w:rFonts w:ascii="Arial" w:cs="Arial" w:eastAsia="Arial" w:hAnsi="Arial"/>
                <w:sz w:val="24"/>
                <w:szCs w:val="24"/>
                <w:b w:val="1"/>
                <w:bCs w:val="1"/>
                <w:color w:val="auto"/>
              </w:rPr>
              <w:t>Orders</w:t>
            </w:r>
          </w:p>
        </w:tc>
        <w:tc>
          <w:tcPr>
            <w:tcW w:w="3440" w:type="dxa"/>
            <w:vAlign w:val="bottom"/>
          </w:tcPr>
          <w:p>
            <w:pPr>
              <w:ind w:left="1260"/>
              <w:spacing w:after="0"/>
              <w:rPr>
                <w:sz w:val="20"/>
                <w:szCs w:val="20"/>
                <w:color w:val="auto"/>
              </w:rPr>
            </w:pPr>
            <w:r>
              <w:rPr>
                <w:rFonts w:ascii="Arial" w:cs="Arial" w:eastAsia="Arial" w:hAnsi="Arial"/>
                <w:sz w:val="24"/>
                <w:szCs w:val="24"/>
                <w:b w:val="1"/>
                <w:bCs w:val="1"/>
                <w:color w:val="auto"/>
              </w:rPr>
              <w:t>Backlog</w:t>
            </w:r>
          </w:p>
        </w:tc>
        <w:tc>
          <w:tcPr>
            <w:tcW w:w="2720" w:type="dxa"/>
            <w:vAlign w:val="bottom"/>
          </w:tcPr>
          <w:p>
            <w:pPr>
              <w:jc w:val="center"/>
              <w:ind w:left="520"/>
              <w:spacing w:after="0"/>
              <w:rPr>
                <w:sz w:val="20"/>
                <w:szCs w:val="20"/>
                <w:color w:val="auto"/>
              </w:rPr>
            </w:pPr>
            <w:r>
              <w:rPr>
                <w:rFonts w:ascii="Arial" w:cs="Arial" w:eastAsia="Arial" w:hAnsi="Arial"/>
                <w:sz w:val="24"/>
                <w:szCs w:val="24"/>
                <w:b w:val="1"/>
                <w:bCs w:val="1"/>
                <w:color w:val="auto"/>
                <w:w w:val="98"/>
              </w:rPr>
              <w:t>Gross Profit</w:t>
            </w:r>
          </w:p>
        </w:tc>
      </w:tr>
      <w:tr>
        <w:trPr>
          <w:trHeight w:val="885"/>
        </w:trPr>
        <w:tc>
          <w:tcPr>
            <w:tcW w:w="2720" w:type="dxa"/>
            <w:vAlign w:val="bottom"/>
          </w:tcPr>
          <w:p>
            <w:pPr>
              <w:spacing w:after="0"/>
              <w:rPr>
                <w:sz w:val="20"/>
                <w:szCs w:val="20"/>
                <w:color w:val="auto"/>
              </w:rPr>
            </w:pPr>
            <w:r>
              <w:rPr>
                <w:rFonts w:ascii="Arial" w:cs="Arial" w:eastAsia="Arial" w:hAnsi="Arial"/>
                <w:sz w:val="72"/>
                <w:szCs w:val="72"/>
                <w:color w:val="273D86"/>
              </w:rPr>
              <w:t>$583M</w:t>
            </w:r>
          </w:p>
        </w:tc>
        <w:tc>
          <w:tcPr>
            <w:tcW w:w="3440" w:type="dxa"/>
            <w:vAlign w:val="bottom"/>
          </w:tcPr>
          <w:p>
            <w:pPr>
              <w:ind w:left="720"/>
              <w:spacing w:after="0"/>
              <w:rPr>
                <w:sz w:val="20"/>
                <w:szCs w:val="20"/>
                <w:color w:val="auto"/>
              </w:rPr>
            </w:pPr>
            <w:r>
              <w:rPr>
                <w:rFonts w:ascii="Arial" w:cs="Arial" w:eastAsia="Arial" w:hAnsi="Arial"/>
                <w:sz w:val="72"/>
                <w:szCs w:val="72"/>
                <w:color w:val="273D86"/>
              </w:rPr>
              <w:t>$371M</w:t>
            </w:r>
          </w:p>
        </w:tc>
        <w:tc>
          <w:tcPr>
            <w:tcW w:w="2720" w:type="dxa"/>
            <w:vAlign w:val="bottom"/>
          </w:tcPr>
          <w:p>
            <w:pPr>
              <w:jc w:val="center"/>
              <w:ind w:left="520"/>
              <w:spacing w:after="0"/>
              <w:rPr>
                <w:sz w:val="20"/>
                <w:szCs w:val="20"/>
                <w:color w:val="auto"/>
              </w:rPr>
            </w:pPr>
            <w:r>
              <w:rPr>
                <w:rFonts w:ascii="Arial" w:cs="Arial" w:eastAsia="Arial" w:hAnsi="Arial"/>
                <w:sz w:val="72"/>
                <w:szCs w:val="72"/>
                <w:color w:val="273D86"/>
                <w:w w:val="90"/>
              </w:rPr>
              <w:t>$171M</w:t>
            </w:r>
          </w:p>
        </w:tc>
      </w:tr>
      <w:tr>
        <w:trPr>
          <w:trHeight w:val="277"/>
        </w:trPr>
        <w:tc>
          <w:tcPr>
            <w:tcW w:w="2720" w:type="dxa"/>
            <w:vAlign w:val="bottom"/>
          </w:tcPr>
          <w:p>
            <w:pPr>
              <w:ind w:left="640"/>
              <w:spacing w:after="0"/>
              <w:rPr>
                <w:sz w:val="20"/>
                <w:szCs w:val="20"/>
                <w:color w:val="auto"/>
              </w:rPr>
            </w:pPr>
            <w:r>
              <w:rPr>
                <w:rFonts w:ascii="Arial" w:cs="Arial" w:eastAsia="Arial" w:hAnsi="Arial"/>
                <w:sz w:val="24"/>
                <w:szCs w:val="24"/>
                <w:color w:val="auto"/>
              </w:rPr>
              <w:t>11% YOY</w:t>
            </w:r>
          </w:p>
        </w:tc>
        <w:tc>
          <w:tcPr>
            <w:tcW w:w="3440" w:type="dxa"/>
            <w:vAlign w:val="bottom"/>
          </w:tcPr>
          <w:p>
            <w:pPr>
              <w:ind w:left="1360"/>
              <w:spacing w:after="0"/>
              <w:rPr>
                <w:sz w:val="20"/>
                <w:szCs w:val="20"/>
                <w:color w:val="auto"/>
              </w:rPr>
            </w:pPr>
            <w:r>
              <w:rPr>
                <w:rFonts w:ascii="Arial" w:cs="Arial" w:eastAsia="Arial" w:hAnsi="Arial"/>
                <w:sz w:val="24"/>
                <w:szCs w:val="24"/>
                <w:color w:val="auto"/>
              </w:rPr>
              <w:t>19% YOY</w:t>
            </w:r>
          </w:p>
        </w:tc>
        <w:tc>
          <w:tcPr>
            <w:tcW w:w="2720" w:type="dxa"/>
            <w:vAlign w:val="bottom"/>
          </w:tcPr>
          <w:p>
            <w:pPr>
              <w:ind w:left="1340"/>
              <w:spacing w:after="0"/>
              <w:rPr>
                <w:sz w:val="20"/>
                <w:szCs w:val="20"/>
                <w:color w:val="auto"/>
              </w:rPr>
            </w:pPr>
            <w:r>
              <w:rPr>
                <w:rFonts w:ascii="Arial" w:cs="Arial" w:eastAsia="Arial" w:hAnsi="Arial"/>
                <w:sz w:val="24"/>
                <w:szCs w:val="24"/>
                <w:color w:val="auto"/>
              </w:rPr>
              <w:t>33% YOY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-160655</wp:posOffset>
            </wp:positionV>
            <wp:extent cx="139700" cy="139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-160655</wp:posOffset>
            </wp:positionV>
            <wp:extent cx="139700" cy="139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-160655</wp:posOffset>
            </wp:positionV>
            <wp:extent cx="139700"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13970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2640" w:type="dxa"/>
            <w:vAlign w:val="bottom"/>
          </w:tcPr>
          <w:p>
            <w:pPr>
              <w:jc w:val="center"/>
              <w:ind w:right="480"/>
              <w:spacing w:after="0"/>
              <w:rPr>
                <w:sz w:val="20"/>
                <w:szCs w:val="20"/>
                <w:color w:val="auto"/>
              </w:rPr>
            </w:pPr>
            <w:r>
              <w:rPr>
                <w:rFonts w:ascii="Arial" w:cs="Arial" w:eastAsia="Arial" w:hAnsi="Arial"/>
                <w:sz w:val="24"/>
                <w:szCs w:val="24"/>
                <w:b w:val="1"/>
                <w:bCs w:val="1"/>
                <w:color w:val="auto"/>
                <w:w w:val="98"/>
              </w:rPr>
              <w:t>Adjusted EBITDA</w:t>
            </w:r>
          </w:p>
        </w:tc>
        <w:tc>
          <w:tcPr>
            <w:tcW w:w="3700" w:type="dxa"/>
            <w:vAlign w:val="bottom"/>
          </w:tcPr>
          <w:p>
            <w:pPr>
              <w:ind w:left="680"/>
              <w:spacing w:after="0"/>
              <w:rPr>
                <w:sz w:val="20"/>
                <w:szCs w:val="20"/>
                <w:color w:val="auto"/>
              </w:rPr>
            </w:pPr>
            <w:r>
              <w:rPr>
                <w:rFonts w:ascii="Arial" w:cs="Arial" w:eastAsia="Arial" w:hAnsi="Arial"/>
                <w:sz w:val="24"/>
                <w:szCs w:val="24"/>
                <w:b w:val="1"/>
                <w:bCs w:val="1"/>
                <w:color w:val="auto"/>
              </w:rPr>
              <w:t>Earnings Per Share</w:t>
            </w:r>
          </w:p>
        </w:tc>
        <w:tc>
          <w:tcPr>
            <w:tcW w:w="2400" w:type="dxa"/>
            <w:vAlign w:val="bottom"/>
          </w:tcPr>
          <w:p>
            <w:pPr>
              <w:ind w:left="640"/>
              <w:spacing w:after="0"/>
              <w:rPr>
                <w:sz w:val="20"/>
                <w:szCs w:val="20"/>
                <w:color w:val="auto"/>
              </w:rPr>
            </w:pPr>
            <w:r>
              <w:rPr>
                <w:rFonts w:ascii="Arial" w:cs="Arial" w:eastAsia="Arial" w:hAnsi="Arial"/>
                <w:sz w:val="24"/>
                <w:szCs w:val="24"/>
                <w:b w:val="1"/>
                <w:bCs w:val="1"/>
                <w:color w:val="auto"/>
                <w:w w:val="98"/>
              </w:rPr>
              <w:t>Free Cash Flow</w:t>
            </w:r>
          </w:p>
        </w:tc>
      </w:tr>
      <w:tr>
        <w:trPr>
          <w:trHeight w:val="885"/>
        </w:trPr>
        <w:tc>
          <w:tcPr>
            <w:tcW w:w="2640" w:type="dxa"/>
            <w:vAlign w:val="bottom"/>
          </w:tcPr>
          <w:p>
            <w:pPr>
              <w:jc w:val="center"/>
              <w:ind w:right="480"/>
              <w:spacing w:after="0"/>
              <w:rPr>
                <w:sz w:val="20"/>
                <w:szCs w:val="20"/>
                <w:color w:val="auto"/>
              </w:rPr>
            </w:pPr>
            <w:r>
              <w:rPr>
                <w:rFonts w:ascii="Arial" w:cs="Arial" w:eastAsia="Arial" w:hAnsi="Arial"/>
                <w:sz w:val="72"/>
                <w:szCs w:val="72"/>
                <w:color w:val="273D86"/>
                <w:w w:val="91"/>
              </w:rPr>
              <w:t>$58M</w:t>
            </w:r>
          </w:p>
        </w:tc>
        <w:tc>
          <w:tcPr>
            <w:tcW w:w="3700" w:type="dxa"/>
            <w:vAlign w:val="bottom"/>
          </w:tcPr>
          <w:p>
            <w:pPr>
              <w:jc w:val="right"/>
              <w:ind w:right="880"/>
              <w:spacing w:after="0"/>
              <w:rPr>
                <w:sz w:val="20"/>
                <w:szCs w:val="20"/>
                <w:color w:val="auto"/>
              </w:rPr>
            </w:pPr>
            <w:r>
              <w:rPr>
                <w:rFonts w:ascii="Arial" w:cs="Arial" w:eastAsia="Arial" w:hAnsi="Arial"/>
                <w:sz w:val="72"/>
                <w:szCs w:val="72"/>
                <w:color w:val="273D86"/>
              </w:rPr>
              <w:t>$0.37</w:t>
            </w:r>
          </w:p>
        </w:tc>
        <w:tc>
          <w:tcPr>
            <w:tcW w:w="2400" w:type="dxa"/>
            <w:vAlign w:val="bottom"/>
          </w:tcPr>
          <w:p>
            <w:pPr>
              <w:ind w:left="700"/>
              <w:spacing w:after="0"/>
              <w:rPr>
                <w:sz w:val="20"/>
                <w:szCs w:val="20"/>
                <w:color w:val="auto"/>
              </w:rPr>
            </w:pPr>
            <w:r>
              <w:rPr>
                <w:rFonts w:ascii="Arial" w:cs="Arial" w:eastAsia="Arial" w:hAnsi="Arial"/>
                <w:sz w:val="72"/>
                <w:szCs w:val="72"/>
                <w:color w:val="273D86"/>
                <w:w w:val="93"/>
              </w:rPr>
              <w:t>$36M</w:t>
            </w:r>
          </w:p>
        </w:tc>
      </w:tr>
      <w:tr>
        <w:trPr>
          <w:trHeight w:val="283"/>
        </w:trPr>
        <w:tc>
          <w:tcPr>
            <w:tcW w:w="2640" w:type="dxa"/>
            <w:vAlign w:val="bottom"/>
          </w:tcPr>
          <w:p>
            <w:pPr>
              <w:ind w:left="600"/>
              <w:spacing w:after="0"/>
              <w:rPr>
                <w:sz w:val="20"/>
                <w:szCs w:val="20"/>
                <w:color w:val="auto"/>
              </w:rPr>
            </w:pPr>
            <w:r>
              <w:rPr>
                <w:rFonts w:ascii="Arial" w:cs="Arial" w:eastAsia="Arial" w:hAnsi="Arial"/>
                <w:sz w:val="24"/>
                <w:szCs w:val="24"/>
                <w:color w:val="auto"/>
              </w:rPr>
              <w:t>37% YOY</w:t>
            </w:r>
          </w:p>
        </w:tc>
        <w:tc>
          <w:tcPr>
            <w:tcW w:w="3700" w:type="dxa"/>
            <w:vAlign w:val="bottom"/>
          </w:tcPr>
          <w:p>
            <w:pPr>
              <w:ind w:left="740"/>
              <w:spacing w:after="0"/>
              <w:rPr>
                <w:sz w:val="20"/>
                <w:szCs w:val="20"/>
                <w:color w:val="auto"/>
              </w:rPr>
            </w:pPr>
            <w:r>
              <w:rPr>
                <w:rFonts w:ascii="Arial" w:cs="Arial" w:eastAsia="Arial" w:hAnsi="Arial"/>
                <w:sz w:val="24"/>
                <w:szCs w:val="24"/>
                <w:color w:val="auto"/>
              </w:rPr>
              <w:t>26% YOY ($0.13 YOY)</w:t>
            </w:r>
          </w:p>
        </w:tc>
        <w:tc>
          <w:tcPr>
            <w:tcW w:w="2400" w:type="dxa"/>
            <w:vAlign w:val="bottom"/>
          </w:tcPr>
          <w:p>
            <w:pPr>
              <w:ind w:left="1140"/>
              <w:spacing w:after="0"/>
              <w:rPr>
                <w:sz w:val="20"/>
                <w:szCs w:val="20"/>
                <w:color w:val="auto"/>
              </w:rPr>
            </w:pPr>
            <w:r>
              <w:rPr>
                <w:rFonts w:ascii="Arial" w:cs="Arial" w:eastAsia="Arial" w:hAnsi="Arial"/>
                <w:sz w:val="24"/>
                <w:szCs w:val="24"/>
                <w:color w:val="auto"/>
              </w:rPr>
              <w:t>33% YOY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-159385</wp:posOffset>
            </wp:positionV>
            <wp:extent cx="139700" cy="139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-159385</wp:posOffset>
            </wp:positionV>
            <wp:extent cx="139700" cy="139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-164465</wp:posOffset>
            </wp:positionV>
            <wp:extent cx="139700" cy="139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13970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940" w:type="dxa"/>
        <w:tblCellMar>
          <w:top w:w="0" w:type="dxa"/>
          <w:left w:w="0" w:type="dxa"/>
          <w:bottom w:w="0" w:type="dxa"/>
          <w:right w:w="0" w:type="dxa"/>
        </w:tblCellMar>
      </w:tblPr>
      <w:tr>
        <w:trPr>
          <w:trHeight w:val="256"/>
        </w:trPr>
        <w:tc>
          <w:tcPr>
            <w:tcW w:w="740" w:type="dxa"/>
            <w:vAlign w:val="bottom"/>
          </w:tcPr>
          <w:p>
            <w:pPr>
              <w:spacing w:after="0"/>
              <w:rPr>
                <w:sz w:val="20"/>
                <w:szCs w:val="20"/>
                <w:color w:val="auto"/>
              </w:rPr>
            </w:pPr>
            <w:r>
              <w:rPr>
                <w:rFonts w:ascii="Arial" w:cs="Arial" w:eastAsia="Arial" w:hAnsi="Arial"/>
                <w:sz w:val="22"/>
                <w:szCs w:val="22"/>
                <w:b w:val="1"/>
                <w:bCs w:val="1"/>
                <w:color w:val="auto"/>
                <w:w w:val="99"/>
              </w:rPr>
              <w:t>Orders</w:t>
            </w:r>
          </w:p>
        </w:tc>
        <w:tc>
          <w:tcPr>
            <w:tcW w:w="1640" w:type="dxa"/>
            <w:vAlign w:val="bottom"/>
          </w:tcPr>
          <w:p>
            <w:pPr>
              <w:spacing w:after="0"/>
              <w:rPr>
                <w:sz w:val="22"/>
                <w:szCs w:val="22"/>
                <w:color w:val="auto"/>
              </w:rPr>
            </w:pPr>
          </w:p>
        </w:tc>
        <w:tc>
          <w:tcPr>
            <w:tcW w:w="3400" w:type="dxa"/>
            <w:vAlign w:val="bottom"/>
          </w:tcPr>
          <w:p>
            <w:pPr>
              <w:jc w:val="center"/>
              <w:ind w:right="552"/>
              <w:spacing w:after="0"/>
              <w:rPr>
                <w:sz w:val="20"/>
                <w:szCs w:val="20"/>
                <w:color w:val="auto"/>
              </w:rPr>
            </w:pPr>
            <w:r>
              <w:rPr>
                <w:rFonts w:ascii="Arial" w:cs="Arial" w:eastAsia="Arial" w:hAnsi="Arial"/>
                <w:sz w:val="22"/>
                <w:szCs w:val="22"/>
                <w:b w:val="1"/>
                <w:bCs w:val="1"/>
                <w:color w:val="auto"/>
                <w:w w:val="98"/>
              </w:rPr>
              <w:t>Revenue</w:t>
            </w:r>
          </w:p>
        </w:tc>
        <w:tc>
          <w:tcPr>
            <w:tcW w:w="2420" w:type="dxa"/>
            <w:vAlign w:val="bottom"/>
          </w:tcPr>
          <w:p>
            <w:pPr>
              <w:jc w:val="center"/>
              <w:ind w:left="152"/>
              <w:spacing w:after="0"/>
              <w:rPr>
                <w:sz w:val="20"/>
                <w:szCs w:val="20"/>
                <w:color w:val="auto"/>
              </w:rPr>
            </w:pPr>
            <w:r>
              <w:rPr>
                <w:rFonts w:ascii="Arial" w:cs="Arial" w:eastAsia="Arial" w:hAnsi="Arial"/>
                <w:sz w:val="22"/>
                <w:szCs w:val="22"/>
                <w:b w:val="1"/>
                <w:bCs w:val="1"/>
                <w:color w:val="auto"/>
                <w:w w:val="97"/>
              </w:rPr>
              <w:t>EBITDA</w:t>
            </w:r>
          </w:p>
        </w:tc>
        <w:tc>
          <w:tcPr>
            <w:tcW w:w="0" w:type="dxa"/>
            <w:vAlign w:val="bottom"/>
          </w:tcPr>
          <w:p>
            <w:pPr>
              <w:spacing w:after="0"/>
              <w:rPr>
                <w:sz w:val="1"/>
                <w:szCs w:val="1"/>
                <w:color w:val="auto"/>
              </w:rPr>
            </w:pPr>
          </w:p>
        </w:tc>
      </w:tr>
      <w:tr>
        <w:trPr>
          <w:trHeight w:val="551"/>
        </w:trPr>
        <w:tc>
          <w:tcPr>
            <w:tcW w:w="740" w:type="dxa"/>
            <w:vAlign w:val="bottom"/>
            <w:vMerge w:val="restart"/>
          </w:tcPr>
          <w:p>
            <w:pPr>
              <w:spacing w:after="0"/>
              <w:rPr>
                <w:sz w:val="20"/>
                <w:szCs w:val="20"/>
                <w:color w:val="auto"/>
              </w:rPr>
            </w:pPr>
            <w:r>
              <w:rPr>
                <w:rFonts w:ascii="Arial" w:cs="Arial" w:eastAsia="Arial" w:hAnsi="Arial"/>
                <w:sz w:val="22"/>
                <w:szCs w:val="22"/>
                <w:color w:val="auto"/>
              </w:rPr>
              <w:t>$527M</w:t>
            </w:r>
          </w:p>
        </w:tc>
        <w:tc>
          <w:tcPr>
            <w:tcW w:w="1640" w:type="dxa"/>
            <w:vAlign w:val="bottom"/>
          </w:tcPr>
          <w:p>
            <w:pPr>
              <w:ind w:left="40"/>
              <w:spacing w:after="0"/>
              <w:rPr>
                <w:sz w:val="20"/>
                <w:szCs w:val="20"/>
                <w:color w:val="auto"/>
              </w:rPr>
            </w:pPr>
            <w:r>
              <w:rPr>
                <w:rFonts w:ascii="Arial" w:cs="Arial" w:eastAsia="Arial" w:hAnsi="Arial"/>
                <w:sz w:val="22"/>
                <w:szCs w:val="22"/>
                <w:color w:val="auto"/>
              </w:rPr>
              <w:t>$583M</w:t>
            </w:r>
          </w:p>
        </w:tc>
        <w:tc>
          <w:tcPr>
            <w:tcW w:w="3400" w:type="dxa"/>
            <w:vAlign w:val="bottom"/>
            <w:vMerge w:val="restart"/>
          </w:tcPr>
          <w:p>
            <w:pPr>
              <w:ind w:left="1780"/>
              <w:spacing w:after="0"/>
              <w:rPr>
                <w:sz w:val="20"/>
                <w:szCs w:val="20"/>
                <w:color w:val="auto"/>
              </w:rPr>
            </w:pPr>
            <w:r>
              <w:rPr>
                <w:rFonts w:ascii="Arial" w:cs="Arial" w:eastAsia="Arial" w:hAnsi="Arial"/>
                <w:sz w:val="22"/>
                <w:szCs w:val="22"/>
                <w:color w:val="auto"/>
              </w:rPr>
              <w:t>$545M</w:t>
            </w:r>
          </w:p>
        </w:tc>
        <w:tc>
          <w:tcPr>
            <w:tcW w:w="2420" w:type="dxa"/>
            <w:vAlign w:val="bottom"/>
          </w:tcPr>
          <w:p>
            <w:pPr>
              <w:ind w:left="1880"/>
              <w:spacing w:after="0"/>
              <w:rPr>
                <w:sz w:val="20"/>
                <w:szCs w:val="20"/>
                <w:color w:val="auto"/>
              </w:rPr>
            </w:pPr>
            <w:r>
              <w:rPr>
                <w:rFonts w:ascii="Arial" w:cs="Arial" w:eastAsia="Arial" w:hAnsi="Arial"/>
                <w:sz w:val="22"/>
                <w:szCs w:val="22"/>
                <w:color w:val="auto"/>
                <w:w w:val="94"/>
              </w:rPr>
              <w:t>$58M</w:t>
            </w:r>
          </w:p>
        </w:tc>
        <w:tc>
          <w:tcPr>
            <w:tcW w:w="0" w:type="dxa"/>
            <w:vAlign w:val="bottom"/>
          </w:tcPr>
          <w:p>
            <w:pPr>
              <w:spacing w:after="0"/>
              <w:rPr>
                <w:sz w:val="1"/>
                <w:szCs w:val="1"/>
                <w:color w:val="auto"/>
              </w:rPr>
            </w:pPr>
          </w:p>
        </w:tc>
      </w:tr>
      <w:tr>
        <w:trPr>
          <w:trHeight w:val="144"/>
        </w:trPr>
        <w:tc>
          <w:tcPr>
            <w:tcW w:w="74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3400" w:type="dxa"/>
            <w:vAlign w:val="bottom"/>
            <w:vMerge w:val="continue"/>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4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0"/>
        </w:trPr>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22"/>
                <w:szCs w:val="22"/>
                <w:color w:val="auto"/>
                <w:w w:val="98"/>
              </w:rPr>
              <w:t>$423M</w:t>
            </w:r>
          </w:p>
        </w:tc>
        <w:tc>
          <w:tcPr>
            <w:tcW w:w="2420" w:type="dxa"/>
            <w:vAlign w:val="bottom"/>
          </w:tcPr>
          <w:p>
            <w:pPr>
              <w:jc w:val="center"/>
              <w:ind w:left="212"/>
              <w:spacing w:after="0"/>
              <w:rPr>
                <w:sz w:val="20"/>
                <w:szCs w:val="20"/>
                <w:color w:val="auto"/>
              </w:rPr>
            </w:pPr>
            <w:r>
              <w:rPr>
                <w:rFonts w:ascii="Arial" w:cs="Arial" w:eastAsia="Arial" w:hAnsi="Arial"/>
                <w:sz w:val="22"/>
                <w:szCs w:val="22"/>
                <w:color w:val="auto"/>
                <w:w w:val="98"/>
              </w:rPr>
              <w:t>$42M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600710</wp:posOffset>
                </wp:positionH>
                <wp:positionV relativeFrom="paragraph">
                  <wp:posOffset>-262890</wp:posOffset>
                </wp:positionV>
                <wp:extent cx="410210" cy="144526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210" cy="1445260"/>
                        </a:xfrm>
                        <a:prstGeom prst="rect">
                          <a:avLst/>
                        </a:prstGeom>
                        <a:solidFill>
                          <a:srgbClr val="3E84AE"/>
                        </a:solidFill>
                      </wps:spPr>
                      <wps:bodyPr/>
                    </wps:wsp>
                  </a:graphicData>
                </a:graphic>
              </wp:anchor>
            </w:drawing>
          </mc:Choice>
          <mc:Fallback>
            <w:pict>
              <v:rect id="Shape 29" o:spid="_x0000_s1054" style="position:absolute;margin-left:47.3pt;margin-top:-20.6999pt;width:32.3pt;height:1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4AE" stroked="f"/>
            </w:pict>
          </mc:Fallback>
        </mc:AlternateContent>
        <mc:AlternateContent>
          <mc:Choice Requires="wps">
            <w:drawing>
              <wp:anchor simplePos="0" relativeHeight="251657728" behindDoc="1" locked="0" layoutInCell="0" allowOverlap="1">
                <wp:simplePos x="0" y="0"/>
                <wp:positionH relativeFrom="column">
                  <wp:posOffset>1107440</wp:posOffset>
                </wp:positionH>
                <wp:positionV relativeFrom="paragraph">
                  <wp:posOffset>-416560</wp:posOffset>
                </wp:positionV>
                <wp:extent cx="410210" cy="159893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210" cy="1598930"/>
                        </a:xfrm>
                        <a:prstGeom prst="rect">
                          <a:avLst/>
                        </a:prstGeom>
                        <a:solidFill>
                          <a:srgbClr val="98B82F"/>
                        </a:solidFill>
                      </wps:spPr>
                      <wps:bodyPr/>
                    </wps:wsp>
                  </a:graphicData>
                </a:graphic>
              </wp:anchor>
            </w:drawing>
          </mc:Choice>
          <mc:Fallback>
            <w:pict>
              <v:rect id="Shape 30" o:spid="_x0000_s1055" style="position:absolute;margin-left:87.2pt;margin-top:-32.7999pt;width:32.3pt;height:12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8B82F" stroked="f"/>
            </w:pict>
          </mc:Fallback>
        </mc:AlternateContent>
        <mc:AlternateContent>
          <mc:Choice Requires="wps">
            <w:drawing>
              <wp:anchor simplePos="0" relativeHeight="251657728" behindDoc="1" locked="0" layoutInCell="0" allowOverlap="1">
                <wp:simplePos x="0" y="0"/>
                <wp:positionH relativeFrom="column">
                  <wp:posOffset>3261995</wp:posOffset>
                </wp:positionH>
                <wp:positionV relativeFrom="paragraph">
                  <wp:posOffset>-311785</wp:posOffset>
                </wp:positionV>
                <wp:extent cx="410210" cy="149415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210" cy="1494155"/>
                        </a:xfrm>
                        <a:prstGeom prst="rect">
                          <a:avLst/>
                        </a:prstGeom>
                        <a:solidFill>
                          <a:srgbClr val="98B82F"/>
                        </a:solidFill>
                      </wps:spPr>
                      <wps:bodyPr/>
                    </wps:wsp>
                  </a:graphicData>
                </a:graphic>
              </wp:anchor>
            </w:drawing>
          </mc:Choice>
          <mc:Fallback>
            <w:pict>
              <v:rect id="Shape 31" o:spid="_x0000_s1056" style="position:absolute;margin-left:256.85pt;margin-top:-24.5499pt;width:32.3pt;height:117.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8B82F" stroked="f"/>
            </w:pict>
          </mc:Fallback>
        </mc:AlternateContent>
        <mc:AlternateContent>
          <mc:Choice Requires="wps">
            <w:drawing>
              <wp:anchor simplePos="0" relativeHeight="251657728" behindDoc="1" locked="0" layoutInCell="0" allowOverlap="1">
                <wp:simplePos x="0" y="0"/>
                <wp:positionH relativeFrom="column">
                  <wp:posOffset>5420995</wp:posOffset>
                </wp:positionH>
                <wp:positionV relativeFrom="paragraph">
                  <wp:posOffset>-408305</wp:posOffset>
                </wp:positionV>
                <wp:extent cx="410210" cy="159067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210" cy="1590675"/>
                        </a:xfrm>
                        <a:prstGeom prst="rect">
                          <a:avLst/>
                        </a:prstGeom>
                        <a:solidFill>
                          <a:srgbClr val="98B82F"/>
                        </a:solidFill>
                      </wps:spPr>
                      <wps:bodyPr/>
                    </wps:wsp>
                  </a:graphicData>
                </a:graphic>
              </wp:anchor>
            </w:drawing>
          </mc:Choice>
          <mc:Fallback>
            <w:pict>
              <v:rect id="Shape 32" o:spid="_x0000_s1057" style="position:absolute;margin-left:426.85pt;margin-top:-32.1499pt;width:32.3pt;height:12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8B82F" stroked="f"/>
            </w:pict>
          </mc:Fallback>
        </mc:AlternateContent>
      </w:r>
    </w:p>
    <w:tbl>
      <w:tblPr>
        <w:tblLayout w:type="fixed"/>
        <w:tblInd w:w="140" w:type="dxa"/>
        <w:tblCellMar>
          <w:top w:w="0" w:type="dxa"/>
          <w:left w:w="0" w:type="dxa"/>
          <w:bottom w:w="0" w:type="dxa"/>
          <w:right w:w="0" w:type="dxa"/>
        </w:tblCellMar>
      </w:tblPr>
      <w:tr>
        <w:trPr>
          <w:trHeight w:val="269"/>
        </w:trPr>
        <w:tc>
          <w:tcPr>
            <w:tcW w:w="2020" w:type="dxa"/>
            <w:vAlign w:val="bottom"/>
            <w:gridSpan w:val="2"/>
          </w:tcPr>
          <w:p>
            <w:pPr>
              <w:spacing w:after="0"/>
              <w:rPr>
                <w:sz w:val="20"/>
                <w:szCs w:val="20"/>
                <w:color w:val="auto"/>
              </w:rPr>
            </w:pPr>
            <w:r>
              <w:rPr>
                <w:rFonts w:ascii="Arial" w:cs="Arial" w:eastAsia="Arial" w:hAnsi="Arial"/>
                <w:sz w:val="22"/>
                <w:szCs w:val="22"/>
                <w:color w:val="auto"/>
              </w:rPr>
              <w:t>$361M</w:t>
            </w:r>
          </w:p>
        </w:tc>
        <w:tc>
          <w:tcPr>
            <w:tcW w:w="2180" w:type="dxa"/>
            <w:vAlign w:val="bottom"/>
            <w:gridSpan w:val="3"/>
            <w:vMerge w:val="restart"/>
          </w:tcPr>
          <w:p>
            <w:pPr>
              <w:ind w:left="1360"/>
              <w:spacing w:after="0"/>
              <w:rPr>
                <w:sz w:val="20"/>
                <w:szCs w:val="20"/>
                <w:color w:val="auto"/>
              </w:rPr>
            </w:pPr>
            <w:r>
              <w:rPr>
                <w:rFonts w:ascii="Arial" w:cs="Arial" w:eastAsia="Arial" w:hAnsi="Arial"/>
                <w:sz w:val="22"/>
                <w:szCs w:val="22"/>
                <w:color w:val="auto"/>
              </w:rPr>
              <w:t>$324M</w:t>
            </w:r>
          </w:p>
        </w:tc>
        <w:tc>
          <w:tcPr>
            <w:tcW w:w="640" w:type="dxa"/>
            <w:vAlign w:val="bottom"/>
            <w:shd w:val="clear" w:color="auto" w:fill="3E84AE"/>
          </w:tcPr>
          <w:p>
            <w:pPr>
              <w:spacing w:after="0"/>
              <w:rPr>
                <w:sz w:val="23"/>
                <w:szCs w:val="23"/>
                <w:color w:val="auto"/>
              </w:rPr>
            </w:pPr>
          </w:p>
        </w:tc>
        <w:tc>
          <w:tcPr>
            <w:tcW w:w="1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660" w:type="dxa"/>
            <w:vAlign w:val="bottom"/>
            <w:shd w:val="clear" w:color="auto" w:fill="3E84AE"/>
          </w:tcPr>
          <w:p>
            <w:pPr>
              <w:spacing w:after="0"/>
              <w:rPr>
                <w:sz w:val="11"/>
                <w:szCs w:val="11"/>
                <w:color w:val="auto"/>
              </w:rPr>
            </w:pPr>
          </w:p>
        </w:tc>
        <w:tc>
          <w:tcPr>
            <w:tcW w:w="136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640" w:type="dxa"/>
            <w:vAlign w:val="bottom"/>
            <w:shd w:val="clear" w:color="auto" w:fill="3E84AE"/>
          </w:tcPr>
          <w:p>
            <w:pPr>
              <w:spacing w:after="0"/>
              <w:rPr>
                <w:sz w:val="11"/>
                <w:szCs w:val="11"/>
                <w:color w:val="auto"/>
              </w:rPr>
            </w:pPr>
          </w:p>
        </w:tc>
        <w:tc>
          <w:tcPr>
            <w:tcW w:w="196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22"/>
                <w:szCs w:val="22"/>
                <w:color w:val="auto"/>
                <w:w w:val="98"/>
              </w:rPr>
              <w:t>$25M</w:t>
            </w:r>
          </w:p>
        </w:tc>
        <w:tc>
          <w:tcPr>
            <w:tcW w:w="0" w:type="dxa"/>
            <w:vAlign w:val="bottom"/>
          </w:tcPr>
          <w:p>
            <w:pPr>
              <w:spacing w:after="0"/>
              <w:rPr>
                <w:sz w:val="1"/>
                <w:szCs w:val="1"/>
                <w:color w:val="auto"/>
              </w:rPr>
            </w:pPr>
          </w:p>
        </w:tc>
      </w:tr>
      <w:tr>
        <w:trPr>
          <w:trHeight w:val="39"/>
        </w:trPr>
        <w:tc>
          <w:tcPr>
            <w:tcW w:w="660" w:type="dxa"/>
            <w:vAlign w:val="bottom"/>
            <w:shd w:val="clear" w:color="auto" w:fill="3E84AE"/>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E84AE"/>
          </w:tcPr>
          <w:p>
            <w:pPr>
              <w:spacing w:after="0"/>
              <w:rPr>
                <w:sz w:val="3"/>
                <w:szCs w:val="3"/>
                <w:color w:val="auto"/>
              </w:rPr>
            </w:pPr>
          </w:p>
        </w:tc>
        <w:tc>
          <w:tcPr>
            <w:tcW w:w="19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660" w:type="dxa"/>
            <w:vAlign w:val="bottom"/>
            <w:shd w:val="clear" w:color="auto" w:fill="3E84AE"/>
          </w:tcPr>
          <w:p>
            <w:pPr>
              <w:spacing w:after="0"/>
              <w:rPr>
                <w:sz w:val="23"/>
                <w:szCs w:val="23"/>
                <w:color w:val="auto"/>
              </w:rPr>
            </w:pPr>
          </w:p>
        </w:tc>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0" w:type="dxa"/>
            <w:vAlign w:val="bottom"/>
            <w:shd w:val="clear" w:color="auto" w:fill="3E84AE"/>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shd w:val="clear" w:color="auto" w:fill="3E84AE"/>
          </w:tcPr>
          <w:p>
            <w:pPr>
              <w:spacing w:after="0"/>
              <w:rPr>
                <w:sz w:val="23"/>
                <w:szCs w:val="23"/>
                <w:color w:val="auto"/>
              </w:rPr>
            </w:pPr>
          </w:p>
        </w:tc>
        <w:tc>
          <w:tcPr>
            <w:tcW w:w="196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660" w:type="dxa"/>
            <w:vAlign w:val="bottom"/>
            <w:shd w:val="clear" w:color="auto" w:fill="3E84AE"/>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40" w:type="dxa"/>
            <w:vAlign w:val="bottom"/>
            <w:shd w:val="clear" w:color="auto" w:fill="3E84A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E84AE"/>
          </w:tcPr>
          <w:p>
            <w:pPr>
              <w:spacing w:after="0"/>
              <w:rPr>
                <w:sz w:val="3"/>
                <w:szCs w:val="3"/>
                <w:color w:val="auto"/>
              </w:rPr>
            </w:pPr>
          </w:p>
        </w:tc>
        <w:tc>
          <w:tcPr>
            <w:tcW w:w="1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0"/>
        </w:trPr>
        <w:tc>
          <w:tcPr>
            <w:tcW w:w="660" w:type="dxa"/>
            <w:vAlign w:val="bottom"/>
            <w:shd w:val="clear" w:color="auto" w:fill="3E84AE"/>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1960" w:type="dxa"/>
            <w:vAlign w:val="bottom"/>
          </w:tcPr>
          <w:p>
            <w:pPr>
              <w:spacing w:after="0"/>
              <w:rPr>
                <w:sz w:val="24"/>
                <w:szCs w:val="24"/>
                <w:color w:val="auto"/>
              </w:rPr>
            </w:pPr>
          </w:p>
        </w:tc>
        <w:tc>
          <w:tcPr>
            <w:tcW w:w="640" w:type="dxa"/>
            <w:vAlign w:val="bottom"/>
            <w:shd w:val="clear" w:color="auto" w:fill="3E84A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4914265</wp:posOffset>
                </wp:positionH>
                <wp:positionV relativeFrom="paragraph">
                  <wp:posOffset>-1151255</wp:posOffset>
                </wp:positionV>
                <wp:extent cx="410210" cy="115125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210" cy="1151255"/>
                        </a:xfrm>
                        <a:prstGeom prst="rect">
                          <a:avLst/>
                        </a:prstGeom>
                        <a:solidFill>
                          <a:srgbClr val="3E84AE"/>
                        </a:solidFill>
                      </wps:spPr>
                      <wps:bodyPr/>
                    </wps:wsp>
                  </a:graphicData>
                </a:graphic>
              </wp:anchor>
            </w:drawing>
          </mc:Choice>
          <mc:Fallback>
            <w:pict>
              <v:rect id="Shape 33" o:spid="_x0000_s1058" style="position:absolute;margin-left:386.95pt;margin-top:-90.6499pt;width:32.3pt;height:90.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4AE" stroked="f"/>
            </w:pict>
          </mc:Fallback>
        </mc:AlternateContent>
      </w:r>
    </w:p>
    <w:p>
      <w:pPr>
        <w:spacing w:after="0" w:line="57" w:lineRule="exact"/>
        <w:rPr>
          <w:sz w:val="20"/>
          <w:szCs w:val="20"/>
          <w:color w:val="auto"/>
        </w:rPr>
      </w:pPr>
    </w:p>
    <w:p>
      <w:pPr>
        <w:ind w:left="220"/>
        <w:spacing w:after="0"/>
        <w:tabs>
          <w:tab w:leader="none" w:pos="1020" w:val="left"/>
          <w:tab w:leader="none" w:pos="1780" w:val="left"/>
          <w:tab w:leader="none" w:pos="3600" w:val="left"/>
          <w:tab w:leader="none" w:pos="4400" w:val="left"/>
          <w:tab w:leader="none" w:pos="5160" w:val="left"/>
          <w:tab w:leader="none" w:pos="7020" w:val="left"/>
          <w:tab w:leader="none" w:pos="7840" w:val="left"/>
          <w:tab w:leader="none" w:pos="8600" w:val="left"/>
        </w:tabs>
        <w:rPr>
          <w:sz w:val="20"/>
          <w:szCs w:val="20"/>
          <w:color w:val="auto"/>
        </w:rPr>
      </w:pPr>
      <w:r>
        <w:rPr>
          <w:rFonts w:ascii="Arial" w:cs="Arial" w:eastAsia="Arial" w:hAnsi="Arial"/>
          <w:sz w:val="22"/>
          <w:szCs w:val="22"/>
          <w:b w:val="1"/>
          <w:bCs w:val="1"/>
          <w:color w:val="auto"/>
        </w:rPr>
        <w:t>2021</w:t>
        <w:tab/>
        <w:t>2022</w:t>
        <w:tab/>
        <w:t>2023</w:t>
      </w:r>
      <w:r>
        <w:rPr>
          <w:sz w:val="20"/>
          <w:szCs w:val="20"/>
          <w:color w:val="auto"/>
        </w:rPr>
        <w:tab/>
      </w:r>
      <w:r>
        <w:rPr>
          <w:rFonts w:ascii="Arial" w:cs="Arial" w:eastAsia="Arial" w:hAnsi="Arial"/>
          <w:sz w:val="22"/>
          <w:szCs w:val="22"/>
          <w:b w:val="1"/>
          <w:bCs w:val="1"/>
          <w:color w:val="auto"/>
        </w:rPr>
        <w:t>2021</w:t>
        <w:tab/>
        <w:t>2022</w:t>
        <w:tab/>
        <w:t>2023</w:t>
      </w:r>
      <w:r>
        <w:rPr>
          <w:sz w:val="20"/>
          <w:szCs w:val="20"/>
          <w:color w:val="auto"/>
        </w:rPr>
        <w:tab/>
      </w:r>
      <w:r>
        <w:rPr>
          <w:rFonts w:ascii="Arial" w:cs="Arial" w:eastAsia="Arial" w:hAnsi="Arial"/>
          <w:sz w:val="22"/>
          <w:szCs w:val="22"/>
          <w:b w:val="1"/>
          <w:bCs w:val="1"/>
          <w:color w:val="auto"/>
        </w:rPr>
        <w:t>2021</w:t>
        <w:tab/>
        <w:t>2022</w:t>
      </w:r>
      <w:r>
        <w:rPr>
          <w:sz w:val="20"/>
          <w:szCs w:val="20"/>
          <w:color w:val="auto"/>
        </w:rPr>
        <w:tab/>
      </w:r>
      <w:r>
        <w:rPr>
          <w:rFonts w:ascii="Arial" w:cs="Arial" w:eastAsia="Arial" w:hAnsi="Arial"/>
          <w:sz w:val="21"/>
          <w:szCs w:val="21"/>
          <w:b w:val="1"/>
          <w:bCs w:val="1"/>
          <w:color w:val="auto"/>
        </w:rPr>
        <w:t>2023</w:t>
      </w:r>
    </w:p>
    <w:p>
      <w:pPr>
        <w:sectPr>
          <w:pgSz w:w="11880" w:h="15480" w:orient="portrait"/>
          <w:cols w:equalWidth="0" w:num="1">
            <w:col w:w="9540"/>
          </w:cols>
          <w:pgMar w:left="1440" w:top="1090" w:right="900" w:bottom="0" w:gutter="0" w:footer="0" w:header="0"/>
        </w:sectPr>
      </w:pPr>
    </w:p>
    <w:p>
      <w:pPr>
        <w:spacing w:after="0" w:line="168" w:lineRule="exact"/>
        <w:rPr>
          <w:sz w:val="20"/>
          <w:szCs w:val="20"/>
          <w:color w:val="auto"/>
        </w:rPr>
      </w:pPr>
    </w:p>
    <w:p>
      <w:pPr>
        <w:ind w:left="6000"/>
        <w:spacing w:after="0"/>
        <w:tabs>
          <w:tab w:leader="none" w:pos="938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r>
        <w:rPr>
          <w:sz w:val="20"/>
          <w:szCs w:val="20"/>
          <w:color w:val="auto"/>
        </w:rPr>
        <w:tab/>
      </w:r>
      <w:r>
        <w:rPr>
          <w:rFonts w:ascii="Arial" w:cs="Arial" w:eastAsia="Arial" w:hAnsi="Arial"/>
          <w:sz w:val="24"/>
          <w:szCs w:val="24"/>
          <w:b w:val="1"/>
          <w:bCs w:val="1"/>
          <w:color w:val="auto"/>
        </w:rPr>
        <w:t>1</w:t>
      </w:r>
    </w:p>
    <w:p>
      <w:pPr>
        <w:sectPr>
          <w:pgSz w:w="11880" w:h="15480" w:orient="portrait"/>
          <w:cols w:equalWidth="0" w:num="1">
            <w:col w:w="9540"/>
          </w:cols>
          <w:pgMar w:left="1440" w:top="1090" w:right="90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5181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7543800" cy="518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72"/>
          <w:szCs w:val="72"/>
          <w:color w:val="FFFFFF"/>
        </w:rPr>
        <w:t>TO OUR SHAREHOLDERS</w:t>
      </w:r>
    </w:p>
    <w:p>
      <w:pPr>
        <w:ind w:left="100" w:right="260" w:hanging="194"/>
        <w:spacing w:after="0" w:line="181" w:lineRule="auto"/>
        <w:rPr>
          <w:sz w:val="20"/>
          <w:szCs w:val="20"/>
          <w:color w:val="auto"/>
        </w:rPr>
      </w:pPr>
      <w:r>
        <w:rPr>
          <w:rFonts w:ascii="Arial" w:cs="Arial" w:eastAsia="Arial" w:hAnsi="Arial"/>
          <w:sz w:val="66"/>
          <w:szCs w:val="66"/>
          <w:b w:val="1"/>
          <w:bCs w:val="1"/>
          <w:color w:val="98B82F"/>
        </w:rPr>
        <w:t>“</w:t>
      </w:r>
      <w:r>
        <w:rPr>
          <w:rFonts w:ascii="Arial" w:cs="Arial" w:eastAsia="Arial" w:hAnsi="Arial"/>
          <w:sz w:val="21"/>
          <w:szCs w:val="21"/>
          <w:b w:val="1"/>
          <w:bCs w:val="1"/>
          <w:i w:val="1"/>
          <w:iCs w:val="1"/>
          <w:color w:val="FFFFFF"/>
        </w:rPr>
        <w:t>CECO is being established as the “go-to” solution and service provider to help protect</w:t>
      </w:r>
      <w:r>
        <w:rPr>
          <w:rFonts w:ascii="Arial" w:cs="Arial" w:eastAsia="Arial" w:hAnsi="Arial"/>
          <w:sz w:val="66"/>
          <w:szCs w:val="66"/>
          <w:b w:val="1"/>
          <w:bCs w:val="1"/>
          <w:color w:val="98B82F"/>
        </w:rPr>
        <w:t xml:space="preserve"> </w:t>
      </w:r>
      <w:r>
        <w:rPr>
          <w:rFonts w:ascii="Arial" w:cs="Arial" w:eastAsia="Arial" w:hAnsi="Arial"/>
          <w:sz w:val="21"/>
          <w:szCs w:val="21"/>
          <w:b w:val="1"/>
          <w:bCs w:val="1"/>
          <w:i w:val="1"/>
          <w:iCs w:val="1"/>
          <w:color w:val="FFFFFF"/>
        </w:rPr>
        <w:t>people, the environment and our customer’s investment in industrial equipment.”</w:t>
      </w:r>
    </w:p>
    <w:p>
      <w:pPr>
        <w:sectPr>
          <w:pgSz w:w="11880" w:h="15480" w:orient="portrait"/>
          <w:cols w:equalWidth="0" w:num="1">
            <w:col w:w="9980"/>
          </w:cols>
          <w:pgMar w:left="900" w:top="144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380"/>
        <w:spacing w:after="0" w:line="273" w:lineRule="auto"/>
        <w:rPr>
          <w:sz w:val="20"/>
          <w:szCs w:val="20"/>
          <w:color w:val="auto"/>
        </w:rPr>
      </w:pPr>
      <w:r>
        <w:rPr>
          <w:rFonts w:ascii="Arial" w:cs="Arial" w:eastAsia="Arial" w:hAnsi="Arial"/>
          <w:sz w:val="18"/>
          <w:szCs w:val="18"/>
          <w:color w:val="auto"/>
        </w:rPr>
        <w:t>I am proud and energized to work with our dedicated employees as we support industrial growth and innovation by solving many of our customers’ critical operational and environmental challenges. CECO is being established as the “go-to” solution and service provider, as our leading brands in the industrial air, industrial water and the energy transition sectors each help to protect people, the environment and our customer’s investment in industrial equipment. As the cover of this annual report suggests, more and more often, industry seeks CECO!</w:t>
      </w:r>
    </w:p>
    <w:p>
      <w:pPr>
        <w:spacing w:after="0" w:line="7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Over the past few years, we have steadily invested to enhance our leading portfolio, expand in international regions, add key talent to our operations teams and deliver increasing shareholder value each step of</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way. Our operating model is producing strong top-line and bottom-line growth, as we highlight in this letter and throughout the annual report. And we have built a track record of acquiring strategic growth businesses that deliver accretive returns and help expand our market leadership. We hope the consistent approach we take to transparently articulate our goals and objectives, and then deliver against those goals, provide shareholders with the confidence we will continue to yield high performance.</w:t>
      </w:r>
    </w:p>
    <w:p>
      <w:pPr>
        <w:spacing w:after="0" w:line="171"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b w:val="1"/>
          <w:bCs w:val="1"/>
          <w:color w:val="auto"/>
        </w:rPr>
        <w:t>2</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color w:val="273D86"/>
        </w:rPr>
        <w:t>A GREAT PORTFOLIO GETS BETTER</w:t>
      </w:r>
    </w:p>
    <w:p>
      <w:pPr>
        <w:spacing w:after="0" w:line="8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Several years ago, we highlighted our intent to steadily transform CECO’s portfolio. The goal was to advance our niche leadership in attractive industrial markets through investments in organic growth programs</w:t>
      </w:r>
    </w:p>
    <w:p>
      <w:pPr>
        <w:spacing w:after="0" w:line="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and “best fit” acquisitions. We started by identifying businesses within our portfolio that would benefit the most from specific investments and we moved quickly to organize around those opportunities.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businesses continually assess market opportunities and move with speed to position our solutions and services for growth. Over the past few years, we have added key resources and new strategic processes to unlock tremendous performance. We believe we have established meaningful leadership positions in Industrial Air, Industrial Water and the Energy Transition – but our work is far from over. Significant opportunities remain in order for us to achieve our full potential.</w:t>
      </w:r>
    </w:p>
    <w:p>
      <w:pPr>
        <w:spacing w:after="0" w:line="7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As we enter 2024, our focus remains much the same. We want to build upon our core market leadership positions and expand into new vertical markets, geographies while introducing important new solutions and services. This investment is helping to ensure we are advancing our leadership position in Industrial Air as</w:t>
      </w:r>
    </w:p>
    <w:p>
      <w:pPr>
        <w:sectPr>
          <w:pgSz w:w="11880" w:h="15480" w:orient="portrait"/>
          <w:cols w:equalWidth="0" w:num="2">
            <w:col w:w="4900" w:space="260"/>
            <w:col w:w="4820"/>
          </w:cols>
          <w:pgMar w:left="900" w:top="1440" w:right="1000" w:bottom="0" w:gutter="0" w:footer="0" w:header="0"/>
          <w:type w:val="continuous"/>
        </w:sectPr>
      </w:pPr>
    </w:p>
    <w:bookmarkStart w:id="4" w:name="page5"/>
    <w:bookmarkEnd w:id="4"/>
    <w:p>
      <w:pPr>
        <w:ind w:right="140"/>
        <w:spacing w:after="0" w:line="273" w:lineRule="auto"/>
        <w:rPr>
          <w:sz w:val="20"/>
          <w:szCs w:val="20"/>
          <w:color w:val="auto"/>
        </w:rPr>
      </w:pPr>
      <w:r>
        <w:rPr>
          <w:rFonts w:ascii="Arial" w:cs="Arial" w:eastAsia="Arial" w:hAnsi="Arial"/>
          <w:sz w:val="18"/>
          <w:szCs w:val="18"/>
          <w:color w:val="auto"/>
        </w:rPr>
        <w:t>well as continuing to build a strong leadership position in niche markets within Industrial Water. We are also repositioning our leading solutions and services for the Energy Transition. Within each of these strategic focus areas, we are making key moves to add more balance to our long cycle and short cycle revenue mix and international profile. As we invest and grow, we maintain an unwavering commitment to sustain a healthy balance sheet to ensure flexibility.</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color w:val="273D86"/>
        </w:rPr>
        <w:t>TREMENDOUS PROGRESS AND RESULTS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The year 2023 was a banner period for CECO.</w:t>
      </w:r>
    </w:p>
    <w:p>
      <w:pPr>
        <w:spacing w:after="0" w:line="10"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We produced a number of quarterly and full year financial records. Sales grew 29 percent as our revenues of $545 million were a record for the company! We exited 2023 with the highest, year-end backlog thanks to tremendous full year orders of $583 million. Our adjusted EBITDA grew 37 percent, and we had solid margin expansion for the year. Since 2021, we have grown adjusted EBITDA over 120 percent. Finally, our working capital management has been impressive. In 2023, we generated over $36 million of free cash flow, which is up 33 percent when compared to 2022. The result for our shareholders was a stock that outperformed the broader markets by a significant margin.</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significant organic growth and sustainable market penetration programs, we continued our inorganic growth journey. In 2023, we completed three strategic acquisitions – each of which was accretive from an EBITDA multiple perspective. Over the past few years, we have completed eight acquisitions – all of which have added great talent, niche market leadership and significant growth. In fact, several of our acquisitions have already doubled in sales since we acquired them</w:t>
      </w:r>
    </w:p>
    <w:p>
      <w:pPr>
        <w:spacing w:after="0" w:line="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 an indication of the traction we are getting from this important part of our operating model. Each quarter we highlight the rationale for our deals as well as provide an update on various aspects of performance. We remain committed to our programmatic M&amp;A approach and believe the addition of strategic businesses is one of our key operating capabilities.</w:t>
      </w:r>
    </w:p>
    <w:p>
      <w:pPr>
        <w:spacing w:after="0" w:line="98"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We exit 2023 with a very strong balance sheet, a tremendous backlog of projects which we expect to fuel future growth, and a sales pipeline which has approached $3.5 billion of opportunities. Our board and leadership teams are aligned with shareholders to drive sustainable value creation.</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color w:val="273D86"/>
        </w:rPr>
        <w:t>TALENT AND CULTURE</w:t>
      </w:r>
    </w:p>
    <w:p>
      <w:pPr>
        <w:spacing w:after="0" w:line="8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I have immense gratitude to our employees for everything they do to help shape our high-performance culture. Supported by our Board, and thanks to a seasoned leadership team, my job to help promote our vision and mission remains very rewarding.</w:t>
      </w:r>
    </w:p>
    <w:p>
      <w:pPr>
        <w:spacing w:after="0" w:line="70" w:lineRule="exact"/>
        <w:rPr>
          <w:sz w:val="20"/>
          <w:szCs w:val="20"/>
          <w:color w:val="auto"/>
        </w:rPr>
      </w:pPr>
    </w:p>
    <w:p>
      <w:pPr>
        <w:ind w:right="560"/>
        <w:spacing w:after="0" w:line="290" w:lineRule="auto"/>
        <w:rPr>
          <w:sz w:val="20"/>
          <w:szCs w:val="20"/>
          <w:color w:val="auto"/>
        </w:rPr>
      </w:pPr>
      <w:r>
        <w:rPr>
          <w:rFonts w:ascii="Arial" w:cs="Arial" w:eastAsia="Arial" w:hAnsi="Arial"/>
          <w:sz w:val="18"/>
          <w:szCs w:val="18"/>
          <w:color w:val="auto"/>
        </w:rPr>
        <w:t>Protecting people, the environment and industrial equipment remains the heartbeat of what drives our</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8"/>
          <w:szCs w:val="18"/>
          <w:color w:val="auto"/>
        </w:rPr>
        <w:t>relationship with our customers and communities. When I speak with customers and channel partners, they often mention how impressed they are with our customer commitment and CECO pride. Over the past few years, we have invested in people, processes, and culture</w:t>
      </w:r>
    </w:p>
    <w:p>
      <w:pPr>
        <w:spacing w:after="0" w:line="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 all of which are delivering these impressive results. We believe that by recruiting, developing and retaining top talent – and giving them common tools and language to work with in a positive and consistent environment – we will continue to win, and win the right way.</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color w:val="273D86"/>
        </w:rPr>
        <w:t>IN POSITION FOR GROWTH</w:t>
      </w:r>
    </w:p>
    <w:p>
      <w:pPr>
        <w:spacing w:after="0" w:line="8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continue to believe we are very much in control of our destiny – thanks to our operating model, talented employees, and great market positions. While there are always challenges to any quarter or year, we have worked hard to clear hurdles and deliver strong results. We continue to see opportunities from certain mega themes that we expect will remain strong for many years. Reshoring of industrial production and global investments in critical infrastructure are ongoing. The amount of capital deployed in new energy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applications as well as maintaining critical power sources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will remain robust. Additional investments to build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innovative electronic and technology applications will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remain at high levels. And across all these themes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(and more) we have positioned CECO to serve industrial</w:t>
      </w:r>
    </w:p>
    <w:p>
      <w:pPr>
        <w:spacing w:after="0" w:line="27"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air, industrial water and energy transition needs. Our sales and M&amp;A pipelines are in great shape as we focus on our future goals and objectives.</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color w:val="273D86"/>
        </w:rPr>
        <w:t>GRATEFUL FOR YOUR SUPPORT</w:t>
      </w:r>
    </w:p>
    <w:p>
      <w:pPr>
        <w:spacing w:after="0" w:line="8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Similar to how I ended our shareholder letter last year, we remain committed to building upon the tremendous success we delivered in 2023. Our purpose-driven organization continues to reach new markets and our solutions are in demand. The awareness and demand for sustainable solutions that protect people, the environment, and industrial equipment continues</w:t>
      </w:r>
    </w:p>
    <w:p>
      <w:pPr>
        <w:spacing w:after="0" w:line="2" w:lineRule="exact"/>
        <w:rPr>
          <w:sz w:val="20"/>
          <w:szCs w:val="20"/>
          <w:color w:val="auto"/>
        </w:rPr>
      </w:pPr>
    </w:p>
    <w:p>
      <w:pPr>
        <w:jc w:val="both"/>
        <w:ind w:right="100"/>
        <w:spacing w:after="0" w:line="280" w:lineRule="auto"/>
        <w:rPr>
          <w:sz w:val="20"/>
          <w:szCs w:val="20"/>
          <w:color w:val="auto"/>
        </w:rPr>
      </w:pPr>
      <w:r>
        <w:rPr>
          <w:rFonts w:ascii="Arial" w:cs="Arial" w:eastAsia="Arial" w:hAnsi="Arial"/>
          <w:sz w:val="18"/>
          <w:szCs w:val="18"/>
          <w:color w:val="auto"/>
        </w:rPr>
        <w:t>to rise. Our talented and diverse team has navigated the challenges of the past few years and tirelessly delivered for our customers. I am proud to help lead this team.</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summary, I want to thank each of our shareholders for your support and confidence in the CECO team. We look forward to delivering higher performance and more value.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805430" cy="1188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2805430" cy="118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273D86"/>
        </w:rPr>
        <w:t>Todd R. Gleason</w:t>
      </w:r>
    </w:p>
    <w:p>
      <w:pPr>
        <w:spacing w:after="0" w:line="10" w:lineRule="exact"/>
        <w:rPr>
          <w:sz w:val="20"/>
          <w:szCs w:val="20"/>
          <w:color w:val="auto"/>
        </w:rPr>
      </w:pPr>
    </w:p>
    <w:p>
      <w:pPr>
        <w:ind w:left="2060" w:right="900"/>
        <w:spacing w:after="0" w:line="290" w:lineRule="auto"/>
        <w:rPr>
          <w:sz w:val="20"/>
          <w:szCs w:val="20"/>
          <w:color w:val="auto"/>
        </w:rPr>
      </w:pPr>
      <w:r>
        <w:rPr>
          <w:rFonts w:ascii="Arial" w:cs="Arial" w:eastAsia="Arial" w:hAnsi="Arial"/>
          <w:sz w:val="18"/>
          <w:szCs w:val="18"/>
          <w:color w:val="auto"/>
        </w:rPr>
        <w:t>Chief Executive Officer CECO Environmental</w:t>
      </w:r>
    </w:p>
    <w:p>
      <w:pPr>
        <w:spacing w:after="0" w:line="197" w:lineRule="exact"/>
        <w:rPr>
          <w:sz w:val="20"/>
          <w:szCs w:val="20"/>
          <w:color w:val="auto"/>
        </w:rPr>
      </w:pPr>
    </w:p>
    <w:p>
      <w:pPr>
        <w:ind w:left="1380"/>
        <w:spacing w:after="0"/>
        <w:tabs>
          <w:tab w:leader="none" w:pos="476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r>
        <w:rPr>
          <w:sz w:val="20"/>
          <w:szCs w:val="20"/>
          <w:color w:val="auto"/>
        </w:rPr>
        <w:tab/>
      </w:r>
      <w:r>
        <w:rPr>
          <w:rFonts w:ascii="Arial" w:cs="Arial" w:eastAsia="Arial" w:hAnsi="Arial"/>
          <w:sz w:val="24"/>
          <w:szCs w:val="24"/>
          <w:b w:val="1"/>
          <w:bCs w:val="1"/>
          <w:color w:val="auto"/>
        </w:rPr>
        <w:t>3</w:t>
      </w:r>
    </w:p>
    <w:p>
      <w:pPr>
        <w:sectPr>
          <w:pgSz w:w="11880" w:h="15480" w:orient="portrait"/>
          <w:cols w:equalWidth="0" w:num="2">
            <w:col w:w="4920" w:space="240"/>
            <w:col w:w="4920"/>
          </w:cols>
          <w:pgMar w:left="900" w:top="1138" w:right="900" w:bottom="0" w:gutter="0" w:footer="0" w:header="0"/>
        </w:sectPr>
      </w:pPr>
    </w:p>
    <w:bookmarkStart w:id="5" w:name="page6"/>
    <w:bookmarkEnd w:id="5"/>
    <w:p>
      <w:pPr>
        <w:ind w:left="1260" w:right="620"/>
        <w:spacing w:after="0" w:line="280" w:lineRule="auto"/>
        <w:rPr>
          <w:sz w:val="20"/>
          <w:szCs w:val="20"/>
          <w:color w:val="auto"/>
        </w:rPr>
      </w:pPr>
      <w:r>
        <w:rPr>
          <w:rFonts w:ascii="Arial" w:cs="Arial" w:eastAsia="Arial" w:hAnsi="Arial"/>
          <w:sz w:val="63"/>
          <w:szCs w:val="63"/>
          <w:color w:val="273D86"/>
        </w:rPr>
        <w:drawing>
          <wp:anchor simplePos="0" relativeHeight="251657728" behindDoc="1" locked="0" layoutInCell="0" allowOverlap="1">
            <wp:simplePos x="0" y="0"/>
            <wp:positionH relativeFrom="page">
              <wp:posOffset>544195</wp:posOffset>
            </wp:positionH>
            <wp:positionV relativeFrom="page">
              <wp:posOffset>514350</wp:posOffset>
            </wp:positionV>
            <wp:extent cx="939800" cy="939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939800" cy="939800"/>
                    </a:xfrm>
                    <a:prstGeom prst="rect">
                      <a:avLst/>
                    </a:prstGeom>
                    <a:noFill/>
                  </pic:spPr>
                </pic:pic>
              </a:graphicData>
            </a:graphic>
          </wp:anchor>
        </w:drawing>
        <w:t>A Balanced Growth Oriented Portfolio &amp; Sustained Value Creator</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40" w:type="dxa"/>
            <w:vAlign w:val="bottom"/>
            <w:shd w:val="clear" w:color="auto" w:fill="E5EFF2"/>
          </w:tcPr>
          <w:p>
            <w:pPr>
              <w:ind w:left="900"/>
              <w:spacing w:after="0"/>
              <w:rPr>
                <w:sz w:val="20"/>
                <w:szCs w:val="20"/>
                <w:color w:val="auto"/>
              </w:rPr>
            </w:pPr>
            <w:r>
              <w:rPr>
                <w:rFonts w:ascii="Arial" w:cs="Arial" w:eastAsia="Arial" w:hAnsi="Arial"/>
                <w:sz w:val="12"/>
                <w:szCs w:val="12"/>
                <w:color w:val="auto"/>
              </w:rPr>
              <w:t>Full Year 2023 Performance</w:t>
            </w:r>
          </w:p>
        </w:tc>
        <w:tc>
          <w:tcPr>
            <w:tcW w:w="3520" w:type="dxa"/>
            <w:vAlign w:val="bottom"/>
            <w:shd w:val="clear" w:color="auto" w:fill="E5EFF2"/>
          </w:tcPr>
          <w:p>
            <w:pPr>
              <w:spacing w:after="0"/>
              <w:rPr>
                <w:sz w:val="17"/>
                <w:szCs w:val="17"/>
                <w:color w:val="auto"/>
              </w:rPr>
            </w:pPr>
          </w:p>
        </w:tc>
        <w:tc>
          <w:tcPr>
            <w:tcW w:w="4320" w:type="dxa"/>
            <w:vAlign w:val="bottom"/>
            <w:shd w:val="clear" w:color="auto" w:fill="E5EFF2"/>
          </w:tcPr>
          <w:p>
            <w:pPr>
              <w:spacing w:after="0"/>
              <w:rPr>
                <w:sz w:val="17"/>
                <w:szCs w:val="17"/>
                <w:color w:val="auto"/>
              </w:rPr>
            </w:pPr>
          </w:p>
        </w:tc>
      </w:tr>
      <w:tr>
        <w:trPr>
          <w:trHeight w:val="362"/>
        </w:trPr>
        <w:tc>
          <w:tcPr>
            <w:tcW w:w="4040" w:type="dxa"/>
            <w:vAlign w:val="bottom"/>
            <w:shd w:val="clear" w:color="auto" w:fill="E5EFF2"/>
          </w:tcPr>
          <w:p>
            <w:pPr>
              <w:ind w:left="900"/>
              <w:spacing w:after="0"/>
              <w:rPr>
                <w:sz w:val="20"/>
                <w:szCs w:val="20"/>
                <w:color w:val="auto"/>
              </w:rPr>
            </w:pPr>
            <w:r>
              <w:rPr>
                <w:rFonts w:ascii="Arial" w:cs="Arial" w:eastAsia="Arial" w:hAnsi="Arial"/>
                <w:sz w:val="22"/>
                <w:szCs w:val="22"/>
                <w:color w:val="77A527"/>
              </w:rPr>
              <w:t>ORDERS</w:t>
            </w:r>
          </w:p>
        </w:tc>
        <w:tc>
          <w:tcPr>
            <w:tcW w:w="3520" w:type="dxa"/>
            <w:vAlign w:val="bottom"/>
            <w:shd w:val="clear" w:color="auto" w:fill="E5EFF2"/>
          </w:tcPr>
          <w:p>
            <w:pPr>
              <w:ind w:left="320"/>
              <w:spacing w:after="0"/>
              <w:rPr>
                <w:sz w:val="20"/>
                <w:szCs w:val="20"/>
                <w:color w:val="auto"/>
              </w:rPr>
            </w:pPr>
            <w:r>
              <w:rPr>
                <w:rFonts w:ascii="Arial" w:cs="Arial" w:eastAsia="Arial" w:hAnsi="Arial"/>
                <w:sz w:val="22"/>
                <w:szCs w:val="22"/>
                <w:color w:val="14256B"/>
              </w:rPr>
              <w:t>REVENUE</w:t>
            </w:r>
          </w:p>
        </w:tc>
        <w:tc>
          <w:tcPr>
            <w:tcW w:w="4320" w:type="dxa"/>
            <w:vAlign w:val="bottom"/>
            <w:shd w:val="clear" w:color="auto" w:fill="E5EFF2"/>
          </w:tcPr>
          <w:p>
            <w:pPr>
              <w:ind w:left="260"/>
              <w:spacing w:after="0"/>
              <w:rPr>
                <w:sz w:val="20"/>
                <w:szCs w:val="20"/>
                <w:color w:val="auto"/>
              </w:rPr>
            </w:pPr>
            <w:r>
              <w:rPr>
                <w:rFonts w:ascii="Arial" w:cs="Arial" w:eastAsia="Arial" w:hAnsi="Arial"/>
                <w:sz w:val="22"/>
                <w:szCs w:val="22"/>
                <w:color w:val="3B6FA0"/>
              </w:rPr>
              <w:t>ADJ EBITDA</w:t>
            </w:r>
          </w:p>
        </w:tc>
      </w:tr>
      <w:tr>
        <w:trPr>
          <w:trHeight w:val="554"/>
        </w:trPr>
        <w:tc>
          <w:tcPr>
            <w:tcW w:w="4040" w:type="dxa"/>
            <w:vAlign w:val="bottom"/>
            <w:shd w:val="clear" w:color="auto" w:fill="E5EFF2"/>
          </w:tcPr>
          <w:p>
            <w:pPr>
              <w:ind w:left="900"/>
              <w:spacing w:after="0"/>
              <w:rPr>
                <w:sz w:val="20"/>
                <w:szCs w:val="20"/>
                <w:color w:val="auto"/>
              </w:rPr>
            </w:pPr>
            <w:r>
              <w:rPr>
                <w:rFonts w:ascii="Arial" w:cs="Arial" w:eastAsia="Arial" w:hAnsi="Arial"/>
                <w:sz w:val="45"/>
                <w:szCs w:val="45"/>
                <w:b w:val="1"/>
                <w:bCs w:val="1"/>
                <w:color w:val="77A527"/>
              </w:rPr>
              <w:t>$583M, +11%</w:t>
            </w:r>
            <w:r>
              <w:rPr>
                <w:rFonts w:ascii="Arial" w:cs="Arial" w:eastAsia="Arial" w:hAnsi="Arial"/>
                <w:sz w:val="16"/>
                <w:szCs w:val="16"/>
                <w:b w:val="1"/>
                <w:bCs w:val="1"/>
                <w:color w:val="77A527"/>
              </w:rPr>
              <w:t>YoY</w:t>
            </w:r>
          </w:p>
        </w:tc>
        <w:tc>
          <w:tcPr>
            <w:tcW w:w="3520" w:type="dxa"/>
            <w:vAlign w:val="bottom"/>
            <w:shd w:val="clear" w:color="auto" w:fill="E5EFF2"/>
          </w:tcPr>
          <w:p>
            <w:pPr>
              <w:ind w:left="320"/>
              <w:spacing w:after="0"/>
              <w:rPr>
                <w:sz w:val="20"/>
                <w:szCs w:val="20"/>
                <w:color w:val="auto"/>
              </w:rPr>
            </w:pPr>
            <w:r>
              <w:rPr>
                <w:rFonts w:ascii="Arial" w:cs="Arial" w:eastAsia="Arial" w:hAnsi="Arial"/>
                <w:sz w:val="45"/>
                <w:szCs w:val="45"/>
                <w:b w:val="1"/>
                <w:bCs w:val="1"/>
                <w:color w:val="14256B"/>
              </w:rPr>
              <w:t>$545M, +29%</w:t>
            </w:r>
            <w:r>
              <w:rPr>
                <w:rFonts w:ascii="Arial" w:cs="Arial" w:eastAsia="Arial" w:hAnsi="Arial"/>
                <w:sz w:val="16"/>
                <w:szCs w:val="16"/>
                <w:b w:val="1"/>
                <w:bCs w:val="1"/>
                <w:color w:val="14256B"/>
              </w:rPr>
              <w:t>YoY</w:t>
            </w:r>
          </w:p>
        </w:tc>
        <w:tc>
          <w:tcPr>
            <w:tcW w:w="4320" w:type="dxa"/>
            <w:vAlign w:val="bottom"/>
            <w:shd w:val="clear" w:color="auto" w:fill="E5EFF2"/>
          </w:tcPr>
          <w:p>
            <w:pPr>
              <w:ind w:left="260"/>
              <w:spacing w:after="0"/>
              <w:rPr>
                <w:sz w:val="20"/>
                <w:szCs w:val="20"/>
                <w:color w:val="auto"/>
              </w:rPr>
            </w:pPr>
            <w:r>
              <w:rPr>
                <w:rFonts w:ascii="Arial" w:cs="Arial" w:eastAsia="Arial" w:hAnsi="Arial"/>
                <w:sz w:val="47"/>
                <w:szCs w:val="47"/>
                <w:b w:val="1"/>
                <w:bCs w:val="1"/>
                <w:color w:val="3B6FA0"/>
              </w:rPr>
              <w:t>$58M, +37%</w:t>
            </w:r>
            <w:r>
              <w:rPr>
                <w:rFonts w:ascii="Arial" w:cs="Arial" w:eastAsia="Arial" w:hAnsi="Arial"/>
                <w:sz w:val="16"/>
                <w:szCs w:val="16"/>
                <w:b w:val="1"/>
                <w:bCs w:val="1"/>
                <w:color w:val="3B6FA0"/>
              </w:rPr>
              <w:t>YoY</w:t>
            </w:r>
          </w:p>
        </w:tc>
      </w:tr>
      <w:tr>
        <w:trPr>
          <w:trHeight w:val="49"/>
        </w:trPr>
        <w:tc>
          <w:tcPr>
            <w:tcW w:w="4040" w:type="dxa"/>
            <w:vAlign w:val="bottom"/>
            <w:shd w:val="clear" w:color="auto" w:fill="E5EFF2"/>
          </w:tcPr>
          <w:p>
            <w:pPr>
              <w:spacing w:after="0"/>
              <w:rPr>
                <w:sz w:val="4"/>
                <w:szCs w:val="4"/>
                <w:color w:val="auto"/>
              </w:rPr>
            </w:pPr>
          </w:p>
        </w:tc>
        <w:tc>
          <w:tcPr>
            <w:tcW w:w="3520" w:type="dxa"/>
            <w:vAlign w:val="bottom"/>
            <w:shd w:val="clear" w:color="auto" w:fill="E5EFF2"/>
          </w:tcPr>
          <w:p>
            <w:pPr>
              <w:spacing w:after="0"/>
              <w:rPr>
                <w:sz w:val="4"/>
                <w:szCs w:val="4"/>
                <w:color w:val="auto"/>
              </w:rPr>
            </w:pPr>
          </w:p>
        </w:tc>
        <w:tc>
          <w:tcPr>
            <w:tcW w:w="4320" w:type="dxa"/>
            <w:vAlign w:val="bottom"/>
            <w:shd w:val="clear" w:color="auto" w:fill="E5EFF2"/>
          </w:tcPr>
          <w:p>
            <w:pPr>
              <w:spacing w:after="0"/>
              <w:rPr>
                <w:sz w:val="4"/>
                <w:szCs w:val="4"/>
                <w:color w:val="auto"/>
              </w:rPr>
            </w:pPr>
          </w:p>
        </w:tc>
      </w:tr>
    </w:tbl>
    <w:p>
      <w:pPr>
        <w:spacing w:after="0" w:line="173" w:lineRule="exact"/>
        <w:rPr>
          <w:sz w:val="20"/>
          <w:szCs w:val="20"/>
          <w:color w:val="auto"/>
        </w:rPr>
      </w:pPr>
    </w:p>
    <w:p>
      <w:pPr>
        <w:sectPr>
          <w:pgSz w:w="11880" w:h="15480" w:orient="portrait"/>
          <w:cols w:equalWidth="0" w:num="1">
            <w:col w:w="11880"/>
          </w:cols>
          <w:pgMar w:left="0" w:top="1090" w:right="0" w:bottom="0" w:gutter="0" w:footer="0" w:header="0"/>
        </w:sectPr>
      </w:pPr>
    </w:p>
    <w:p>
      <w:pPr>
        <w:ind w:left="900"/>
        <w:spacing w:after="0"/>
        <w:rPr>
          <w:sz w:val="20"/>
          <w:szCs w:val="20"/>
          <w:color w:val="auto"/>
        </w:rPr>
      </w:pPr>
      <w:r>
        <w:rPr>
          <w:rFonts w:ascii="Arial" w:cs="Arial" w:eastAsia="Arial" w:hAnsi="Arial"/>
          <w:sz w:val="36"/>
          <w:szCs w:val="36"/>
          <w:color w:val="273D86"/>
        </w:rPr>
        <w:t>BALANCED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42545</wp:posOffset>
            </wp:positionV>
            <wp:extent cx="3625215" cy="2913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3625215" cy="29133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left="2820"/>
        <w:spacing w:after="0"/>
        <w:rPr>
          <w:sz w:val="20"/>
          <w:szCs w:val="20"/>
          <w:color w:val="auto"/>
        </w:rPr>
      </w:pPr>
      <w:r>
        <w:rPr>
          <w:rFonts w:ascii="Arial" w:cs="Arial" w:eastAsia="Arial" w:hAnsi="Arial"/>
          <w:sz w:val="24"/>
          <w:szCs w:val="24"/>
          <w:b w:val="1"/>
          <w:bCs w:val="1"/>
          <w:color w:val="FFFFFF"/>
        </w:rPr>
        <w:t>~30%</w:t>
      </w:r>
    </w:p>
    <w:p>
      <w:pPr>
        <w:jc w:val="center"/>
        <w:ind w:left="2820"/>
        <w:spacing w:after="0" w:line="226" w:lineRule="auto"/>
        <w:rPr>
          <w:sz w:val="20"/>
          <w:szCs w:val="20"/>
          <w:color w:val="auto"/>
        </w:rPr>
      </w:pPr>
      <w:r>
        <w:rPr>
          <w:rFonts w:ascii="Arial" w:cs="Arial" w:eastAsia="Arial" w:hAnsi="Arial"/>
          <w:sz w:val="24"/>
          <w:szCs w:val="24"/>
          <w:b w:val="1"/>
          <w:bCs w:val="1"/>
          <w:color w:val="FFFFFF"/>
        </w:rPr>
        <w:t>Energy</w:t>
      </w:r>
    </w:p>
    <w:p>
      <w:pPr>
        <w:ind w:left="2980"/>
        <w:spacing w:after="0" w:line="180" w:lineRule="auto"/>
        <w:tabs>
          <w:tab w:leader="none" w:pos="3980" w:val="left"/>
        </w:tabs>
        <w:rPr>
          <w:sz w:val="20"/>
          <w:szCs w:val="20"/>
          <w:color w:val="auto"/>
        </w:rPr>
      </w:pPr>
      <w:r>
        <w:rPr>
          <w:rFonts w:ascii="Arial" w:cs="Arial" w:eastAsia="Arial" w:hAnsi="Arial"/>
          <w:sz w:val="33"/>
          <w:szCs w:val="33"/>
          <w:b w:val="1"/>
          <w:bCs w:val="1"/>
          <w:color w:val="FFFFFF"/>
          <w:vertAlign w:val="subscript"/>
        </w:rPr>
        <w:t>~40%</w:t>
      </w:r>
      <w:r>
        <w:rPr>
          <w:sz w:val="20"/>
          <w:szCs w:val="20"/>
          <w:color w:val="auto"/>
        </w:rPr>
        <w:tab/>
      </w:r>
      <w:r>
        <w:rPr>
          <w:rFonts w:ascii="Arial" w:cs="Arial" w:eastAsia="Arial" w:hAnsi="Arial"/>
          <w:sz w:val="19"/>
          <w:szCs w:val="19"/>
          <w:b w:val="1"/>
          <w:bCs w:val="1"/>
          <w:color w:val="FFFFFF"/>
        </w:rPr>
        <w:t>Transition</w:t>
      </w:r>
    </w:p>
    <w:p>
      <w:pPr>
        <w:spacing w:after="0" w:line="51" w:lineRule="exact"/>
        <w:rPr>
          <w:sz w:val="20"/>
          <w:szCs w:val="20"/>
          <w:color w:val="auto"/>
        </w:rPr>
      </w:pPr>
    </w:p>
    <w:p>
      <w:pPr>
        <w:ind w:left="2760"/>
        <w:spacing w:after="0"/>
        <w:rPr>
          <w:sz w:val="20"/>
          <w:szCs w:val="20"/>
          <w:color w:val="auto"/>
        </w:rPr>
      </w:pPr>
      <w:r>
        <w:rPr>
          <w:rFonts w:ascii="Arial" w:cs="Arial" w:eastAsia="Arial" w:hAnsi="Arial"/>
          <w:sz w:val="24"/>
          <w:szCs w:val="24"/>
          <w:b w:val="1"/>
          <w:bCs w:val="1"/>
          <w:color w:val="FFFFFF"/>
        </w:rPr>
        <w:t>Industrial</w:t>
      </w:r>
    </w:p>
    <w:p>
      <w:pPr>
        <w:ind w:left="3120"/>
        <w:spacing w:after="0" w:line="180" w:lineRule="auto"/>
        <w:tabs>
          <w:tab w:leader="none" w:pos="4160" w:val="left"/>
        </w:tabs>
        <w:rPr>
          <w:sz w:val="20"/>
          <w:szCs w:val="20"/>
          <w:color w:val="auto"/>
        </w:rPr>
      </w:pPr>
      <w:r>
        <w:rPr>
          <w:rFonts w:ascii="Arial" w:cs="Arial" w:eastAsia="Arial" w:hAnsi="Arial"/>
          <w:sz w:val="30"/>
          <w:szCs w:val="30"/>
          <w:b w:val="1"/>
          <w:bCs w:val="1"/>
          <w:color w:val="FFFFFF"/>
          <w:vertAlign w:val="superscript"/>
        </w:rPr>
        <w:t>Air</w:t>
      </w:r>
      <w:r>
        <w:rPr>
          <w:sz w:val="20"/>
          <w:szCs w:val="20"/>
          <w:color w:val="auto"/>
        </w:rPr>
        <w:tab/>
      </w:r>
      <w:r>
        <w:rPr>
          <w:rFonts w:ascii="Arial" w:cs="Arial" w:eastAsia="Arial" w:hAnsi="Arial"/>
          <w:sz w:val="18"/>
          <w:szCs w:val="18"/>
          <w:b w:val="1"/>
          <w:bCs w:val="1"/>
          <w:color w:val="FFFFFF"/>
        </w:rPr>
        <w:t>~30%</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24"/>
          <w:szCs w:val="24"/>
          <w:b w:val="1"/>
          <w:bCs w:val="1"/>
          <w:color w:val="FFFFFF"/>
        </w:rPr>
        <w:t>Industrial</w:t>
      </w:r>
    </w:p>
    <w:p>
      <w:pPr>
        <w:ind w:left="4160"/>
        <w:spacing w:after="0"/>
        <w:rPr>
          <w:sz w:val="20"/>
          <w:szCs w:val="20"/>
          <w:color w:val="auto"/>
        </w:rPr>
      </w:pPr>
      <w:r>
        <w:rPr>
          <w:rFonts w:ascii="Arial" w:cs="Arial" w:eastAsia="Arial" w:hAnsi="Arial"/>
          <w:sz w:val="24"/>
          <w:szCs w:val="24"/>
          <w:b w:val="1"/>
          <w:bCs w:val="1"/>
          <w:color w:val="FFFFFF"/>
        </w:rPr>
        <w:t>Water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440" w:type="dxa"/>
        <w:tblCellMar>
          <w:top w:w="0" w:type="dxa"/>
          <w:left w:w="0" w:type="dxa"/>
          <w:bottom w:w="0" w:type="dxa"/>
          <w:right w:w="0" w:type="dxa"/>
        </w:tblCellMar>
      </w:tblPr>
      <w:tr>
        <w:trPr>
          <w:trHeight w:val="322"/>
        </w:trPr>
        <w:tc>
          <w:tcPr>
            <w:tcW w:w="2440" w:type="dxa"/>
            <w:vAlign w:val="bottom"/>
          </w:tcPr>
          <w:p>
            <w:pPr>
              <w:jc w:val="center"/>
              <w:ind w:right="177"/>
              <w:spacing w:after="0"/>
              <w:rPr>
                <w:sz w:val="20"/>
                <w:szCs w:val="20"/>
                <w:color w:val="auto"/>
              </w:rPr>
            </w:pPr>
            <w:r>
              <w:rPr>
                <w:rFonts w:ascii="Arial" w:cs="Arial" w:eastAsia="Arial" w:hAnsi="Arial"/>
                <w:sz w:val="28"/>
                <w:szCs w:val="28"/>
                <w:b w:val="1"/>
                <w:bCs w:val="1"/>
                <w:color w:val="14256B"/>
              </w:rPr>
              <w:t>~50% of orders</w:t>
            </w:r>
          </w:p>
        </w:tc>
        <w:tc>
          <w:tcPr>
            <w:tcW w:w="2440" w:type="dxa"/>
            <w:vAlign w:val="bottom"/>
          </w:tcPr>
          <w:p>
            <w:pPr>
              <w:jc w:val="center"/>
              <w:ind w:left="177"/>
              <w:spacing w:after="0"/>
              <w:rPr>
                <w:sz w:val="20"/>
                <w:szCs w:val="20"/>
                <w:color w:val="auto"/>
              </w:rPr>
            </w:pPr>
            <w:r>
              <w:rPr>
                <w:rFonts w:ascii="Arial" w:cs="Arial" w:eastAsia="Arial" w:hAnsi="Arial"/>
                <w:sz w:val="18"/>
                <w:szCs w:val="18"/>
                <w:color w:val="14256B"/>
              </w:rPr>
              <w:t>No one single customer</w:t>
            </w:r>
          </w:p>
        </w:tc>
      </w:tr>
      <w:tr>
        <w:trPr>
          <w:trHeight w:val="281"/>
        </w:trPr>
        <w:tc>
          <w:tcPr>
            <w:tcW w:w="2440" w:type="dxa"/>
            <w:vAlign w:val="bottom"/>
          </w:tcPr>
          <w:p>
            <w:pPr>
              <w:jc w:val="center"/>
              <w:ind w:right="177"/>
              <w:spacing w:after="0"/>
              <w:rPr>
                <w:sz w:val="20"/>
                <w:szCs w:val="20"/>
                <w:color w:val="auto"/>
              </w:rPr>
            </w:pPr>
            <w:r>
              <w:rPr>
                <w:rFonts w:ascii="Arial" w:cs="Arial" w:eastAsia="Arial" w:hAnsi="Arial"/>
                <w:sz w:val="18"/>
                <w:szCs w:val="18"/>
                <w:color w:val="14256B"/>
              </w:rPr>
              <w:t>outside the United States</w:t>
            </w:r>
          </w:p>
        </w:tc>
        <w:tc>
          <w:tcPr>
            <w:tcW w:w="2440" w:type="dxa"/>
            <w:vAlign w:val="bottom"/>
          </w:tcPr>
          <w:p>
            <w:pPr>
              <w:jc w:val="center"/>
              <w:ind w:left="177"/>
              <w:spacing w:after="0" w:line="281" w:lineRule="exact"/>
              <w:rPr>
                <w:sz w:val="20"/>
                <w:szCs w:val="20"/>
                <w:color w:val="auto"/>
              </w:rPr>
            </w:pPr>
            <w:r>
              <w:rPr>
                <w:rFonts w:ascii="Arial" w:cs="Arial" w:eastAsia="Arial" w:hAnsi="Arial"/>
                <w:sz w:val="28"/>
                <w:szCs w:val="28"/>
                <w:b w:val="1"/>
                <w:bCs w:val="1"/>
                <w:color w:val="14256B"/>
              </w:rPr>
              <w:t>greater than</w:t>
            </w:r>
          </w:p>
        </w:tc>
      </w:tr>
      <w:tr>
        <w:trPr>
          <w:trHeight w:val="332"/>
        </w:trPr>
        <w:tc>
          <w:tcPr>
            <w:tcW w:w="2440" w:type="dxa"/>
            <w:vAlign w:val="bottom"/>
          </w:tcPr>
          <w:p>
            <w:pPr>
              <w:jc w:val="center"/>
              <w:ind w:right="177"/>
              <w:spacing w:after="0"/>
              <w:rPr>
                <w:sz w:val="20"/>
                <w:szCs w:val="20"/>
                <w:color w:val="auto"/>
              </w:rPr>
            </w:pPr>
            <w:r>
              <w:rPr>
                <w:rFonts w:ascii="Arial" w:cs="Arial" w:eastAsia="Arial" w:hAnsi="Arial"/>
                <w:sz w:val="28"/>
                <w:szCs w:val="28"/>
                <w:b w:val="1"/>
                <w:bCs w:val="1"/>
                <w:color w:val="14256B"/>
              </w:rPr>
              <w:t>~30% of sales</w:t>
            </w:r>
          </w:p>
        </w:tc>
        <w:tc>
          <w:tcPr>
            <w:tcW w:w="2440" w:type="dxa"/>
            <w:vAlign w:val="bottom"/>
          </w:tcPr>
          <w:p>
            <w:pPr>
              <w:jc w:val="center"/>
              <w:ind w:left="177"/>
              <w:spacing w:after="0"/>
              <w:rPr>
                <w:sz w:val="20"/>
                <w:szCs w:val="20"/>
                <w:color w:val="auto"/>
              </w:rPr>
            </w:pPr>
            <w:r>
              <w:rPr>
                <w:rFonts w:ascii="Arial" w:cs="Arial" w:eastAsia="Arial" w:hAnsi="Arial"/>
                <w:sz w:val="28"/>
                <w:szCs w:val="28"/>
                <w:b w:val="1"/>
                <w:bCs w:val="1"/>
                <w:color w:val="14256B"/>
              </w:rPr>
              <w:t>10% of revenue</w:t>
            </w:r>
          </w:p>
        </w:tc>
      </w:tr>
    </w:tbl>
    <w:p>
      <w:pPr>
        <w:ind w:left="1220"/>
        <w:spacing w:after="0"/>
        <w:rPr>
          <w:sz w:val="20"/>
          <w:szCs w:val="20"/>
          <w:color w:val="auto"/>
        </w:rPr>
      </w:pPr>
      <w:r>
        <w:rPr>
          <w:rFonts w:ascii="Arial" w:cs="Arial" w:eastAsia="Arial" w:hAnsi="Arial"/>
          <w:sz w:val="18"/>
          <w:szCs w:val="18"/>
          <w:color w:val="14256B"/>
        </w:rPr>
        <w:t>short-cycle or recurring 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color w:val="273D86"/>
        </w:rPr>
        <w:t>VALUE CREATION PRIORITIES</w:t>
      </w:r>
    </w:p>
    <w:p>
      <w:pPr>
        <w:spacing w:after="0" w:line="205" w:lineRule="exact"/>
        <w:rPr>
          <w:sz w:val="20"/>
          <w:szCs w:val="20"/>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Sustaining double-digit organic growth</w:t>
      </w:r>
    </w:p>
    <w:p>
      <w:pPr>
        <w:spacing w:after="0" w:line="105" w:lineRule="exact"/>
        <w:rPr>
          <w:rFonts w:ascii="Arial" w:cs="Arial" w:eastAsia="Arial" w:hAnsi="Arial"/>
          <w:sz w:val="23"/>
          <w:szCs w:val="23"/>
          <w:color w:val="auto"/>
        </w:rPr>
      </w:pPr>
    </w:p>
    <w:p>
      <w:pPr>
        <w:ind w:left="160" w:right="820" w:hanging="160"/>
        <w:spacing w:after="0" w:line="259" w:lineRule="auto"/>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Executing Programmatic M&amp;A building niche leadership in focused markets and increasing short cycle revenue</w:t>
      </w:r>
    </w:p>
    <w:p>
      <w:pPr>
        <w:spacing w:after="0" w:line="73" w:lineRule="exact"/>
        <w:rPr>
          <w:rFonts w:ascii="Arial" w:cs="Arial" w:eastAsia="Arial" w:hAnsi="Arial"/>
          <w:sz w:val="23"/>
          <w:szCs w:val="23"/>
          <w:color w:val="auto"/>
        </w:rPr>
      </w:pPr>
    </w:p>
    <w:p>
      <w:pPr>
        <w:ind w:left="160" w:right="1700" w:hanging="160"/>
        <w:spacing w:after="0" w:line="243" w:lineRule="auto"/>
        <w:tabs>
          <w:tab w:leader="none" w:pos="160" w:val="left"/>
        </w:tabs>
        <w:numPr>
          <w:ilvl w:val="0"/>
          <w:numId w:val="3"/>
        </w:numPr>
        <w:rPr>
          <w:rFonts w:ascii="Arial" w:cs="Arial" w:eastAsia="Arial" w:hAnsi="Arial"/>
          <w:sz w:val="24"/>
          <w:szCs w:val="24"/>
          <w:color w:val="auto"/>
        </w:rPr>
      </w:pPr>
      <w:r>
        <w:rPr>
          <w:rFonts w:ascii="Arial" w:cs="Arial" w:eastAsia="Arial" w:hAnsi="Arial"/>
          <w:sz w:val="24"/>
          <w:szCs w:val="24"/>
          <w:color w:val="auto"/>
        </w:rPr>
        <w:t>Maintaining balanced portfolio end market exposure</w:t>
      </w:r>
    </w:p>
    <w:p>
      <w:pPr>
        <w:spacing w:after="0" w:line="91" w:lineRule="exact"/>
        <w:rPr>
          <w:rFonts w:ascii="Arial" w:cs="Arial" w:eastAsia="Arial" w:hAnsi="Arial"/>
          <w:sz w:val="24"/>
          <w:szCs w:val="24"/>
          <w:color w:val="auto"/>
        </w:rPr>
      </w:pPr>
    </w:p>
    <w:p>
      <w:pPr>
        <w:ind w:left="160" w:right="1080" w:hanging="160"/>
        <w:spacing w:after="0" w:line="244" w:lineRule="auto"/>
        <w:tabs>
          <w:tab w:leader="none" w:pos="160" w:val="left"/>
        </w:tabs>
        <w:numPr>
          <w:ilvl w:val="0"/>
          <w:numId w:val="3"/>
        </w:numPr>
        <w:rPr>
          <w:rFonts w:ascii="Arial" w:cs="Arial" w:eastAsia="Arial" w:hAnsi="Arial"/>
          <w:sz w:val="24"/>
          <w:szCs w:val="24"/>
          <w:color w:val="auto"/>
        </w:rPr>
      </w:pPr>
      <w:r>
        <w:rPr>
          <w:rFonts w:ascii="Arial" w:cs="Arial" w:eastAsia="Arial" w:hAnsi="Arial"/>
          <w:sz w:val="24"/>
          <w:szCs w:val="24"/>
          <w:color w:val="auto"/>
        </w:rPr>
        <w:t>Increasing short-cycle and recurring revenue business mix</w:t>
      </w:r>
    </w:p>
    <w:p>
      <w:pPr>
        <w:spacing w:after="0" w:line="89" w:lineRule="exact"/>
        <w:rPr>
          <w:rFonts w:ascii="Arial" w:cs="Arial" w:eastAsia="Arial" w:hAnsi="Arial"/>
          <w:sz w:val="24"/>
          <w:szCs w:val="24"/>
          <w:color w:val="auto"/>
        </w:rPr>
      </w:pPr>
    </w:p>
    <w:p>
      <w:pPr>
        <w:ind w:left="160" w:right="1200" w:hanging="160"/>
        <w:spacing w:after="0" w:line="260" w:lineRule="auto"/>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Delivering operating improvements generating 100+ bps per year of EBITDA margin expansion</w:t>
      </w:r>
    </w:p>
    <w:p>
      <w:pPr>
        <w:spacing w:after="0" w:line="70" w:lineRule="exact"/>
        <w:rPr>
          <w:rFonts w:ascii="Arial" w:cs="Arial" w:eastAsia="Arial" w:hAnsi="Arial"/>
          <w:sz w:val="23"/>
          <w:szCs w:val="23"/>
          <w:color w:val="auto"/>
        </w:rPr>
      </w:pPr>
    </w:p>
    <w:p>
      <w:pPr>
        <w:ind w:left="160" w:right="1380" w:hanging="160"/>
        <w:spacing w:after="0" w:line="244" w:lineRule="auto"/>
        <w:tabs>
          <w:tab w:leader="none" w:pos="160" w:val="left"/>
        </w:tabs>
        <w:numPr>
          <w:ilvl w:val="0"/>
          <w:numId w:val="3"/>
        </w:numPr>
        <w:rPr>
          <w:rFonts w:ascii="Arial" w:cs="Arial" w:eastAsia="Arial" w:hAnsi="Arial"/>
          <w:sz w:val="24"/>
          <w:szCs w:val="24"/>
          <w:color w:val="auto"/>
        </w:rPr>
      </w:pPr>
      <w:r>
        <w:rPr>
          <w:rFonts w:ascii="Arial" w:cs="Arial" w:eastAsia="Arial" w:hAnsi="Arial"/>
          <w:sz w:val="24"/>
          <w:szCs w:val="24"/>
          <w:color w:val="auto"/>
        </w:rPr>
        <w:t>Delivering disciplined capital deployment with robust cash flow generation</w:t>
      </w:r>
    </w:p>
    <w:p>
      <w:pPr>
        <w:spacing w:after="0" w:line="200" w:lineRule="exact"/>
        <w:rPr>
          <w:sz w:val="20"/>
          <w:szCs w:val="20"/>
          <w:color w:val="auto"/>
        </w:rPr>
      </w:pPr>
    </w:p>
    <w:p>
      <w:pPr>
        <w:sectPr>
          <w:pgSz w:w="11880" w:h="15480" w:orient="portrait"/>
          <w:cols w:equalWidth="0" w:num="2">
            <w:col w:w="6320" w:space="520"/>
            <w:col w:w="5040"/>
          </w:cols>
          <w:pgMar w:left="0" w:top="1090" w:right="0" w:bottom="0" w:gutter="0" w:footer="0" w:header="0"/>
          <w:type w:val="continuous"/>
        </w:sectPr>
      </w:pPr>
    </w:p>
    <w:p>
      <w:pPr>
        <w:spacing w:after="0" w:line="148" w:lineRule="exact"/>
        <w:rPr>
          <w:sz w:val="20"/>
          <w:szCs w:val="20"/>
          <w:color w:val="auto"/>
        </w:rPr>
      </w:pPr>
    </w:p>
    <w:p>
      <w:pPr>
        <w:ind w:left="900"/>
        <w:spacing w:after="0"/>
        <w:rPr>
          <w:sz w:val="20"/>
          <w:szCs w:val="20"/>
          <w:color w:val="auto"/>
        </w:rPr>
      </w:pPr>
      <w:r>
        <w:rPr>
          <w:rFonts w:ascii="Arial" w:cs="Arial" w:eastAsia="Arial" w:hAnsi="Arial"/>
          <w:sz w:val="25"/>
          <w:szCs w:val="25"/>
          <w:color w:val="14256B"/>
        </w:rPr>
        <w:t>BALANCED GROWTH ACROSS LARGE AND GROWING ADDRESSABLE MARKETS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2693670</wp:posOffset>
                </wp:positionH>
                <wp:positionV relativeFrom="paragraph">
                  <wp:posOffset>134620</wp:posOffset>
                </wp:positionV>
                <wp:extent cx="0" cy="277749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77490"/>
                        </a:xfrm>
                        <a:prstGeom prst="line">
                          <a:avLst/>
                        </a:prstGeom>
                        <a:solidFill>
                          <a:srgbClr val="FFFFFF"/>
                        </a:solidFill>
                        <a:ln w="11836">
                          <a:solidFill>
                            <a:srgbClr val="BFBFB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1pt,10.6pt" to="212.1pt,229.3pt" o:allowincell="f" strokecolor="#BFBFBF" strokeweight="0.932pt"/>
            </w:pict>
          </mc:Fallback>
        </mc:AlternateContent>
        <mc:AlternateContent>
          <mc:Choice Requires="wps">
            <w:drawing>
              <wp:anchor simplePos="0" relativeHeight="251657728" behindDoc="1" locked="0" layoutInCell="0" allowOverlap="1">
                <wp:simplePos x="0" y="0"/>
                <wp:positionH relativeFrom="column">
                  <wp:posOffset>4854575</wp:posOffset>
                </wp:positionH>
                <wp:positionV relativeFrom="paragraph">
                  <wp:posOffset>134620</wp:posOffset>
                </wp:positionV>
                <wp:extent cx="0" cy="277749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77490"/>
                        </a:xfrm>
                        <a:prstGeom prst="line">
                          <a:avLst/>
                        </a:prstGeom>
                        <a:solidFill>
                          <a:srgbClr val="FFFFFF"/>
                        </a:solidFill>
                        <a:ln w="11836">
                          <a:solidFill>
                            <a:srgbClr val="BFBFB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25pt,10.6pt" to="382.25pt,229.3pt" o:allowincell="f" strokecolor="#BFBFBF" strokeweight="0.932pt"/>
            </w:pict>
          </mc:Fallback>
        </mc:AlternateConten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324"/>
        </w:trPr>
        <w:tc>
          <w:tcPr>
            <w:tcW w:w="3240" w:type="dxa"/>
            <w:vAlign w:val="bottom"/>
            <w:shd w:val="clear" w:color="auto" w:fill="77A527"/>
          </w:tcPr>
          <w:p>
            <w:pPr>
              <w:ind w:left="840"/>
              <w:spacing w:after="0"/>
              <w:rPr>
                <w:sz w:val="20"/>
                <w:szCs w:val="20"/>
                <w:color w:val="auto"/>
              </w:rPr>
            </w:pPr>
            <w:r>
              <w:rPr>
                <w:rFonts w:ascii="Arial" w:cs="Arial" w:eastAsia="Arial" w:hAnsi="Arial"/>
                <w:sz w:val="20"/>
                <w:szCs w:val="20"/>
                <w:b w:val="1"/>
                <w:bCs w:val="1"/>
                <w:color w:val="FFFFFF"/>
              </w:rPr>
              <w:t>INDUSTRIAL AIR</w:t>
            </w:r>
          </w:p>
        </w:tc>
        <w:tc>
          <w:tcPr>
            <w:tcW w:w="180" w:type="dxa"/>
            <w:vAlign w:val="bottom"/>
          </w:tcPr>
          <w:p>
            <w:pPr>
              <w:spacing w:after="0"/>
              <w:rPr>
                <w:sz w:val="24"/>
                <w:szCs w:val="24"/>
                <w:color w:val="auto"/>
              </w:rPr>
            </w:pPr>
          </w:p>
        </w:tc>
        <w:tc>
          <w:tcPr>
            <w:tcW w:w="3240" w:type="dxa"/>
            <w:vAlign w:val="bottom"/>
            <w:shd w:val="clear" w:color="auto" w:fill="3B6FA0"/>
          </w:tcPr>
          <w:p>
            <w:pPr>
              <w:ind w:left="680"/>
              <w:spacing w:after="0"/>
              <w:rPr>
                <w:sz w:val="20"/>
                <w:szCs w:val="20"/>
                <w:color w:val="auto"/>
              </w:rPr>
            </w:pPr>
            <w:r>
              <w:rPr>
                <w:rFonts w:ascii="Arial" w:cs="Arial" w:eastAsia="Arial" w:hAnsi="Arial"/>
                <w:sz w:val="20"/>
                <w:szCs w:val="20"/>
                <w:b w:val="1"/>
                <w:bCs w:val="1"/>
                <w:color w:val="FFFFFF"/>
              </w:rPr>
              <w:t>INDUSTRIAL WATER</w:t>
            </w:r>
          </w:p>
        </w:tc>
        <w:tc>
          <w:tcPr>
            <w:tcW w:w="160" w:type="dxa"/>
            <w:vAlign w:val="bottom"/>
          </w:tcPr>
          <w:p>
            <w:pPr>
              <w:spacing w:after="0"/>
              <w:rPr>
                <w:sz w:val="24"/>
                <w:szCs w:val="24"/>
                <w:color w:val="auto"/>
              </w:rPr>
            </w:pPr>
          </w:p>
        </w:tc>
        <w:tc>
          <w:tcPr>
            <w:tcW w:w="3240" w:type="dxa"/>
            <w:vAlign w:val="bottom"/>
            <w:shd w:val="clear" w:color="auto" w:fill="14256B"/>
          </w:tcPr>
          <w:p>
            <w:pPr>
              <w:ind w:left="600"/>
              <w:spacing w:after="0"/>
              <w:rPr>
                <w:sz w:val="20"/>
                <w:szCs w:val="20"/>
                <w:color w:val="auto"/>
              </w:rPr>
            </w:pPr>
            <w:r>
              <w:rPr>
                <w:rFonts w:ascii="Arial" w:cs="Arial" w:eastAsia="Arial" w:hAnsi="Arial"/>
                <w:sz w:val="20"/>
                <w:szCs w:val="20"/>
                <w:b w:val="1"/>
                <w:bCs w:val="1"/>
                <w:color w:val="FFFFFF"/>
              </w:rPr>
              <w:t>ENERGY TRANSITION</w:t>
            </w:r>
          </w:p>
        </w:tc>
      </w:tr>
      <w:tr>
        <w:trPr>
          <w:trHeight w:val="95"/>
        </w:trPr>
        <w:tc>
          <w:tcPr>
            <w:tcW w:w="3240" w:type="dxa"/>
            <w:vAlign w:val="bottom"/>
            <w:shd w:val="clear" w:color="auto" w:fill="77A527"/>
          </w:tcPr>
          <w:p>
            <w:pPr>
              <w:spacing w:after="0"/>
              <w:rPr>
                <w:sz w:val="8"/>
                <w:szCs w:val="8"/>
                <w:color w:val="auto"/>
              </w:rPr>
            </w:pPr>
          </w:p>
        </w:tc>
        <w:tc>
          <w:tcPr>
            <w:tcW w:w="180" w:type="dxa"/>
            <w:vAlign w:val="bottom"/>
          </w:tcPr>
          <w:p>
            <w:pPr>
              <w:spacing w:after="0"/>
              <w:rPr>
                <w:sz w:val="8"/>
                <w:szCs w:val="8"/>
                <w:color w:val="auto"/>
              </w:rPr>
            </w:pPr>
          </w:p>
        </w:tc>
        <w:tc>
          <w:tcPr>
            <w:tcW w:w="3240" w:type="dxa"/>
            <w:vAlign w:val="bottom"/>
            <w:shd w:val="clear" w:color="auto" w:fill="3B6FA0"/>
          </w:tcPr>
          <w:p>
            <w:pPr>
              <w:spacing w:after="0"/>
              <w:rPr>
                <w:sz w:val="8"/>
                <w:szCs w:val="8"/>
                <w:color w:val="auto"/>
              </w:rPr>
            </w:pPr>
          </w:p>
        </w:tc>
        <w:tc>
          <w:tcPr>
            <w:tcW w:w="160" w:type="dxa"/>
            <w:vAlign w:val="bottom"/>
          </w:tcPr>
          <w:p>
            <w:pPr>
              <w:spacing w:after="0"/>
              <w:rPr>
                <w:sz w:val="8"/>
                <w:szCs w:val="8"/>
                <w:color w:val="auto"/>
              </w:rPr>
            </w:pPr>
          </w:p>
        </w:tc>
        <w:tc>
          <w:tcPr>
            <w:tcW w:w="3240" w:type="dxa"/>
            <w:vAlign w:val="bottom"/>
            <w:shd w:val="clear" w:color="auto" w:fill="14256B"/>
          </w:tcPr>
          <w:p>
            <w:pPr>
              <w:spacing w:after="0"/>
              <w:rPr>
                <w:sz w:val="8"/>
                <w:szCs w:val="8"/>
                <w:color w:val="auto"/>
              </w:rPr>
            </w:pPr>
          </w:p>
        </w:tc>
      </w:tr>
    </w:tbl>
    <w:p>
      <w:pPr>
        <w:spacing w:after="0" w:line="31" w:lineRule="exact"/>
        <w:rPr>
          <w:sz w:val="20"/>
          <w:szCs w:val="20"/>
          <w:color w:val="auto"/>
        </w:rPr>
      </w:pPr>
    </w:p>
    <w:tbl>
      <w:tblPr>
        <w:tblLayout w:type="fixed"/>
        <w:tblInd w:w="920" w:type="dxa"/>
        <w:tblCellMar>
          <w:top w:w="0" w:type="dxa"/>
          <w:left w:w="0" w:type="dxa"/>
          <w:bottom w:w="0" w:type="dxa"/>
          <w:right w:w="0" w:type="dxa"/>
        </w:tblCellMar>
      </w:tblPr>
      <w:tr>
        <w:trPr>
          <w:trHeight w:val="322"/>
        </w:trPr>
        <w:tc>
          <w:tcPr>
            <w:tcW w:w="1640" w:type="dxa"/>
            <w:vAlign w:val="bottom"/>
          </w:tcPr>
          <w:p>
            <w:pPr>
              <w:ind w:left="740"/>
              <w:spacing w:after="0"/>
              <w:rPr>
                <w:sz w:val="20"/>
                <w:szCs w:val="20"/>
                <w:color w:val="auto"/>
              </w:rPr>
            </w:pPr>
            <w:r>
              <w:rPr>
                <w:rFonts w:ascii="Arial" w:cs="Arial" w:eastAsia="Arial" w:hAnsi="Arial"/>
                <w:sz w:val="28"/>
                <w:szCs w:val="28"/>
                <w:b w:val="1"/>
                <w:bCs w:val="1"/>
                <w:color w:val="77A527"/>
              </w:rPr>
              <w:t>~$7B</w:t>
            </w:r>
          </w:p>
        </w:tc>
        <w:tc>
          <w:tcPr>
            <w:tcW w:w="1620" w:type="dxa"/>
            <w:vAlign w:val="bottom"/>
          </w:tcPr>
          <w:p>
            <w:pPr>
              <w:ind w:left="140"/>
              <w:spacing w:after="0"/>
              <w:rPr>
                <w:sz w:val="20"/>
                <w:szCs w:val="20"/>
                <w:color w:val="auto"/>
              </w:rPr>
            </w:pPr>
            <w:r>
              <w:rPr>
                <w:rFonts w:ascii="Arial" w:cs="Arial" w:eastAsia="Arial" w:hAnsi="Arial"/>
                <w:sz w:val="28"/>
                <w:szCs w:val="28"/>
                <w:b w:val="1"/>
                <w:bCs w:val="1"/>
                <w:color w:val="77A527"/>
              </w:rPr>
              <w:t>HSD%</w:t>
            </w:r>
          </w:p>
        </w:tc>
        <w:tc>
          <w:tcPr>
            <w:tcW w:w="1780" w:type="dxa"/>
            <w:vAlign w:val="bottom"/>
          </w:tcPr>
          <w:p>
            <w:pPr>
              <w:ind w:left="880"/>
              <w:spacing w:after="0"/>
              <w:rPr>
                <w:sz w:val="20"/>
                <w:szCs w:val="20"/>
                <w:color w:val="auto"/>
              </w:rPr>
            </w:pPr>
            <w:r>
              <w:rPr>
                <w:rFonts w:ascii="Arial" w:cs="Arial" w:eastAsia="Arial" w:hAnsi="Arial"/>
                <w:sz w:val="28"/>
                <w:szCs w:val="28"/>
                <w:b w:val="1"/>
                <w:bCs w:val="1"/>
                <w:color w:val="3B6FA0"/>
              </w:rPr>
              <w:t>~$3B</w:t>
            </w:r>
          </w:p>
        </w:tc>
        <w:tc>
          <w:tcPr>
            <w:tcW w:w="1620" w:type="dxa"/>
            <w:vAlign w:val="bottom"/>
          </w:tcPr>
          <w:p>
            <w:pPr>
              <w:ind w:left="140"/>
              <w:spacing w:after="0"/>
              <w:rPr>
                <w:sz w:val="20"/>
                <w:szCs w:val="20"/>
                <w:color w:val="auto"/>
              </w:rPr>
            </w:pPr>
            <w:r>
              <w:rPr>
                <w:rFonts w:ascii="Arial" w:cs="Arial" w:eastAsia="Arial" w:hAnsi="Arial"/>
                <w:sz w:val="28"/>
                <w:szCs w:val="28"/>
                <w:b w:val="1"/>
                <w:bCs w:val="1"/>
                <w:color w:val="3B6FA0"/>
              </w:rPr>
              <w:t>MSD%</w:t>
            </w:r>
          </w:p>
        </w:tc>
        <w:tc>
          <w:tcPr>
            <w:tcW w:w="1780" w:type="dxa"/>
            <w:vAlign w:val="bottom"/>
          </w:tcPr>
          <w:p>
            <w:pPr>
              <w:ind w:left="760"/>
              <w:spacing w:after="0"/>
              <w:rPr>
                <w:sz w:val="20"/>
                <w:szCs w:val="20"/>
                <w:color w:val="auto"/>
              </w:rPr>
            </w:pPr>
            <w:r>
              <w:rPr>
                <w:rFonts w:ascii="Arial" w:cs="Arial" w:eastAsia="Arial" w:hAnsi="Arial"/>
                <w:sz w:val="28"/>
                <w:szCs w:val="28"/>
                <w:b w:val="1"/>
                <w:bCs w:val="1"/>
                <w:color w:val="14256B"/>
              </w:rPr>
              <w:t>~$3.5B</w:t>
            </w:r>
          </w:p>
        </w:tc>
        <w:tc>
          <w:tcPr>
            <w:tcW w:w="1420" w:type="dxa"/>
            <w:vAlign w:val="bottom"/>
          </w:tcPr>
          <w:p>
            <w:pPr>
              <w:ind w:left="120"/>
              <w:spacing w:after="0"/>
              <w:rPr>
                <w:sz w:val="20"/>
                <w:szCs w:val="20"/>
                <w:color w:val="auto"/>
              </w:rPr>
            </w:pPr>
            <w:r>
              <w:rPr>
                <w:rFonts w:ascii="Arial" w:cs="Arial" w:eastAsia="Arial" w:hAnsi="Arial"/>
                <w:sz w:val="28"/>
                <w:szCs w:val="28"/>
                <w:b w:val="1"/>
                <w:bCs w:val="1"/>
                <w:color w:val="14256B"/>
              </w:rPr>
              <w:t>MSD%</w:t>
            </w:r>
          </w:p>
        </w:tc>
        <w:tc>
          <w:tcPr>
            <w:tcW w:w="0" w:type="dxa"/>
            <w:vAlign w:val="bottom"/>
          </w:tcPr>
          <w:p>
            <w:pPr>
              <w:spacing w:after="0"/>
              <w:rPr>
                <w:sz w:val="1"/>
                <w:szCs w:val="1"/>
                <w:color w:val="auto"/>
              </w:rPr>
            </w:pPr>
          </w:p>
        </w:tc>
      </w:tr>
      <w:tr>
        <w:trPr>
          <w:trHeight w:val="171"/>
        </w:trPr>
        <w:tc>
          <w:tcPr>
            <w:tcW w:w="1640" w:type="dxa"/>
            <w:vAlign w:val="bottom"/>
          </w:tcPr>
          <w:p>
            <w:pPr>
              <w:ind w:left="580"/>
              <w:spacing w:after="0" w:line="171" w:lineRule="exact"/>
              <w:rPr>
                <w:sz w:val="20"/>
                <w:szCs w:val="20"/>
                <w:color w:val="auto"/>
              </w:rPr>
            </w:pPr>
            <w:r>
              <w:rPr>
                <w:rFonts w:ascii="Arial" w:cs="Arial" w:eastAsia="Arial" w:hAnsi="Arial"/>
                <w:sz w:val="15"/>
                <w:szCs w:val="15"/>
                <w:color w:val="77A527"/>
              </w:rPr>
              <w:t>MARKET SIZE</w:t>
            </w:r>
          </w:p>
        </w:tc>
        <w:tc>
          <w:tcPr>
            <w:tcW w:w="1620" w:type="dxa"/>
            <w:vAlign w:val="bottom"/>
          </w:tcPr>
          <w:p>
            <w:pPr>
              <w:ind w:left="360"/>
              <w:spacing w:after="0" w:line="171" w:lineRule="exact"/>
              <w:rPr>
                <w:sz w:val="20"/>
                <w:szCs w:val="20"/>
                <w:color w:val="auto"/>
              </w:rPr>
            </w:pPr>
            <w:r>
              <w:rPr>
                <w:rFonts w:ascii="Arial" w:cs="Arial" w:eastAsia="Arial" w:hAnsi="Arial"/>
                <w:sz w:val="15"/>
                <w:szCs w:val="15"/>
                <w:color w:val="77A527"/>
              </w:rPr>
              <w:t>CAGR</w:t>
            </w:r>
          </w:p>
        </w:tc>
        <w:tc>
          <w:tcPr>
            <w:tcW w:w="1780" w:type="dxa"/>
            <w:vAlign w:val="bottom"/>
          </w:tcPr>
          <w:p>
            <w:pPr>
              <w:ind w:left="720"/>
              <w:spacing w:after="0" w:line="171" w:lineRule="exact"/>
              <w:rPr>
                <w:sz w:val="20"/>
                <w:szCs w:val="20"/>
                <w:color w:val="auto"/>
              </w:rPr>
            </w:pPr>
            <w:r>
              <w:rPr>
                <w:rFonts w:ascii="Arial" w:cs="Arial" w:eastAsia="Arial" w:hAnsi="Arial"/>
                <w:sz w:val="15"/>
                <w:szCs w:val="15"/>
                <w:color w:val="3B6FA0"/>
              </w:rPr>
              <w:t>MARKET SIZE</w:t>
            </w:r>
          </w:p>
        </w:tc>
        <w:tc>
          <w:tcPr>
            <w:tcW w:w="1620" w:type="dxa"/>
            <w:vAlign w:val="bottom"/>
          </w:tcPr>
          <w:p>
            <w:pPr>
              <w:ind w:left="360"/>
              <w:spacing w:after="0" w:line="171" w:lineRule="exact"/>
              <w:rPr>
                <w:sz w:val="20"/>
                <w:szCs w:val="20"/>
                <w:color w:val="auto"/>
              </w:rPr>
            </w:pPr>
            <w:r>
              <w:rPr>
                <w:rFonts w:ascii="Arial" w:cs="Arial" w:eastAsia="Arial" w:hAnsi="Arial"/>
                <w:sz w:val="15"/>
                <w:szCs w:val="15"/>
                <w:color w:val="3B6FA0"/>
              </w:rPr>
              <w:t>CAGR</w:t>
            </w:r>
          </w:p>
        </w:tc>
        <w:tc>
          <w:tcPr>
            <w:tcW w:w="1780" w:type="dxa"/>
            <w:vAlign w:val="bottom"/>
          </w:tcPr>
          <w:p>
            <w:pPr>
              <w:ind w:left="720"/>
              <w:spacing w:after="0" w:line="171" w:lineRule="exact"/>
              <w:rPr>
                <w:sz w:val="20"/>
                <w:szCs w:val="20"/>
                <w:color w:val="auto"/>
              </w:rPr>
            </w:pPr>
            <w:r>
              <w:rPr>
                <w:rFonts w:ascii="Arial" w:cs="Arial" w:eastAsia="Arial" w:hAnsi="Arial"/>
                <w:sz w:val="15"/>
                <w:szCs w:val="15"/>
                <w:color w:val="14256B"/>
              </w:rPr>
              <w:t>MARKET SIZE</w:t>
            </w:r>
          </w:p>
        </w:tc>
        <w:tc>
          <w:tcPr>
            <w:tcW w:w="1420" w:type="dxa"/>
            <w:vAlign w:val="bottom"/>
          </w:tcPr>
          <w:p>
            <w:pPr>
              <w:ind w:left="360"/>
              <w:spacing w:after="0" w:line="171" w:lineRule="exact"/>
              <w:rPr>
                <w:sz w:val="20"/>
                <w:szCs w:val="20"/>
                <w:color w:val="auto"/>
              </w:rPr>
            </w:pPr>
            <w:r>
              <w:rPr>
                <w:rFonts w:ascii="Arial" w:cs="Arial" w:eastAsia="Arial" w:hAnsi="Arial"/>
                <w:sz w:val="15"/>
                <w:szCs w:val="15"/>
                <w:color w:val="14256B"/>
              </w:rPr>
              <w:t>CAGR</w:t>
            </w:r>
          </w:p>
        </w:tc>
        <w:tc>
          <w:tcPr>
            <w:tcW w:w="0" w:type="dxa"/>
            <w:vAlign w:val="bottom"/>
          </w:tcPr>
          <w:p>
            <w:pPr>
              <w:spacing w:after="0"/>
              <w:rPr>
                <w:sz w:val="1"/>
                <w:szCs w:val="1"/>
                <w:color w:val="auto"/>
              </w:rPr>
            </w:pPr>
          </w:p>
        </w:tc>
      </w:tr>
      <w:tr>
        <w:trPr>
          <w:trHeight w:val="379"/>
        </w:trPr>
        <w:tc>
          <w:tcPr>
            <w:tcW w:w="1640" w:type="dxa"/>
            <w:vAlign w:val="bottom"/>
          </w:tcPr>
          <w:p>
            <w:pPr>
              <w:spacing w:after="0"/>
              <w:rPr>
                <w:sz w:val="20"/>
                <w:szCs w:val="20"/>
                <w:color w:val="auto"/>
              </w:rPr>
            </w:pPr>
            <w:r>
              <w:rPr>
                <w:rFonts w:ascii="Arial" w:cs="Arial" w:eastAsia="Arial" w:hAnsi="Arial"/>
                <w:sz w:val="20"/>
                <w:szCs w:val="20"/>
                <w:b w:val="1"/>
                <w:bCs w:val="1"/>
                <w:color w:val="77A527"/>
              </w:rPr>
              <w:t>SOLUTIONS:</w:t>
            </w:r>
          </w:p>
        </w:tc>
        <w:tc>
          <w:tcPr>
            <w:tcW w:w="1620" w:type="dxa"/>
            <w:vAlign w:val="bottom"/>
          </w:tcPr>
          <w:p>
            <w:pPr>
              <w:ind w:left="80"/>
              <w:spacing w:after="0"/>
              <w:rPr>
                <w:sz w:val="20"/>
                <w:szCs w:val="20"/>
                <w:color w:val="auto"/>
              </w:rPr>
            </w:pPr>
            <w:r>
              <w:rPr>
                <w:rFonts w:ascii="Arial" w:cs="Arial" w:eastAsia="Arial" w:hAnsi="Arial"/>
                <w:sz w:val="20"/>
                <w:szCs w:val="20"/>
                <w:b w:val="1"/>
                <w:bCs w:val="1"/>
                <w:color w:val="77A527"/>
              </w:rPr>
              <w:t>KEY BRANDS:</w:t>
            </w:r>
          </w:p>
        </w:tc>
        <w:tc>
          <w:tcPr>
            <w:tcW w:w="1780" w:type="dxa"/>
            <w:vAlign w:val="bottom"/>
          </w:tcPr>
          <w:p>
            <w:pPr>
              <w:ind w:left="180"/>
              <w:spacing w:after="0"/>
              <w:rPr>
                <w:sz w:val="20"/>
                <w:szCs w:val="20"/>
                <w:color w:val="auto"/>
              </w:rPr>
            </w:pPr>
            <w:r>
              <w:rPr>
                <w:rFonts w:ascii="Arial" w:cs="Arial" w:eastAsia="Arial" w:hAnsi="Arial"/>
                <w:sz w:val="20"/>
                <w:szCs w:val="20"/>
                <w:b w:val="1"/>
                <w:bCs w:val="1"/>
                <w:color w:val="3B6FA0"/>
              </w:rPr>
              <w:t>SOLUTIONS:</w:t>
            </w:r>
          </w:p>
        </w:tc>
        <w:tc>
          <w:tcPr>
            <w:tcW w:w="1620" w:type="dxa"/>
            <w:vAlign w:val="bottom"/>
          </w:tcPr>
          <w:p>
            <w:pPr>
              <w:ind w:left="100"/>
              <w:spacing w:after="0"/>
              <w:rPr>
                <w:sz w:val="20"/>
                <w:szCs w:val="20"/>
                <w:color w:val="auto"/>
              </w:rPr>
            </w:pPr>
            <w:r>
              <w:rPr>
                <w:rFonts w:ascii="Arial" w:cs="Arial" w:eastAsia="Arial" w:hAnsi="Arial"/>
                <w:sz w:val="20"/>
                <w:szCs w:val="20"/>
                <w:b w:val="1"/>
                <w:bCs w:val="1"/>
                <w:color w:val="3B6FA0"/>
              </w:rPr>
              <w:t>KEY BRANDS:</w:t>
            </w:r>
          </w:p>
        </w:tc>
        <w:tc>
          <w:tcPr>
            <w:tcW w:w="1780" w:type="dxa"/>
            <w:vAlign w:val="bottom"/>
          </w:tcPr>
          <w:p>
            <w:pPr>
              <w:ind w:left="160"/>
              <w:spacing w:after="0"/>
              <w:rPr>
                <w:sz w:val="20"/>
                <w:szCs w:val="20"/>
                <w:color w:val="auto"/>
              </w:rPr>
            </w:pPr>
            <w:r>
              <w:rPr>
                <w:rFonts w:ascii="Arial" w:cs="Arial" w:eastAsia="Arial" w:hAnsi="Arial"/>
                <w:sz w:val="20"/>
                <w:szCs w:val="20"/>
                <w:b w:val="1"/>
                <w:bCs w:val="1"/>
                <w:color w:val="14256B"/>
              </w:rPr>
              <w:t>SOLUTIONS:</w:t>
            </w:r>
          </w:p>
        </w:tc>
        <w:tc>
          <w:tcPr>
            <w:tcW w:w="1420" w:type="dxa"/>
            <w:vAlign w:val="bottom"/>
          </w:tcPr>
          <w:p>
            <w:pPr>
              <w:ind w:left="80"/>
              <w:spacing w:after="0"/>
              <w:rPr>
                <w:sz w:val="20"/>
                <w:szCs w:val="20"/>
                <w:color w:val="auto"/>
              </w:rPr>
            </w:pPr>
            <w:r>
              <w:rPr>
                <w:rFonts w:ascii="Arial" w:cs="Arial" w:eastAsia="Arial" w:hAnsi="Arial"/>
                <w:sz w:val="20"/>
                <w:szCs w:val="20"/>
                <w:b w:val="1"/>
                <w:bCs w:val="1"/>
                <w:color w:val="14256B"/>
                <w:w w:val="95"/>
              </w:rPr>
              <w:t>KEY BRANDS:</w:t>
            </w:r>
          </w:p>
        </w:tc>
        <w:tc>
          <w:tcPr>
            <w:tcW w:w="0" w:type="dxa"/>
            <w:vAlign w:val="bottom"/>
          </w:tcPr>
          <w:p>
            <w:pPr>
              <w:spacing w:after="0"/>
              <w:rPr>
                <w:sz w:val="1"/>
                <w:szCs w:val="1"/>
                <w:color w:val="auto"/>
              </w:rPr>
            </w:pPr>
          </w:p>
        </w:tc>
      </w:tr>
      <w:tr>
        <w:trPr>
          <w:trHeight w:val="201"/>
        </w:trPr>
        <w:tc>
          <w:tcPr>
            <w:tcW w:w="1640" w:type="dxa"/>
            <w:vAlign w:val="bottom"/>
          </w:tcPr>
          <w:p>
            <w:pPr>
              <w:spacing w:after="0"/>
              <w:rPr>
                <w:sz w:val="20"/>
                <w:szCs w:val="20"/>
                <w:color w:val="auto"/>
              </w:rPr>
            </w:pPr>
            <w:r>
              <w:rPr>
                <w:rFonts w:ascii="Arial" w:cs="Arial" w:eastAsia="Arial" w:hAnsi="Arial"/>
                <w:sz w:val="15"/>
                <w:szCs w:val="15"/>
                <w:color w:val="auto"/>
              </w:rPr>
              <w:t>• Thermal Abatement</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14256B"/>
              </w:rPr>
              <w:t>Peerless</w:t>
            </w:r>
          </w:p>
        </w:tc>
        <w:tc>
          <w:tcPr>
            <w:tcW w:w="1780" w:type="dxa"/>
            <w:vAlign w:val="bottom"/>
          </w:tcPr>
          <w:p>
            <w:pPr>
              <w:ind w:left="180"/>
              <w:spacing w:after="0"/>
              <w:rPr>
                <w:sz w:val="20"/>
                <w:szCs w:val="20"/>
                <w:color w:val="auto"/>
              </w:rPr>
            </w:pPr>
            <w:r>
              <w:rPr>
                <w:rFonts w:ascii="Arial" w:cs="Arial" w:eastAsia="Arial" w:hAnsi="Arial"/>
                <w:sz w:val="15"/>
                <w:szCs w:val="15"/>
                <w:color w:val="auto"/>
              </w:rPr>
              <w:t>• Produced Water</w:t>
            </w:r>
          </w:p>
        </w:tc>
        <w:tc>
          <w:tcPr>
            <w:tcW w:w="1620" w:type="dxa"/>
            <w:vAlign w:val="bottom"/>
          </w:tcPr>
          <w:p>
            <w:pPr>
              <w:ind w:left="80"/>
              <w:spacing w:after="0"/>
              <w:rPr>
                <w:sz w:val="20"/>
                <w:szCs w:val="20"/>
                <w:color w:val="auto"/>
              </w:rPr>
            </w:pPr>
            <w:r>
              <w:rPr>
                <w:rFonts w:ascii="Arial" w:cs="Arial" w:eastAsia="Arial" w:hAnsi="Arial"/>
                <w:sz w:val="15"/>
                <w:szCs w:val="15"/>
                <w:b w:val="1"/>
                <w:bCs w:val="1"/>
                <w:color w:val="14256B"/>
              </w:rPr>
              <w:t>Peerless</w:t>
            </w:r>
          </w:p>
        </w:tc>
        <w:tc>
          <w:tcPr>
            <w:tcW w:w="1780" w:type="dxa"/>
            <w:vAlign w:val="bottom"/>
          </w:tcPr>
          <w:p>
            <w:pPr>
              <w:ind w:left="160"/>
              <w:spacing w:after="0"/>
              <w:rPr>
                <w:sz w:val="20"/>
                <w:szCs w:val="20"/>
                <w:color w:val="auto"/>
              </w:rPr>
            </w:pPr>
            <w:r>
              <w:rPr>
                <w:rFonts w:ascii="Arial" w:cs="Arial" w:eastAsia="Arial" w:hAnsi="Arial"/>
                <w:sz w:val="13"/>
                <w:szCs w:val="13"/>
                <w:color w:val="auto"/>
              </w:rPr>
              <w:t>• Solid-Gas/Solid-Liquid</w:t>
            </w:r>
          </w:p>
        </w:tc>
        <w:tc>
          <w:tcPr>
            <w:tcW w:w="1420" w:type="dxa"/>
            <w:vAlign w:val="bottom"/>
          </w:tcPr>
          <w:p>
            <w:pPr>
              <w:ind w:left="40"/>
              <w:spacing w:after="0"/>
              <w:rPr>
                <w:sz w:val="20"/>
                <w:szCs w:val="20"/>
                <w:color w:val="auto"/>
              </w:rPr>
            </w:pPr>
            <w:r>
              <w:rPr>
                <w:rFonts w:ascii="Arial" w:cs="Arial" w:eastAsia="Arial" w:hAnsi="Arial"/>
                <w:sz w:val="15"/>
                <w:szCs w:val="15"/>
                <w:b w:val="1"/>
                <w:bCs w:val="1"/>
                <w:color w:val="14256B"/>
              </w:rPr>
              <w:t>Peerless</w:t>
            </w: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Arial" w:cs="Arial" w:eastAsia="Arial" w:hAnsi="Arial"/>
                <w:sz w:val="15"/>
                <w:szCs w:val="15"/>
                <w:color w:val="auto"/>
              </w:rPr>
              <w:t>• Centrifugal/Cyclonic</w:t>
            </w:r>
          </w:p>
        </w:tc>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Flex-Kleen</w:t>
            </w:r>
          </w:p>
        </w:tc>
        <w:tc>
          <w:tcPr>
            <w:tcW w:w="1780" w:type="dxa"/>
            <w:vAlign w:val="bottom"/>
            <w:vMerge w:val="restart"/>
          </w:tcPr>
          <w:p>
            <w:pPr>
              <w:ind w:left="260"/>
              <w:spacing w:after="0"/>
              <w:rPr>
                <w:sz w:val="20"/>
                <w:szCs w:val="20"/>
                <w:color w:val="auto"/>
              </w:rPr>
            </w:pPr>
            <w:r>
              <w:rPr>
                <w:rFonts w:ascii="Arial" w:cs="Arial" w:eastAsia="Arial" w:hAnsi="Arial"/>
                <w:sz w:val="15"/>
                <w:szCs w:val="15"/>
                <w:color w:val="auto"/>
              </w:rPr>
              <w:t>Treatment</w:t>
            </w:r>
          </w:p>
        </w:tc>
        <w:tc>
          <w:tcPr>
            <w:tcW w:w="162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Compass Water</w:t>
            </w:r>
          </w:p>
        </w:tc>
        <w:tc>
          <w:tcPr>
            <w:tcW w:w="1780" w:type="dxa"/>
            <w:vAlign w:val="bottom"/>
          </w:tcPr>
          <w:p>
            <w:pPr>
              <w:ind w:left="240"/>
              <w:spacing w:after="0"/>
              <w:rPr>
                <w:sz w:val="20"/>
                <w:szCs w:val="20"/>
                <w:color w:val="auto"/>
              </w:rPr>
            </w:pPr>
            <w:r>
              <w:rPr>
                <w:rFonts w:ascii="Arial" w:cs="Arial" w:eastAsia="Arial" w:hAnsi="Arial"/>
                <w:sz w:val="13"/>
                <w:szCs w:val="13"/>
                <w:color w:val="auto"/>
              </w:rPr>
              <w:t>Separation</w:t>
            </w:r>
          </w:p>
        </w:tc>
        <w:tc>
          <w:tcPr>
            <w:tcW w:w="1420" w:type="dxa"/>
            <w:vAlign w:val="bottom"/>
            <w:vMerge w:val="restart"/>
          </w:tcPr>
          <w:p>
            <w:pPr>
              <w:ind w:left="40"/>
              <w:spacing w:after="0"/>
              <w:rPr>
                <w:sz w:val="20"/>
                <w:szCs w:val="20"/>
                <w:color w:val="auto"/>
              </w:rPr>
            </w:pPr>
            <w:r>
              <w:rPr>
                <w:rFonts w:ascii="Arial" w:cs="Arial" w:eastAsia="Arial" w:hAnsi="Arial"/>
                <w:sz w:val="15"/>
                <w:szCs w:val="15"/>
                <w:b w:val="1"/>
                <w:bCs w:val="1"/>
                <w:color w:val="14256B"/>
              </w:rPr>
              <w:t>Transcend</w:t>
            </w:r>
          </w:p>
        </w:tc>
        <w:tc>
          <w:tcPr>
            <w:tcW w:w="0" w:type="dxa"/>
            <w:vAlign w:val="bottom"/>
          </w:tcPr>
          <w:p>
            <w:pPr>
              <w:spacing w:after="0"/>
              <w:rPr>
                <w:sz w:val="1"/>
                <w:szCs w:val="1"/>
                <w:color w:val="auto"/>
              </w:rPr>
            </w:pPr>
          </w:p>
        </w:tc>
      </w:tr>
      <w:tr>
        <w:trPr>
          <w:trHeight w:val="98"/>
        </w:trPr>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780" w:type="dxa"/>
            <w:vAlign w:val="bottom"/>
            <w:vMerge w:val="restart"/>
          </w:tcPr>
          <w:p>
            <w:pPr>
              <w:ind w:left="160"/>
              <w:spacing w:after="0"/>
              <w:rPr>
                <w:sz w:val="20"/>
                <w:szCs w:val="20"/>
                <w:color w:val="auto"/>
              </w:rPr>
            </w:pPr>
            <w:r>
              <w:rPr>
                <w:rFonts w:ascii="Arial" w:cs="Arial" w:eastAsia="Arial" w:hAnsi="Arial"/>
                <w:sz w:val="13"/>
                <w:szCs w:val="13"/>
                <w:color w:val="auto"/>
              </w:rPr>
              <w:t>• Gas-Liquid/Liquid-</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40" w:type="dxa"/>
            <w:vAlign w:val="bottom"/>
            <w:vMerge w:val="restart"/>
          </w:tcPr>
          <w:p>
            <w:pPr>
              <w:ind w:left="100"/>
              <w:spacing w:after="0"/>
              <w:rPr>
                <w:sz w:val="20"/>
                <w:szCs w:val="20"/>
                <w:color w:val="auto"/>
              </w:rPr>
            </w:pPr>
            <w:r>
              <w:rPr>
                <w:rFonts w:ascii="Arial" w:cs="Arial" w:eastAsia="Arial" w:hAnsi="Arial"/>
                <w:sz w:val="15"/>
                <w:szCs w:val="15"/>
                <w:color w:val="auto"/>
              </w:rPr>
              <w:t>Separation</w:t>
            </w:r>
          </w:p>
        </w:tc>
        <w:tc>
          <w:tcPr>
            <w:tcW w:w="1620" w:type="dxa"/>
            <w:vAlign w:val="bottom"/>
            <w:vMerge w:val="restart"/>
          </w:tcPr>
          <w:p>
            <w:pPr>
              <w:ind w:left="40"/>
              <w:spacing w:after="0" w:line="160" w:lineRule="exact"/>
              <w:rPr>
                <w:sz w:val="20"/>
                <w:szCs w:val="20"/>
                <w:color w:val="auto"/>
              </w:rPr>
            </w:pPr>
            <w:r>
              <w:rPr>
                <w:rFonts w:ascii="Arial" w:cs="Arial" w:eastAsia="Arial" w:hAnsi="Arial"/>
                <w:sz w:val="14"/>
                <w:szCs w:val="14"/>
                <w:b w:val="1"/>
                <w:bCs w:val="1"/>
                <w:color w:val="14256B"/>
              </w:rPr>
              <w:t>Fisher-Klosterman</w:t>
            </w:r>
          </w:p>
        </w:tc>
        <w:tc>
          <w:tcPr>
            <w:tcW w:w="1780" w:type="dxa"/>
            <w:vAlign w:val="bottom"/>
            <w:vMerge w:val="restart"/>
          </w:tcPr>
          <w:p>
            <w:pPr>
              <w:ind w:left="180"/>
              <w:spacing w:after="0"/>
              <w:rPr>
                <w:sz w:val="20"/>
                <w:szCs w:val="20"/>
                <w:color w:val="auto"/>
              </w:rPr>
            </w:pPr>
            <w:r>
              <w:rPr>
                <w:rFonts w:ascii="Arial" w:cs="Arial" w:eastAsia="Arial" w:hAnsi="Arial"/>
                <w:sz w:val="15"/>
                <w:szCs w:val="15"/>
                <w:color w:val="auto"/>
              </w:rPr>
              <w:t>• Oil-Water Separation</w:t>
            </w:r>
          </w:p>
        </w:tc>
        <w:tc>
          <w:tcPr>
            <w:tcW w:w="162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Solutions</w:t>
            </w:r>
          </w:p>
        </w:tc>
        <w:tc>
          <w:tcPr>
            <w:tcW w:w="1780" w:type="dxa"/>
            <w:vAlign w:val="bottom"/>
            <w:vMerge w:val="continue"/>
          </w:tcPr>
          <w:p>
            <w:pPr>
              <w:spacing w:after="0"/>
              <w:rPr>
                <w:sz w:val="10"/>
                <w:szCs w:val="10"/>
                <w:color w:val="auto"/>
              </w:rPr>
            </w:pPr>
          </w:p>
        </w:tc>
        <w:tc>
          <w:tcPr>
            <w:tcW w:w="1420" w:type="dxa"/>
            <w:vAlign w:val="bottom"/>
            <w:vMerge w:val="restart"/>
          </w:tcPr>
          <w:p>
            <w:pPr>
              <w:ind w:left="40"/>
              <w:spacing w:after="0"/>
              <w:rPr>
                <w:sz w:val="20"/>
                <w:szCs w:val="20"/>
                <w:color w:val="auto"/>
              </w:rPr>
            </w:pPr>
            <w:r>
              <w:rPr>
                <w:rFonts w:ascii="Arial" w:cs="Arial" w:eastAsia="Arial" w:hAnsi="Arial"/>
                <w:sz w:val="15"/>
                <w:szCs w:val="15"/>
                <w:b w:val="1"/>
                <w:bCs w:val="1"/>
                <w:color w:val="14256B"/>
              </w:rPr>
              <w:t>Emtrol-Buell</w:t>
            </w: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780" w:type="dxa"/>
            <w:vAlign w:val="bottom"/>
            <w:vMerge w:val="restart"/>
          </w:tcPr>
          <w:p>
            <w:pPr>
              <w:ind w:left="240"/>
              <w:spacing w:after="0" w:line="138" w:lineRule="exact"/>
              <w:rPr>
                <w:sz w:val="20"/>
                <w:szCs w:val="20"/>
                <w:color w:val="auto"/>
              </w:rPr>
            </w:pPr>
            <w:r>
              <w:rPr>
                <w:rFonts w:ascii="Arial" w:cs="Arial" w:eastAsia="Arial" w:hAnsi="Arial"/>
                <w:sz w:val="13"/>
                <w:szCs w:val="13"/>
                <w:color w:val="auto"/>
              </w:rPr>
              <w:t>Liquid Separation</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640" w:type="dxa"/>
            <w:vAlign w:val="bottom"/>
          </w:tcPr>
          <w:p>
            <w:pPr>
              <w:spacing w:after="0"/>
              <w:rPr>
                <w:sz w:val="4"/>
                <w:szCs w:val="4"/>
                <w:color w:val="auto"/>
              </w:rPr>
            </w:pPr>
          </w:p>
        </w:tc>
        <w:tc>
          <w:tcPr>
            <w:tcW w:w="1620" w:type="dxa"/>
            <w:vAlign w:val="bottom"/>
            <w:vMerge w:val="restart"/>
          </w:tcPr>
          <w:p>
            <w:pPr>
              <w:ind w:left="40"/>
              <w:spacing w:after="0" w:line="140" w:lineRule="exact"/>
              <w:rPr>
                <w:sz w:val="20"/>
                <w:szCs w:val="20"/>
                <w:color w:val="auto"/>
              </w:rPr>
            </w:pPr>
            <w:r>
              <w:rPr>
                <w:rFonts w:ascii="Arial" w:cs="Arial" w:eastAsia="Arial" w:hAnsi="Arial"/>
                <w:sz w:val="14"/>
                <w:szCs w:val="14"/>
                <w:b w:val="1"/>
                <w:bCs w:val="1"/>
                <w:color w:val="14256B"/>
              </w:rPr>
              <w:t>Environmental</w:t>
            </w:r>
          </w:p>
        </w:tc>
        <w:tc>
          <w:tcPr>
            <w:tcW w:w="17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640" w:type="dxa"/>
            <w:vAlign w:val="bottom"/>
            <w:vMerge w:val="restart"/>
          </w:tcPr>
          <w:p>
            <w:pPr>
              <w:spacing w:after="0"/>
              <w:rPr>
                <w:sz w:val="20"/>
                <w:szCs w:val="20"/>
                <w:color w:val="auto"/>
              </w:rPr>
            </w:pPr>
            <w:r>
              <w:rPr>
                <w:rFonts w:ascii="Arial" w:cs="Arial" w:eastAsia="Arial" w:hAnsi="Arial"/>
                <w:sz w:val="15"/>
                <w:szCs w:val="15"/>
                <w:color w:val="auto"/>
              </w:rPr>
              <w:t>• Fume/Dust/Smoke &amp;</w:t>
            </w:r>
          </w:p>
        </w:tc>
        <w:tc>
          <w:tcPr>
            <w:tcW w:w="1620" w:type="dxa"/>
            <w:vAlign w:val="bottom"/>
            <w:vMerge w:val="continue"/>
          </w:tcPr>
          <w:p>
            <w:pPr>
              <w:spacing w:after="0"/>
              <w:rPr>
                <w:sz w:val="7"/>
                <w:szCs w:val="7"/>
                <w:color w:val="auto"/>
              </w:rPr>
            </w:pPr>
          </w:p>
        </w:tc>
        <w:tc>
          <w:tcPr>
            <w:tcW w:w="1780" w:type="dxa"/>
            <w:vAlign w:val="bottom"/>
            <w:vMerge w:val="restart"/>
          </w:tcPr>
          <w:p>
            <w:pPr>
              <w:ind w:left="180"/>
              <w:spacing w:after="0"/>
              <w:rPr>
                <w:sz w:val="20"/>
                <w:szCs w:val="20"/>
                <w:color w:val="auto"/>
              </w:rPr>
            </w:pPr>
            <w:r>
              <w:rPr>
                <w:rFonts w:ascii="Arial" w:cs="Arial" w:eastAsia="Arial" w:hAnsi="Arial"/>
                <w:sz w:val="15"/>
                <w:szCs w:val="15"/>
                <w:color w:val="auto"/>
              </w:rPr>
              <w:t>• RO Membrane</w:t>
            </w:r>
          </w:p>
        </w:tc>
        <w:tc>
          <w:tcPr>
            <w:tcW w:w="162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DS21</w:t>
            </w:r>
          </w:p>
        </w:tc>
        <w:tc>
          <w:tcPr>
            <w:tcW w:w="1780" w:type="dxa"/>
            <w:vAlign w:val="bottom"/>
            <w:vMerge w:val="restart"/>
          </w:tcPr>
          <w:p>
            <w:pPr>
              <w:ind w:left="160"/>
              <w:spacing w:after="0"/>
              <w:rPr>
                <w:sz w:val="20"/>
                <w:szCs w:val="20"/>
                <w:color w:val="auto"/>
              </w:rPr>
            </w:pPr>
            <w:r>
              <w:rPr>
                <w:rFonts w:ascii="Arial" w:cs="Arial" w:eastAsia="Arial" w:hAnsi="Arial"/>
                <w:sz w:val="13"/>
                <w:szCs w:val="13"/>
                <w:color w:val="auto"/>
              </w:rPr>
              <w:t>• Natural Gas</w:t>
            </w:r>
          </w:p>
        </w:tc>
        <w:tc>
          <w:tcPr>
            <w:tcW w:w="1420" w:type="dxa"/>
            <w:vAlign w:val="bottom"/>
            <w:vMerge w:val="restart"/>
          </w:tcPr>
          <w:p>
            <w:pPr>
              <w:ind w:left="40"/>
              <w:spacing w:after="0"/>
              <w:rPr>
                <w:sz w:val="20"/>
                <w:szCs w:val="20"/>
                <w:color w:val="auto"/>
              </w:rPr>
            </w:pPr>
            <w:r>
              <w:rPr>
                <w:rFonts w:ascii="Arial" w:cs="Arial" w:eastAsia="Arial" w:hAnsi="Arial"/>
                <w:sz w:val="15"/>
                <w:szCs w:val="15"/>
                <w:b w:val="1"/>
                <w:bCs w:val="1"/>
                <w:color w:val="14256B"/>
              </w:rPr>
              <w:t>Technologies</w:t>
            </w:r>
          </w:p>
        </w:tc>
        <w:tc>
          <w:tcPr>
            <w:tcW w:w="0" w:type="dxa"/>
            <w:vAlign w:val="bottom"/>
          </w:tcPr>
          <w:p>
            <w:pPr>
              <w:spacing w:after="0"/>
              <w:rPr>
                <w:sz w:val="1"/>
                <w:szCs w:val="1"/>
                <w:color w:val="auto"/>
              </w:rPr>
            </w:pPr>
          </w:p>
        </w:tc>
      </w:tr>
      <w:tr>
        <w:trPr>
          <w:trHeight w:val="104"/>
        </w:trPr>
        <w:tc>
          <w:tcPr>
            <w:tcW w:w="1640" w:type="dxa"/>
            <w:vAlign w:val="bottom"/>
            <w:vMerge w:val="continue"/>
          </w:tcPr>
          <w:p>
            <w:pPr>
              <w:spacing w:after="0"/>
              <w:rPr>
                <w:sz w:val="9"/>
                <w:szCs w:val="9"/>
                <w:color w:val="auto"/>
              </w:rPr>
            </w:pPr>
          </w:p>
        </w:tc>
        <w:tc>
          <w:tcPr>
            <w:tcW w:w="1620" w:type="dxa"/>
            <w:vAlign w:val="bottom"/>
            <w:vMerge w:val="restart"/>
          </w:tcPr>
          <w:p>
            <w:pPr>
              <w:ind w:left="40"/>
              <w:spacing w:after="0" w:line="155" w:lineRule="exact"/>
              <w:rPr>
                <w:sz w:val="20"/>
                <w:szCs w:val="20"/>
                <w:color w:val="auto"/>
              </w:rPr>
            </w:pPr>
            <w:r>
              <w:rPr>
                <w:rFonts w:ascii="Arial" w:cs="Arial" w:eastAsia="Arial" w:hAnsi="Arial"/>
                <w:sz w:val="14"/>
                <w:szCs w:val="14"/>
                <w:b w:val="1"/>
                <w:bCs w:val="1"/>
                <w:color w:val="14256B"/>
              </w:rPr>
              <w:t>Integrated Solutions</w:t>
            </w:r>
          </w:p>
        </w:tc>
        <w:tc>
          <w:tcPr>
            <w:tcW w:w="17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640" w:type="dxa"/>
            <w:vAlign w:val="bottom"/>
            <w:vMerge w:val="restart"/>
          </w:tcPr>
          <w:p>
            <w:pPr>
              <w:ind w:left="100"/>
              <w:spacing w:after="0"/>
              <w:rPr>
                <w:sz w:val="20"/>
                <w:szCs w:val="20"/>
                <w:color w:val="auto"/>
              </w:rPr>
            </w:pPr>
            <w:r>
              <w:rPr>
                <w:rFonts w:ascii="Arial" w:cs="Arial" w:eastAsia="Arial" w:hAnsi="Arial"/>
                <w:sz w:val="15"/>
                <w:szCs w:val="15"/>
                <w:color w:val="auto"/>
              </w:rPr>
              <w:t>Aerosol Removal</w:t>
            </w:r>
          </w:p>
        </w:tc>
        <w:tc>
          <w:tcPr>
            <w:tcW w:w="1620" w:type="dxa"/>
            <w:vAlign w:val="bottom"/>
            <w:vMerge w:val="continue"/>
          </w:tcPr>
          <w:p>
            <w:pPr>
              <w:spacing w:after="0"/>
              <w:rPr>
                <w:sz w:val="4"/>
                <w:szCs w:val="4"/>
                <w:color w:val="auto"/>
              </w:rPr>
            </w:pPr>
          </w:p>
        </w:tc>
        <w:tc>
          <w:tcPr>
            <w:tcW w:w="1780" w:type="dxa"/>
            <w:vAlign w:val="bottom"/>
            <w:vMerge w:val="restart"/>
          </w:tcPr>
          <w:p>
            <w:pPr>
              <w:ind w:left="260"/>
              <w:spacing w:after="0" w:line="171" w:lineRule="exact"/>
              <w:rPr>
                <w:sz w:val="20"/>
                <w:szCs w:val="20"/>
                <w:color w:val="auto"/>
              </w:rPr>
            </w:pPr>
            <w:r>
              <w:rPr>
                <w:rFonts w:ascii="Arial" w:cs="Arial" w:eastAsia="Arial" w:hAnsi="Arial"/>
                <w:sz w:val="15"/>
                <w:szCs w:val="15"/>
                <w:color w:val="auto"/>
              </w:rPr>
              <w:t>Filtration</w:t>
            </w:r>
          </w:p>
        </w:tc>
        <w:tc>
          <w:tcPr>
            <w:tcW w:w="162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Kemco Systems</w:t>
            </w:r>
          </w:p>
        </w:tc>
        <w:tc>
          <w:tcPr>
            <w:tcW w:w="1780" w:type="dxa"/>
            <w:vAlign w:val="bottom"/>
            <w:vMerge w:val="continue"/>
          </w:tcPr>
          <w:p>
            <w:pPr>
              <w:spacing w:after="0"/>
              <w:rPr>
                <w:sz w:val="4"/>
                <w:szCs w:val="4"/>
                <w:color w:val="auto"/>
              </w:rPr>
            </w:pPr>
          </w:p>
        </w:tc>
        <w:tc>
          <w:tcPr>
            <w:tcW w:w="1420" w:type="dxa"/>
            <w:vAlign w:val="bottom"/>
            <w:vMerge w:val="restart"/>
          </w:tcPr>
          <w:p>
            <w:pPr>
              <w:ind w:left="40"/>
              <w:spacing w:after="0"/>
              <w:rPr>
                <w:sz w:val="20"/>
                <w:szCs w:val="20"/>
                <w:color w:val="auto"/>
              </w:rPr>
            </w:pPr>
            <w:r>
              <w:rPr>
                <w:rFonts w:ascii="Arial" w:cs="Arial" w:eastAsia="Arial" w:hAnsi="Arial"/>
                <w:sz w:val="15"/>
                <w:szCs w:val="15"/>
                <w:b w:val="1"/>
                <w:bCs w:val="1"/>
                <w:color w:val="14256B"/>
              </w:rPr>
              <w:t>Aarding Thermal</w:t>
            </w:r>
          </w:p>
        </w:tc>
        <w:tc>
          <w:tcPr>
            <w:tcW w:w="0" w:type="dxa"/>
            <w:vAlign w:val="bottom"/>
          </w:tcPr>
          <w:p>
            <w:pPr>
              <w:spacing w:after="0"/>
              <w:rPr>
                <w:sz w:val="1"/>
                <w:szCs w:val="1"/>
                <w:color w:val="auto"/>
              </w:rPr>
            </w:pPr>
          </w:p>
        </w:tc>
      </w:tr>
      <w:tr>
        <w:trPr>
          <w:trHeight w:val="173"/>
        </w:trPr>
        <w:tc>
          <w:tcPr>
            <w:tcW w:w="1640" w:type="dxa"/>
            <w:vAlign w:val="bottom"/>
            <w:vMerge w:val="continue"/>
          </w:tcPr>
          <w:p>
            <w:pPr>
              <w:spacing w:after="0"/>
              <w:rPr>
                <w:sz w:val="15"/>
                <w:szCs w:val="15"/>
                <w:color w:val="auto"/>
              </w:rPr>
            </w:pPr>
          </w:p>
        </w:tc>
        <w:tc>
          <w:tcPr>
            <w:tcW w:w="1620" w:type="dxa"/>
            <w:vAlign w:val="bottom"/>
          </w:tcPr>
          <w:p>
            <w:pPr>
              <w:ind w:left="40"/>
              <w:spacing w:after="0"/>
              <w:rPr>
                <w:sz w:val="20"/>
                <w:szCs w:val="20"/>
                <w:color w:val="auto"/>
              </w:rPr>
            </w:pPr>
            <w:r>
              <w:rPr>
                <w:rFonts w:ascii="Arial" w:cs="Arial" w:eastAsia="Arial" w:hAnsi="Arial"/>
                <w:sz w:val="14"/>
                <w:szCs w:val="14"/>
                <w:b w:val="1"/>
                <w:bCs w:val="1"/>
                <w:color w:val="14256B"/>
              </w:rPr>
              <w:t>Western Airducts</w:t>
            </w:r>
          </w:p>
        </w:tc>
        <w:tc>
          <w:tcPr>
            <w:tcW w:w="178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80" w:type="dxa"/>
            <w:vAlign w:val="bottom"/>
          </w:tcPr>
          <w:p>
            <w:pPr>
              <w:ind w:left="240"/>
              <w:spacing w:after="0"/>
              <w:rPr>
                <w:sz w:val="20"/>
                <w:szCs w:val="20"/>
                <w:color w:val="auto"/>
              </w:rPr>
            </w:pPr>
            <w:r>
              <w:rPr>
                <w:rFonts w:ascii="Arial" w:cs="Arial" w:eastAsia="Arial" w:hAnsi="Arial"/>
                <w:sz w:val="13"/>
                <w:szCs w:val="13"/>
                <w:color w:val="auto"/>
              </w:rPr>
              <w:t>Conditioning &amp;</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Arial" w:cs="Arial" w:eastAsia="Arial" w:hAnsi="Arial"/>
                <w:sz w:val="15"/>
                <w:szCs w:val="15"/>
                <w:color w:val="auto"/>
              </w:rPr>
              <w:t>• Oil Mist Elimination</w:t>
            </w:r>
          </w:p>
        </w:tc>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Aarding Thermal</w:t>
            </w:r>
          </w:p>
        </w:tc>
        <w:tc>
          <w:tcPr>
            <w:tcW w:w="1780" w:type="dxa"/>
            <w:vAlign w:val="bottom"/>
            <w:vMerge w:val="restart"/>
          </w:tcPr>
          <w:p>
            <w:pPr>
              <w:ind w:left="180"/>
              <w:spacing w:after="0"/>
              <w:rPr>
                <w:sz w:val="20"/>
                <w:szCs w:val="20"/>
                <w:color w:val="auto"/>
              </w:rPr>
            </w:pPr>
            <w:r>
              <w:rPr>
                <w:rFonts w:ascii="Arial" w:cs="Arial" w:eastAsia="Arial" w:hAnsi="Arial"/>
                <w:sz w:val="15"/>
                <w:szCs w:val="15"/>
                <w:color w:val="auto"/>
              </w:rPr>
              <w:t>• Ultra-high Purity</w:t>
            </w:r>
          </w:p>
        </w:tc>
        <w:tc>
          <w:tcPr>
            <w:tcW w:w="162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General Rubber</w:t>
            </w:r>
          </w:p>
        </w:tc>
        <w:tc>
          <w:tcPr>
            <w:tcW w:w="1780" w:type="dxa"/>
            <w:vAlign w:val="bottom"/>
          </w:tcPr>
          <w:p>
            <w:pPr>
              <w:ind w:left="240"/>
              <w:spacing w:after="0"/>
              <w:rPr>
                <w:sz w:val="20"/>
                <w:szCs w:val="20"/>
                <w:color w:val="auto"/>
              </w:rPr>
            </w:pPr>
            <w:r>
              <w:rPr>
                <w:rFonts w:ascii="Arial" w:cs="Arial" w:eastAsia="Arial" w:hAnsi="Arial"/>
                <w:sz w:val="13"/>
                <w:szCs w:val="13"/>
                <w:color w:val="auto"/>
              </w:rPr>
              <w:t>Upgrading</w:t>
            </w:r>
          </w:p>
        </w:tc>
        <w:tc>
          <w:tcPr>
            <w:tcW w:w="1420" w:type="dxa"/>
            <w:vAlign w:val="bottom"/>
            <w:vMerge w:val="restart"/>
          </w:tcPr>
          <w:p>
            <w:pPr>
              <w:ind w:left="40"/>
              <w:spacing w:after="0"/>
              <w:rPr>
                <w:sz w:val="20"/>
                <w:szCs w:val="20"/>
                <w:color w:val="auto"/>
              </w:rPr>
            </w:pPr>
            <w:r>
              <w:rPr>
                <w:rFonts w:ascii="Arial" w:cs="Arial" w:eastAsia="Arial" w:hAnsi="Arial"/>
                <w:sz w:val="15"/>
                <w:szCs w:val="15"/>
                <w:b w:val="1"/>
                <w:bCs w:val="1"/>
                <w:color w:val="14256B"/>
              </w:rPr>
              <w:t>Acoustics</w:t>
            </w:r>
          </w:p>
        </w:tc>
        <w:tc>
          <w:tcPr>
            <w:tcW w:w="0" w:type="dxa"/>
            <w:vAlign w:val="bottom"/>
          </w:tcPr>
          <w:p>
            <w:pPr>
              <w:spacing w:after="0"/>
              <w:rPr>
                <w:sz w:val="1"/>
                <w:szCs w:val="1"/>
                <w:color w:val="auto"/>
              </w:rPr>
            </w:pPr>
          </w:p>
        </w:tc>
      </w:tr>
      <w:tr>
        <w:trPr>
          <w:trHeight w:val="58"/>
        </w:trPr>
        <w:tc>
          <w:tcPr>
            <w:tcW w:w="1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640" w:type="dxa"/>
            <w:vAlign w:val="bottom"/>
            <w:vMerge w:val="restart"/>
          </w:tcPr>
          <w:p>
            <w:pPr>
              <w:spacing w:after="0"/>
              <w:rPr>
                <w:sz w:val="20"/>
                <w:szCs w:val="20"/>
                <w:color w:val="auto"/>
              </w:rPr>
            </w:pPr>
            <w:r>
              <w:rPr>
                <w:rFonts w:ascii="Arial" w:cs="Arial" w:eastAsia="Arial" w:hAnsi="Arial"/>
                <w:sz w:val="15"/>
                <w:szCs w:val="15"/>
                <w:color w:val="auto"/>
              </w:rPr>
              <w:t>• Wet/Dry Scrubbers</w:t>
            </w:r>
          </w:p>
        </w:tc>
        <w:tc>
          <w:tcPr>
            <w:tcW w:w="1620" w:type="dxa"/>
            <w:vAlign w:val="bottom"/>
          </w:tcPr>
          <w:p>
            <w:pPr>
              <w:ind w:left="40"/>
              <w:spacing w:after="0" w:line="145" w:lineRule="exact"/>
              <w:rPr>
                <w:sz w:val="20"/>
                <w:szCs w:val="20"/>
                <w:color w:val="auto"/>
              </w:rPr>
            </w:pPr>
            <w:r>
              <w:rPr>
                <w:rFonts w:ascii="Arial" w:cs="Arial" w:eastAsia="Arial" w:hAnsi="Arial"/>
                <w:sz w:val="14"/>
                <w:szCs w:val="14"/>
                <w:b w:val="1"/>
                <w:bCs w:val="1"/>
                <w:color w:val="14256B"/>
              </w:rPr>
              <w:t>Acoustics</w:t>
            </w:r>
          </w:p>
        </w:tc>
        <w:tc>
          <w:tcPr>
            <w:tcW w:w="1780" w:type="dxa"/>
            <w:vAlign w:val="bottom"/>
          </w:tcPr>
          <w:p>
            <w:pPr>
              <w:ind w:left="260"/>
              <w:spacing w:after="0" w:line="146" w:lineRule="exact"/>
              <w:rPr>
                <w:sz w:val="20"/>
                <w:szCs w:val="20"/>
                <w:color w:val="auto"/>
              </w:rPr>
            </w:pPr>
            <w:r>
              <w:rPr>
                <w:rFonts w:ascii="Arial" w:cs="Arial" w:eastAsia="Arial" w:hAnsi="Arial"/>
                <w:sz w:val="15"/>
                <w:szCs w:val="15"/>
                <w:color w:val="auto"/>
              </w:rPr>
              <w:t>Water Supply</w:t>
            </w:r>
          </w:p>
        </w:tc>
        <w:tc>
          <w:tcPr>
            <w:tcW w:w="162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Fybroc</w:t>
            </w:r>
          </w:p>
        </w:tc>
        <w:tc>
          <w:tcPr>
            <w:tcW w:w="1780" w:type="dxa"/>
            <w:vAlign w:val="bottom"/>
          </w:tcPr>
          <w:p>
            <w:pPr>
              <w:ind w:left="160"/>
              <w:spacing w:after="0" w:line="146" w:lineRule="exact"/>
              <w:rPr>
                <w:sz w:val="20"/>
                <w:szCs w:val="20"/>
                <w:color w:val="auto"/>
              </w:rPr>
            </w:pPr>
            <w:r>
              <w:rPr>
                <w:rFonts w:ascii="Arial" w:cs="Arial" w:eastAsia="Arial" w:hAnsi="Arial"/>
                <w:sz w:val="13"/>
                <w:szCs w:val="13"/>
                <w:color w:val="auto"/>
              </w:rPr>
              <w:t>• Biogas &amp; CO2</w:t>
            </w:r>
          </w:p>
        </w:tc>
        <w:tc>
          <w:tcPr>
            <w:tcW w:w="1420" w:type="dxa"/>
            <w:vAlign w:val="bottom"/>
            <w:vMerge w:val="restart"/>
          </w:tcPr>
          <w:p>
            <w:pPr>
              <w:ind w:left="40"/>
              <w:spacing w:after="0"/>
              <w:rPr>
                <w:sz w:val="20"/>
                <w:szCs w:val="20"/>
                <w:color w:val="auto"/>
              </w:rPr>
            </w:pPr>
            <w:r>
              <w:rPr>
                <w:rFonts w:ascii="Arial" w:cs="Arial" w:eastAsia="Arial" w:hAnsi="Arial"/>
                <w:sz w:val="15"/>
                <w:szCs w:val="15"/>
                <w:b w:val="1"/>
                <w:bCs w:val="1"/>
                <w:color w:val="14256B"/>
              </w:rPr>
              <w:t>CCA Combustion</w:t>
            </w:r>
          </w:p>
        </w:tc>
        <w:tc>
          <w:tcPr>
            <w:tcW w:w="0" w:type="dxa"/>
            <w:vAlign w:val="bottom"/>
          </w:tcPr>
          <w:p>
            <w:pPr>
              <w:spacing w:after="0"/>
              <w:rPr>
                <w:sz w:val="1"/>
                <w:szCs w:val="1"/>
                <w:color w:val="auto"/>
              </w:rPr>
            </w:pPr>
          </w:p>
        </w:tc>
      </w:tr>
      <w:tr>
        <w:trPr>
          <w:trHeight w:val="69"/>
        </w:trPr>
        <w:tc>
          <w:tcPr>
            <w:tcW w:w="1640" w:type="dxa"/>
            <w:vAlign w:val="bottom"/>
            <w:vMerge w:val="continue"/>
          </w:tcPr>
          <w:p>
            <w:pPr>
              <w:spacing w:after="0"/>
              <w:rPr>
                <w:sz w:val="5"/>
                <w:szCs w:val="5"/>
                <w:color w:val="auto"/>
              </w:rPr>
            </w:pPr>
          </w:p>
        </w:tc>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HEE Environmental</w:t>
            </w:r>
          </w:p>
        </w:tc>
        <w:tc>
          <w:tcPr>
            <w:tcW w:w="17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780" w:type="dxa"/>
            <w:vAlign w:val="bottom"/>
            <w:vMerge w:val="restart"/>
          </w:tcPr>
          <w:p>
            <w:pPr>
              <w:ind w:left="240"/>
              <w:spacing w:after="0"/>
              <w:rPr>
                <w:sz w:val="20"/>
                <w:szCs w:val="20"/>
                <w:color w:val="auto"/>
              </w:rPr>
            </w:pPr>
            <w:r>
              <w:rPr>
                <w:rFonts w:ascii="Arial" w:cs="Arial" w:eastAsia="Arial" w:hAnsi="Arial"/>
                <w:sz w:val="13"/>
                <w:szCs w:val="13"/>
                <w:color w:val="auto"/>
              </w:rPr>
              <w:t>Separation and</w:t>
            </w: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780" w:type="dxa"/>
            <w:vAlign w:val="bottom"/>
            <w:vMerge w:val="restart"/>
          </w:tcPr>
          <w:p>
            <w:pPr>
              <w:ind w:left="180"/>
              <w:spacing w:after="0" w:line="146" w:lineRule="exact"/>
              <w:rPr>
                <w:sz w:val="20"/>
                <w:szCs w:val="20"/>
                <w:color w:val="auto"/>
              </w:rPr>
            </w:pPr>
            <w:r>
              <w:rPr>
                <w:rFonts w:ascii="Arial" w:cs="Arial" w:eastAsia="Arial" w:hAnsi="Arial"/>
                <w:sz w:val="15"/>
                <w:szCs w:val="15"/>
                <w:color w:val="auto"/>
              </w:rPr>
              <w:t>• Water Recycling &amp;</w:t>
            </w:r>
          </w:p>
        </w:tc>
        <w:tc>
          <w:tcPr>
            <w:tcW w:w="162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420" w:type="dxa"/>
            <w:vAlign w:val="bottom"/>
            <w:vMerge w:val="restart"/>
          </w:tcPr>
          <w:p>
            <w:pPr>
              <w:ind w:left="40"/>
              <w:spacing w:after="0" w:line="146" w:lineRule="exact"/>
              <w:rPr>
                <w:sz w:val="20"/>
                <w:szCs w:val="20"/>
                <w:color w:val="auto"/>
              </w:rPr>
            </w:pPr>
            <w:r>
              <w:rPr>
                <w:rFonts w:ascii="Arial" w:cs="Arial" w:eastAsia="Arial" w:hAnsi="Arial"/>
                <w:sz w:val="15"/>
                <w:szCs w:val="15"/>
                <w:b w:val="1"/>
                <w:bCs w:val="1"/>
                <w:color w:val="14256B"/>
              </w:rPr>
              <w:t>Systems</w:t>
            </w:r>
          </w:p>
        </w:tc>
        <w:tc>
          <w:tcPr>
            <w:tcW w:w="0" w:type="dxa"/>
            <w:vAlign w:val="bottom"/>
          </w:tcPr>
          <w:p>
            <w:pPr>
              <w:spacing w:after="0"/>
              <w:rPr>
                <w:sz w:val="1"/>
                <w:szCs w:val="1"/>
                <w:color w:val="auto"/>
              </w:rPr>
            </w:pPr>
          </w:p>
        </w:tc>
      </w:tr>
      <w:tr>
        <w:trPr>
          <w:trHeight w:val="66"/>
        </w:trPr>
        <w:tc>
          <w:tcPr>
            <w:tcW w:w="1640" w:type="dxa"/>
            <w:vAlign w:val="bottom"/>
            <w:vMerge w:val="restart"/>
          </w:tcPr>
          <w:p>
            <w:pPr>
              <w:spacing w:after="0"/>
              <w:rPr>
                <w:sz w:val="20"/>
                <w:szCs w:val="20"/>
                <w:color w:val="auto"/>
              </w:rPr>
            </w:pPr>
            <w:r>
              <w:rPr>
                <w:rFonts w:ascii="Arial" w:cs="Arial" w:eastAsia="Arial" w:hAnsi="Arial"/>
                <w:sz w:val="15"/>
                <w:szCs w:val="15"/>
                <w:color w:val="auto"/>
              </w:rPr>
              <w:t>• Acid Gas &amp; VOC</w:t>
            </w:r>
          </w:p>
        </w:tc>
        <w:tc>
          <w:tcPr>
            <w:tcW w:w="162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620" w:type="dxa"/>
            <w:vAlign w:val="bottom"/>
            <w:vMerge w:val="restart"/>
          </w:tcPr>
          <w:p>
            <w:pPr>
              <w:ind w:left="80"/>
              <w:spacing w:after="0"/>
              <w:rPr>
                <w:sz w:val="20"/>
                <w:szCs w:val="20"/>
                <w:color w:val="auto"/>
              </w:rPr>
            </w:pPr>
            <w:r>
              <w:rPr>
                <w:rFonts w:ascii="Arial" w:cs="Arial" w:eastAsia="Arial" w:hAnsi="Arial"/>
                <w:sz w:val="15"/>
                <w:szCs w:val="15"/>
                <w:b w:val="1"/>
                <w:bCs w:val="1"/>
                <w:color w:val="14256B"/>
              </w:rPr>
              <w:t>Dean Pump</w:t>
            </w:r>
          </w:p>
        </w:tc>
        <w:tc>
          <w:tcPr>
            <w:tcW w:w="1780" w:type="dxa"/>
            <w:vAlign w:val="bottom"/>
            <w:vMerge w:val="restart"/>
          </w:tcPr>
          <w:p>
            <w:pPr>
              <w:ind w:left="240"/>
              <w:spacing w:after="0"/>
              <w:rPr>
                <w:sz w:val="20"/>
                <w:szCs w:val="20"/>
                <w:color w:val="auto"/>
              </w:rPr>
            </w:pPr>
            <w:r>
              <w:rPr>
                <w:rFonts w:ascii="Arial" w:cs="Arial" w:eastAsia="Arial" w:hAnsi="Arial"/>
                <w:sz w:val="13"/>
                <w:szCs w:val="13"/>
                <w:color w:val="auto"/>
              </w:rPr>
              <w:t>Upgrading</w:t>
            </w: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40" w:type="dxa"/>
            <w:vAlign w:val="bottom"/>
            <w:vMerge w:val="continue"/>
          </w:tcPr>
          <w:p>
            <w:pPr>
              <w:spacing w:after="0"/>
              <w:rPr>
                <w:sz w:val="13"/>
                <w:szCs w:val="13"/>
                <w:color w:val="auto"/>
              </w:rPr>
            </w:pPr>
          </w:p>
        </w:tc>
        <w:tc>
          <w:tcPr>
            <w:tcW w:w="1620" w:type="dxa"/>
            <w:vAlign w:val="bottom"/>
          </w:tcPr>
          <w:p>
            <w:pPr>
              <w:ind w:left="40"/>
              <w:spacing w:after="0" w:line="155" w:lineRule="exact"/>
              <w:rPr>
                <w:sz w:val="20"/>
                <w:szCs w:val="20"/>
                <w:color w:val="auto"/>
              </w:rPr>
            </w:pPr>
            <w:r>
              <w:rPr>
                <w:rFonts w:ascii="Arial" w:cs="Arial" w:eastAsia="Arial" w:hAnsi="Arial"/>
                <w:sz w:val="14"/>
                <w:szCs w:val="14"/>
                <w:b w:val="1"/>
                <w:bCs w:val="1"/>
                <w:color w:val="14256B"/>
              </w:rPr>
              <w:t>Engineering</w:t>
            </w:r>
          </w:p>
        </w:tc>
        <w:tc>
          <w:tcPr>
            <w:tcW w:w="1780" w:type="dxa"/>
            <w:vAlign w:val="bottom"/>
            <w:vMerge w:val="restart"/>
          </w:tcPr>
          <w:p>
            <w:pPr>
              <w:ind w:left="260"/>
              <w:spacing w:after="0"/>
              <w:rPr>
                <w:sz w:val="20"/>
                <w:szCs w:val="20"/>
                <w:color w:val="auto"/>
              </w:rPr>
            </w:pPr>
            <w:r>
              <w:rPr>
                <w:rFonts w:ascii="Arial" w:cs="Arial" w:eastAsia="Arial" w:hAnsi="Arial"/>
                <w:sz w:val="15"/>
                <w:szCs w:val="15"/>
                <w:color w:val="auto"/>
              </w:rPr>
              <w:t>Reuse</w:t>
            </w:r>
          </w:p>
        </w:tc>
        <w:tc>
          <w:tcPr>
            <w:tcW w:w="16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420" w:type="dxa"/>
            <w:vAlign w:val="bottom"/>
            <w:vMerge w:val="restart"/>
          </w:tcPr>
          <w:p>
            <w:pPr>
              <w:ind w:left="40"/>
              <w:spacing w:after="0"/>
              <w:rPr>
                <w:sz w:val="20"/>
                <w:szCs w:val="20"/>
                <w:color w:val="auto"/>
              </w:rPr>
            </w:pPr>
            <w:r>
              <w:rPr>
                <w:rFonts w:ascii="Arial" w:cs="Arial" w:eastAsia="Arial" w:hAnsi="Arial"/>
                <w:sz w:val="15"/>
                <w:szCs w:val="15"/>
                <w:b w:val="1"/>
                <w:bCs w:val="1"/>
                <w:color w:val="14256B"/>
              </w:rPr>
              <w:t>Dean Pump</w:t>
            </w:r>
          </w:p>
        </w:tc>
        <w:tc>
          <w:tcPr>
            <w:tcW w:w="0" w:type="dxa"/>
            <w:vAlign w:val="bottom"/>
          </w:tcPr>
          <w:p>
            <w:pPr>
              <w:spacing w:after="0"/>
              <w:rPr>
                <w:sz w:val="1"/>
                <w:szCs w:val="1"/>
                <w:color w:val="auto"/>
              </w:rPr>
            </w:pPr>
          </w:p>
        </w:tc>
      </w:tr>
      <w:tr>
        <w:trPr>
          <w:trHeight w:val="57"/>
        </w:trPr>
        <w:tc>
          <w:tcPr>
            <w:tcW w:w="1640" w:type="dxa"/>
            <w:vAlign w:val="bottom"/>
            <w:vMerge w:val="restart"/>
          </w:tcPr>
          <w:p>
            <w:pPr>
              <w:ind w:left="100"/>
              <w:spacing w:after="0" w:line="156" w:lineRule="exact"/>
              <w:rPr>
                <w:sz w:val="20"/>
                <w:szCs w:val="20"/>
                <w:color w:val="auto"/>
              </w:rPr>
            </w:pPr>
            <w:r>
              <w:rPr>
                <w:rFonts w:ascii="Arial" w:cs="Arial" w:eastAsia="Arial" w:hAnsi="Arial"/>
                <w:sz w:val="15"/>
                <w:szCs w:val="15"/>
                <w:color w:val="auto"/>
              </w:rPr>
              <w:t>Removal</w:t>
            </w:r>
          </w:p>
        </w:tc>
        <w:tc>
          <w:tcPr>
            <w:tcW w:w="1620" w:type="dxa"/>
            <w:vAlign w:val="bottom"/>
            <w:vMerge w:val="restart"/>
          </w:tcPr>
          <w:p>
            <w:pPr>
              <w:ind w:left="40"/>
              <w:spacing w:after="0" w:line="156" w:lineRule="exact"/>
              <w:rPr>
                <w:sz w:val="20"/>
                <w:szCs w:val="20"/>
                <w:color w:val="auto"/>
              </w:rPr>
            </w:pPr>
            <w:r>
              <w:rPr>
                <w:rFonts w:ascii="Arial" w:cs="Arial" w:eastAsia="Arial" w:hAnsi="Arial"/>
                <w:sz w:val="14"/>
                <w:szCs w:val="14"/>
                <w:b w:val="1"/>
                <w:bCs w:val="1"/>
                <w:color w:val="14256B"/>
              </w:rPr>
              <w:t>Duall Air &amp; Water</w:t>
            </w:r>
          </w:p>
        </w:tc>
        <w:tc>
          <w:tcPr>
            <w:tcW w:w="17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1780" w:type="dxa"/>
            <w:vAlign w:val="bottom"/>
            <w:vMerge w:val="restart"/>
          </w:tcPr>
          <w:p>
            <w:pPr>
              <w:ind w:left="160"/>
              <w:spacing w:after="0"/>
              <w:rPr>
                <w:sz w:val="20"/>
                <w:szCs w:val="20"/>
                <w:color w:val="auto"/>
              </w:rPr>
            </w:pPr>
            <w:r>
              <w:rPr>
                <w:rFonts w:ascii="Arial" w:cs="Arial" w:eastAsia="Arial" w:hAnsi="Arial"/>
                <w:sz w:val="13"/>
                <w:szCs w:val="13"/>
                <w:color w:val="auto"/>
              </w:rPr>
              <w:t>• FCC Catalyst Recovery</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780" w:type="dxa"/>
            <w:vAlign w:val="bottom"/>
            <w:vMerge w:val="restart"/>
          </w:tcPr>
          <w:p>
            <w:pPr>
              <w:ind w:left="180"/>
              <w:spacing w:after="0"/>
              <w:rPr>
                <w:sz w:val="20"/>
                <w:szCs w:val="20"/>
                <w:color w:val="auto"/>
              </w:rPr>
            </w:pPr>
            <w:r>
              <w:rPr>
                <w:rFonts w:ascii="Arial" w:cs="Arial" w:eastAsia="Arial" w:hAnsi="Arial"/>
                <w:sz w:val="15"/>
                <w:szCs w:val="15"/>
                <w:color w:val="auto"/>
              </w:rPr>
              <w:t>• Energy Recovery</w:t>
            </w:r>
          </w:p>
        </w:tc>
        <w:tc>
          <w:tcPr>
            <w:tcW w:w="16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164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640" w:type="dxa"/>
            <w:vAlign w:val="bottom"/>
            <w:vMerge w:val="restart"/>
          </w:tcPr>
          <w:p>
            <w:pPr>
              <w:spacing w:after="0"/>
              <w:rPr>
                <w:sz w:val="20"/>
                <w:szCs w:val="20"/>
                <w:color w:val="auto"/>
              </w:rPr>
            </w:pPr>
            <w:r>
              <w:rPr>
                <w:rFonts w:ascii="Arial" w:cs="Arial" w:eastAsia="Arial" w:hAnsi="Arial"/>
                <w:sz w:val="15"/>
                <w:szCs w:val="15"/>
                <w:color w:val="auto"/>
              </w:rPr>
              <w:t>• Dust Collection</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14256B"/>
              </w:rPr>
              <w:t>Technologies</w:t>
            </w:r>
          </w:p>
        </w:tc>
        <w:tc>
          <w:tcPr>
            <w:tcW w:w="17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ind w:left="240"/>
              <w:spacing w:after="0"/>
              <w:rPr>
                <w:sz w:val="20"/>
                <w:szCs w:val="20"/>
                <w:color w:val="auto"/>
              </w:rPr>
            </w:pPr>
            <w:r>
              <w:rPr>
                <w:rFonts w:ascii="Arial" w:cs="Arial" w:eastAsia="Arial" w:hAnsi="Arial"/>
                <w:sz w:val="13"/>
                <w:szCs w:val="13"/>
                <w:color w:val="auto"/>
              </w:rPr>
              <w:t>&amp; Regeneration</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40" w:type="dxa"/>
            <w:vAlign w:val="bottom"/>
            <w:vMerge w:val="continue"/>
          </w:tcPr>
          <w:p>
            <w:pPr>
              <w:spacing w:after="0"/>
              <w:rPr>
                <w:sz w:val="8"/>
                <w:szCs w:val="8"/>
                <w:color w:val="auto"/>
              </w:rPr>
            </w:pPr>
          </w:p>
        </w:tc>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14256B"/>
              </w:rPr>
              <w:t>Fybroc</w:t>
            </w:r>
          </w:p>
        </w:tc>
        <w:tc>
          <w:tcPr>
            <w:tcW w:w="1780" w:type="dxa"/>
            <w:vAlign w:val="bottom"/>
            <w:vMerge w:val="restart"/>
          </w:tcPr>
          <w:p>
            <w:pPr>
              <w:ind w:left="180"/>
              <w:spacing w:after="0"/>
              <w:rPr>
                <w:sz w:val="20"/>
                <w:szCs w:val="20"/>
                <w:color w:val="auto"/>
              </w:rPr>
            </w:pPr>
            <w:r>
              <w:rPr>
                <w:rFonts w:ascii="Arial" w:cs="Arial" w:eastAsia="Arial" w:hAnsi="Arial"/>
                <w:sz w:val="15"/>
                <w:szCs w:val="15"/>
                <w:color w:val="auto"/>
              </w:rPr>
              <w:t>• Shutoff &amp; Non-return</w:t>
            </w:r>
          </w:p>
        </w:tc>
        <w:tc>
          <w:tcPr>
            <w:tcW w:w="1620" w:type="dxa"/>
            <w:vAlign w:val="bottom"/>
          </w:tcPr>
          <w:p>
            <w:pPr>
              <w:spacing w:after="0"/>
              <w:rPr>
                <w:sz w:val="8"/>
                <w:szCs w:val="8"/>
                <w:color w:val="auto"/>
              </w:rPr>
            </w:pPr>
          </w:p>
        </w:tc>
        <w:tc>
          <w:tcPr>
            <w:tcW w:w="1780" w:type="dxa"/>
            <w:vAlign w:val="bottom"/>
            <w:vMerge w:val="restart"/>
          </w:tcPr>
          <w:p>
            <w:pPr>
              <w:ind w:left="160"/>
              <w:spacing w:after="0"/>
              <w:rPr>
                <w:sz w:val="20"/>
                <w:szCs w:val="20"/>
                <w:color w:val="auto"/>
              </w:rPr>
            </w:pPr>
            <w:r>
              <w:rPr>
                <w:rFonts w:ascii="Arial" w:cs="Arial" w:eastAsia="Arial" w:hAnsi="Arial"/>
                <w:sz w:val="13"/>
                <w:szCs w:val="13"/>
                <w:color w:val="auto"/>
              </w:rPr>
              <w:t>• Gas Turbine Emissions</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40" w:type="dxa"/>
            <w:vAlign w:val="bottom"/>
            <w:vMerge w:val="restart"/>
          </w:tcPr>
          <w:p>
            <w:pPr>
              <w:spacing w:after="0"/>
              <w:rPr>
                <w:sz w:val="20"/>
                <w:szCs w:val="20"/>
                <w:color w:val="auto"/>
              </w:rPr>
            </w:pPr>
            <w:r>
              <w:rPr>
                <w:rFonts w:ascii="Arial" w:cs="Arial" w:eastAsia="Arial" w:hAnsi="Arial"/>
                <w:sz w:val="15"/>
                <w:szCs w:val="15"/>
                <w:color w:val="auto"/>
              </w:rPr>
              <w:t>• Silencers</w:t>
            </w:r>
          </w:p>
        </w:tc>
        <w:tc>
          <w:tcPr>
            <w:tcW w:w="162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640" w:type="dxa"/>
            <w:vAlign w:val="bottom"/>
            <w:vMerge w:val="continue"/>
          </w:tcPr>
          <w:p>
            <w:pPr>
              <w:spacing w:after="0"/>
              <w:rPr>
                <w:sz w:val="17"/>
                <w:szCs w:val="17"/>
                <w:color w:val="auto"/>
              </w:rPr>
            </w:pPr>
          </w:p>
        </w:tc>
        <w:tc>
          <w:tcPr>
            <w:tcW w:w="1620" w:type="dxa"/>
            <w:vAlign w:val="bottom"/>
          </w:tcPr>
          <w:p>
            <w:pPr>
              <w:ind w:left="40"/>
              <w:spacing w:after="0"/>
              <w:rPr>
                <w:sz w:val="20"/>
                <w:szCs w:val="20"/>
                <w:color w:val="auto"/>
              </w:rPr>
            </w:pPr>
            <w:r>
              <w:rPr>
                <w:rFonts w:ascii="Arial" w:cs="Arial" w:eastAsia="Arial" w:hAnsi="Arial"/>
                <w:sz w:val="14"/>
                <w:szCs w:val="14"/>
                <w:b w:val="1"/>
                <w:bCs w:val="1"/>
                <w:color w:val="14256B"/>
              </w:rPr>
              <w:t>Wakefield Acoustics</w:t>
            </w:r>
          </w:p>
        </w:tc>
        <w:tc>
          <w:tcPr>
            <w:tcW w:w="1780" w:type="dxa"/>
            <w:vAlign w:val="bottom"/>
          </w:tcPr>
          <w:p>
            <w:pPr>
              <w:ind w:left="260"/>
              <w:spacing w:after="0"/>
              <w:rPr>
                <w:sz w:val="20"/>
                <w:szCs w:val="20"/>
                <w:color w:val="auto"/>
              </w:rPr>
            </w:pPr>
            <w:r>
              <w:rPr>
                <w:rFonts w:ascii="Arial" w:cs="Arial" w:eastAsia="Arial" w:hAnsi="Arial"/>
                <w:sz w:val="15"/>
                <w:szCs w:val="15"/>
                <w:color w:val="auto"/>
              </w:rPr>
              <w:t>Valves</w:t>
            </w:r>
          </w:p>
        </w:tc>
        <w:tc>
          <w:tcPr>
            <w:tcW w:w="1620" w:type="dxa"/>
            <w:vAlign w:val="bottom"/>
          </w:tcPr>
          <w:p>
            <w:pPr>
              <w:spacing w:after="0"/>
              <w:rPr>
                <w:sz w:val="17"/>
                <w:szCs w:val="17"/>
                <w:color w:val="auto"/>
              </w:rPr>
            </w:pPr>
          </w:p>
        </w:tc>
        <w:tc>
          <w:tcPr>
            <w:tcW w:w="1780" w:type="dxa"/>
            <w:vAlign w:val="bottom"/>
          </w:tcPr>
          <w:p>
            <w:pPr>
              <w:ind w:left="240"/>
              <w:spacing w:after="0"/>
              <w:rPr>
                <w:sz w:val="20"/>
                <w:szCs w:val="20"/>
                <w:color w:val="auto"/>
              </w:rPr>
            </w:pPr>
            <w:r>
              <w:rPr>
                <w:rFonts w:ascii="Arial" w:cs="Arial" w:eastAsia="Arial" w:hAnsi="Arial"/>
                <w:sz w:val="13"/>
                <w:szCs w:val="13"/>
                <w:color w:val="auto"/>
              </w:rPr>
              <w:t>Treatment</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rPr>
                <w:sz w:val="20"/>
                <w:szCs w:val="20"/>
                <w:color w:val="auto"/>
              </w:rPr>
            </w:pPr>
            <w:r>
              <w:rPr>
                <w:rFonts w:ascii="Arial" w:cs="Arial" w:eastAsia="Arial" w:hAnsi="Arial"/>
                <w:sz w:val="15"/>
                <w:szCs w:val="15"/>
                <w:color w:val="auto"/>
              </w:rPr>
              <w:t>• Thermal &amp; Acoustic</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14256B"/>
              </w:rPr>
              <w:t>Adwest Technologies</w:t>
            </w:r>
          </w:p>
        </w:tc>
        <w:tc>
          <w:tcPr>
            <w:tcW w:w="1780" w:type="dxa"/>
            <w:vAlign w:val="bottom"/>
          </w:tcPr>
          <w:p>
            <w:pPr>
              <w:ind w:left="180"/>
              <w:spacing w:after="0"/>
              <w:rPr>
                <w:sz w:val="20"/>
                <w:szCs w:val="20"/>
                <w:color w:val="auto"/>
              </w:rPr>
            </w:pPr>
            <w:r>
              <w:rPr>
                <w:rFonts w:ascii="Arial" w:cs="Arial" w:eastAsia="Arial" w:hAnsi="Arial"/>
                <w:sz w:val="15"/>
                <w:szCs w:val="15"/>
                <w:color w:val="auto"/>
              </w:rPr>
              <w:t>• Expansion Joints</w:t>
            </w:r>
          </w:p>
        </w:tc>
        <w:tc>
          <w:tcPr>
            <w:tcW w:w="1620" w:type="dxa"/>
            <w:vAlign w:val="bottom"/>
          </w:tcPr>
          <w:p>
            <w:pPr>
              <w:spacing w:after="0"/>
              <w:rPr>
                <w:sz w:val="16"/>
                <w:szCs w:val="16"/>
                <w:color w:val="auto"/>
              </w:rPr>
            </w:pPr>
          </w:p>
        </w:tc>
        <w:tc>
          <w:tcPr>
            <w:tcW w:w="1780" w:type="dxa"/>
            <w:vAlign w:val="bottom"/>
          </w:tcPr>
          <w:p>
            <w:pPr>
              <w:ind w:left="160"/>
              <w:spacing w:after="0"/>
              <w:rPr>
                <w:sz w:val="20"/>
                <w:szCs w:val="20"/>
                <w:color w:val="auto"/>
              </w:rPr>
            </w:pPr>
            <w:r>
              <w:rPr>
                <w:rFonts w:ascii="Arial" w:cs="Arial" w:eastAsia="Arial" w:hAnsi="Arial"/>
                <w:sz w:val="13"/>
                <w:szCs w:val="13"/>
                <w:color w:val="auto"/>
              </w:rPr>
              <w:t>• Exhaust System</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640" w:type="dxa"/>
            <w:vAlign w:val="bottom"/>
          </w:tcPr>
          <w:p>
            <w:pPr>
              <w:ind w:left="100"/>
              <w:spacing w:after="0" w:line="158" w:lineRule="exact"/>
              <w:rPr>
                <w:sz w:val="20"/>
                <w:szCs w:val="20"/>
                <w:color w:val="auto"/>
              </w:rPr>
            </w:pPr>
            <w:r>
              <w:rPr>
                <w:rFonts w:ascii="Arial" w:cs="Arial" w:eastAsia="Arial" w:hAnsi="Arial"/>
                <w:sz w:val="15"/>
                <w:szCs w:val="15"/>
                <w:color w:val="auto"/>
              </w:rPr>
              <w:t>Management</w:t>
            </w:r>
          </w:p>
        </w:tc>
        <w:tc>
          <w:tcPr>
            <w:tcW w:w="1620" w:type="dxa"/>
            <w:vAlign w:val="bottom"/>
          </w:tcPr>
          <w:p>
            <w:pPr>
              <w:ind w:left="40"/>
              <w:spacing w:after="0" w:line="158" w:lineRule="exact"/>
              <w:rPr>
                <w:sz w:val="20"/>
                <w:szCs w:val="20"/>
                <w:color w:val="auto"/>
              </w:rPr>
            </w:pPr>
            <w:r>
              <w:rPr>
                <w:rFonts w:ascii="Arial" w:cs="Arial" w:eastAsia="Arial" w:hAnsi="Arial"/>
                <w:sz w:val="14"/>
                <w:szCs w:val="14"/>
                <w:b w:val="1"/>
                <w:bCs w:val="1"/>
                <w:color w:val="14256B"/>
              </w:rPr>
              <w:t>CECO Filters</w:t>
            </w:r>
          </w:p>
        </w:tc>
        <w:tc>
          <w:tcPr>
            <w:tcW w:w="1780" w:type="dxa"/>
            <w:vAlign w:val="bottom"/>
            <w:vMerge w:val="restart"/>
          </w:tcPr>
          <w:p>
            <w:pPr>
              <w:ind w:left="180"/>
              <w:spacing w:after="0"/>
              <w:rPr>
                <w:sz w:val="20"/>
                <w:szCs w:val="20"/>
                <w:color w:val="auto"/>
              </w:rPr>
            </w:pPr>
            <w:r>
              <w:rPr>
                <w:rFonts w:ascii="Arial" w:cs="Arial" w:eastAsia="Arial" w:hAnsi="Arial"/>
                <w:sz w:val="15"/>
                <w:szCs w:val="15"/>
                <w:color w:val="auto"/>
              </w:rPr>
              <w:t>• Centrifugal Pumps</w:t>
            </w:r>
          </w:p>
        </w:tc>
        <w:tc>
          <w:tcPr>
            <w:tcW w:w="1620" w:type="dxa"/>
            <w:vAlign w:val="bottom"/>
          </w:tcPr>
          <w:p>
            <w:pPr>
              <w:spacing w:after="0"/>
              <w:rPr>
                <w:sz w:val="13"/>
                <w:szCs w:val="13"/>
                <w:color w:val="auto"/>
              </w:rPr>
            </w:pPr>
          </w:p>
        </w:tc>
        <w:tc>
          <w:tcPr>
            <w:tcW w:w="1780" w:type="dxa"/>
            <w:vAlign w:val="bottom"/>
          </w:tcPr>
          <w:p>
            <w:pPr>
              <w:ind w:left="240"/>
              <w:spacing w:after="0"/>
              <w:rPr>
                <w:sz w:val="20"/>
                <w:szCs w:val="20"/>
                <w:color w:val="auto"/>
              </w:rPr>
            </w:pPr>
            <w:r>
              <w:rPr>
                <w:rFonts w:ascii="Arial" w:cs="Arial" w:eastAsia="Arial" w:hAnsi="Arial"/>
                <w:sz w:val="13"/>
                <w:szCs w:val="13"/>
                <w:color w:val="auto"/>
              </w:rPr>
              <w:t>Thermal &amp; Acoustic</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780" w:type="dxa"/>
            <w:vAlign w:val="bottom"/>
            <w:vMerge w:val="restart"/>
          </w:tcPr>
          <w:p>
            <w:pPr>
              <w:ind w:left="240"/>
              <w:spacing w:after="0"/>
              <w:rPr>
                <w:sz w:val="20"/>
                <w:szCs w:val="20"/>
                <w:color w:val="auto"/>
              </w:rPr>
            </w:pPr>
            <w:r>
              <w:rPr>
                <w:rFonts w:ascii="Arial" w:cs="Arial" w:eastAsia="Arial" w:hAnsi="Arial"/>
                <w:sz w:val="13"/>
                <w:szCs w:val="13"/>
                <w:color w:val="auto"/>
              </w:rPr>
              <w:t>Management</w:t>
            </w: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6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ectPr>
          <w:pgSz w:w="11880" w:h="15480" w:orient="portrait"/>
          <w:cols w:equalWidth="0" w:num="1">
            <w:col w:w="11880"/>
          </w:cols>
          <w:pgMar w:left="0" w:top="1090" w:right="0" w:bottom="0" w:gutter="0" w:footer="0" w:header="0"/>
          <w:type w:val="continuous"/>
        </w:sectPr>
      </w:pPr>
    </w:p>
    <w:p>
      <w:pPr>
        <w:ind w:left="900"/>
        <w:spacing w:after="0"/>
        <w:tabs>
          <w:tab w:leader="none" w:pos="1260" w:val="left"/>
        </w:tabs>
        <w:rPr>
          <w:sz w:val="20"/>
          <w:szCs w:val="20"/>
          <w:color w:val="auto"/>
        </w:rPr>
      </w:pPr>
      <w:r>
        <w:rPr>
          <w:rFonts w:ascii="Arial" w:cs="Arial" w:eastAsia="Arial" w:hAnsi="Arial"/>
          <w:sz w:val="24"/>
          <w:szCs w:val="24"/>
          <w:b w:val="1"/>
          <w:bCs w:val="1"/>
          <w:color w:val="auto"/>
        </w:rPr>
        <w:t>4</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p>
    <w:p>
      <w:pPr>
        <w:sectPr>
          <w:pgSz w:w="11880" w:h="15480" w:orient="portrait"/>
          <w:cols w:equalWidth="0" w:num="1">
            <w:col w:w="11880"/>
          </w:cols>
          <w:pgMar w:left="0" w:top="1090" w:right="0" w:bottom="0" w:gutter="0" w:footer="0" w:header="0"/>
          <w:type w:val="continuous"/>
        </w:sectPr>
      </w:pPr>
    </w:p>
    <w:bookmarkStart w:id="6" w:name="page7"/>
    <w:bookmarkEnd w:id="6"/>
    <w:p>
      <w:pPr>
        <w:ind w:left="360" w:right="140"/>
        <w:spacing w:after="0" w:line="288" w:lineRule="auto"/>
        <w:rPr>
          <w:sz w:val="20"/>
          <w:szCs w:val="20"/>
          <w:color w:val="auto"/>
        </w:rPr>
      </w:pPr>
      <w:r>
        <w:rPr>
          <w:rFonts w:ascii="Arial" w:cs="Arial" w:eastAsia="Arial" w:hAnsi="Arial"/>
          <w:sz w:val="62"/>
          <w:szCs w:val="62"/>
          <w:color w:val="273D86"/>
          <w:shd w:val="clear" w:color="auto" w:fill="98B82F"/>
        </w:rPr>
        <w:t xml:space="preserve">Disciplined </w:t>
      </w:r>
      <w:r>
        <w:rPr>
          <w:rFonts w:ascii="Arial" w:cs="Arial" w:eastAsia="Arial" w:hAnsi="Arial"/>
          <w:sz w:val="62"/>
          <w:szCs w:val="62"/>
          <w:color w:val="273D86"/>
        </w:rPr>
        <w:t>Capital Allocation</w:t>
      </w:r>
      <w:r>
        <w:rPr>
          <w:rFonts w:ascii="Arial" w:cs="Arial" w:eastAsia="Arial" w:hAnsi="Arial"/>
          <w:sz w:val="62"/>
          <w:szCs w:val="62"/>
          <w:color w:val="273D86"/>
          <w:shd w:val="clear" w:color="auto" w:fill="98B82F"/>
        </w:rPr>
        <w:t xml:space="preserve"> </w:t>
      </w:r>
      <w:r>
        <w:rPr>
          <w:rFonts w:ascii="Arial" w:cs="Arial" w:eastAsia="Arial" w:hAnsi="Arial"/>
          <w:sz w:val="62"/>
          <w:szCs w:val="62"/>
          <w:color w:val="273D86"/>
        </w:rPr>
        <w:t>Driving Value Creation and Growth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827"/>
        </w:trPr>
        <w:tc>
          <w:tcPr>
            <w:tcW w:w="5020" w:type="dxa"/>
            <w:vAlign w:val="bottom"/>
            <w:tcBorders>
              <w:right w:val="single" w:sz="8" w:color="BFBFBF"/>
            </w:tcBorders>
            <w:gridSpan w:val="3"/>
          </w:tcPr>
          <w:p>
            <w:pPr>
              <w:jc w:val="center"/>
              <w:ind w:right="47"/>
              <w:spacing w:after="0"/>
              <w:rPr>
                <w:sz w:val="20"/>
                <w:szCs w:val="20"/>
                <w:color w:val="auto"/>
              </w:rPr>
            </w:pPr>
            <w:r>
              <w:rPr>
                <w:rFonts w:ascii="Arial" w:cs="Arial" w:eastAsia="Arial" w:hAnsi="Arial"/>
                <w:sz w:val="36"/>
                <w:szCs w:val="36"/>
                <w:color w:val="273D86"/>
                <w:w w:val="78"/>
              </w:rPr>
              <w:t>HEALTHY BALANCE SHEET</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tcPr>
          <w:p>
            <w:pPr>
              <w:jc w:val="center"/>
              <w:ind w:right="1482"/>
              <w:spacing w:after="0"/>
              <w:rPr>
                <w:sz w:val="20"/>
                <w:szCs w:val="20"/>
                <w:color w:val="auto"/>
              </w:rPr>
            </w:pPr>
            <w:r>
              <w:rPr>
                <w:rFonts w:ascii="Arial" w:cs="Arial" w:eastAsia="Arial" w:hAnsi="Arial"/>
                <w:sz w:val="36"/>
                <w:szCs w:val="36"/>
                <w:color w:val="273D86"/>
                <w:w w:val="79"/>
              </w:rPr>
              <w:t>LOW CAPEX</w:t>
            </w:r>
          </w:p>
        </w:tc>
      </w:tr>
      <w:tr>
        <w:trPr>
          <w:trHeight w:val="284"/>
        </w:trPr>
        <w:tc>
          <w:tcPr>
            <w:tcW w:w="3680" w:type="dxa"/>
            <w:vAlign w:val="bottom"/>
            <w:gridSpan w:val="2"/>
          </w:tcPr>
          <w:p>
            <w:pPr>
              <w:jc w:val="center"/>
              <w:ind w:left="1057"/>
              <w:spacing w:after="0"/>
              <w:rPr>
                <w:sz w:val="20"/>
                <w:szCs w:val="20"/>
                <w:color w:val="auto"/>
              </w:rPr>
            </w:pPr>
            <w:r>
              <w:rPr>
                <w:rFonts w:ascii="Arial" w:cs="Arial" w:eastAsia="Arial" w:hAnsi="Arial"/>
                <w:sz w:val="20"/>
                <w:szCs w:val="20"/>
                <w:color w:val="auto"/>
                <w:w w:val="99"/>
              </w:rPr>
              <w:t>supportive of inorganic and</w:t>
            </w:r>
          </w:p>
        </w:tc>
        <w:tc>
          <w:tcPr>
            <w:tcW w:w="1340" w:type="dxa"/>
            <w:vAlign w:val="bottom"/>
            <w:tcBorders>
              <w:right w:val="single" w:sz="8" w:color="BFBFBF"/>
            </w:tcBorders>
          </w:tcPr>
          <w:p>
            <w:pPr>
              <w:spacing w:after="0"/>
              <w:rPr>
                <w:sz w:val="24"/>
                <w:szCs w:val="24"/>
                <w:color w:val="auto"/>
              </w:rPr>
            </w:pPr>
          </w:p>
        </w:tc>
        <w:tc>
          <w:tcPr>
            <w:tcW w:w="1360" w:type="dxa"/>
            <w:vAlign w:val="bottom"/>
          </w:tcPr>
          <w:p>
            <w:pPr>
              <w:spacing w:after="0"/>
              <w:rPr>
                <w:sz w:val="24"/>
                <w:szCs w:val="24"/>
                <w:color w:val="auto"/>
              </w:rPr>
            </w:pPr>
          </w:p>
        </w:tc>
        <w:tc>
          <w:tcPr>
            <w:tcW w:w="3680" w:type="dxa"/>
            <w:vAlign w:val="bottom"/>
            <w:gridSpan w:val="2"/>
          </w:tcPr>
          <w:p>
            <w:pPr>
              <w:jc w:val="center"/>
              <w:ind w:right="1102"/>
              <w:spacing w:after="0"/>
              <w:rPr>
                <w:sz w:val="20"/>
                <w:szCs w:val="20"/>
                <w:color w:val="auto"/>
              </w:rPr>
            </w:pPr>
            <w:r>
              <w:rPr>
                <w:rFonts w:ascii="Arial" w:cs="Arial" w:eastAsia="Arial" w:hAnsi="Arial"/>
                <w:sz w:val="20"/>
                <w:szCs w:val="20"/>
                <w:color w:val="auto"/>
                <w:w w:val="99"/>
              </w:rPr>
              <w:t>operating model delivering</w:t>
            </w:r>
          </w:p>
        </w:tc>
      </w:tr>
      <w:tr>
        <w:trPr>
          <w:trHeight w:val="240"/>
        </w:trPr>
        <w:tc>
          <w:tcPr>
            <w:tcW w:w="3680" w:type="dxa"/>
            <w:vAlign w:val="bottom"/>
            <w:gridSpan w:val="2"/>
          </w:tcPr>
          <w:p>
            <w:pPr>
              <w:jc w:val="center"/>
              <w:ind w:left="1057"/>
              <w:spacing w:after="0"/>
              <w:rPr>
                <w:sz w:val="20"/>
                <w:szCs w:val="20"/>
                <w:color w:val="auto"/>
              </w:rPr>
            </w:pPr>
            <w:r>
              <w:rPr>
                <w:rFonts w:ascii="Arial" w:cs="Arial" w:eastAsia="Arial" w:hAnsi="Arial"/>
                <w:sz w:val="20"/>
                <w:szCs w:val="20"/>
                <w:color w:val="auto"/>
                <w:w w:val="98"/>
              </w:rPr>
              <w:t>organic growth investments.</w:t>
            </w:r>
          </w:p>
        </w:tc>
        <w:tc>
          <w:tcPr>
            <w:tcW w:w="1340" w:type="dxa"/>
            <w:vAlign w:val="bottom"/>
            <w:tcBorders>
              <w:right w:val="single" w:sz="8" w:color="BFBFBF"/>
            </w:tcBorders>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tcPr>
          <w:p>
            <w:pPr>
              <w:jc w:val="center"/>
              <w:ind w:right="1482"/>
              <w:spacing w:after="0"/>
              <w:rPr>
                <w:sz w:val="20"/>
                <w:szCs w:val="20"/>
                <w:color w:val="auto"/>
              </w:rPr>
            </w:pPr>
            <w:r>
              <w:rPr>
                <w:rFonts w:ascii="Arial" w:cs="Arial" w:eastAsia="Arial" w:hAnsi="Arial"/>
                <w:sz w:val="20"/>
                <w:szCs w:val="20"/>
                <w:color w:val="auto"/>
                <w:w w:val="98"/>
              </w:rPr>
              <w:t>robust cash flows.</w:t>
            </w:r>
          </w:p>
        </w:tc>
      </w:tr>
      <w:tr>
        <w:trPr>
          <w:trHeight w:val="335"/>
        </w:trPr>
        <w:tc>
          <w:tcPr>
            <w:tcW w:w="334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1340" w:type="dxa"/>
            <w:vAlign w:val="bottom"/>
            <w:tcBorders>
              <w:bottom w:val="single" w:sz="8" w:color="BFBFBF"/>
              <w:right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3300" w:type="dxa"/>
            <w:vAlign w:val="bottom"/>
            <w:tcBorders>
              <w:bottom w:val="single" w:sz="8" w:color="BFBFBF"/>
            </w:tcBorders>
          </w:tcPr>
          <w:p>
            <w:pPr>
              <w:spacing w:after="0"/>
              <w:rPr>
                <w:sz w:val="24"/>
                <w:szCs w:val="24"/>
                <w:color w:val="auto"/>
              </w:rPr>
            </w:pPr>
          </w:p>
        </w:tc>
      </w:tr>
      <w:tr>
        <w:trPr>
          <w:trHeight w:val="476"/>
        </w:trPr>
        <w:tc>
          <w:tcPr>
            <w:tcW w:w="3340" w:type="dxa"/>
            <w:vAlign w:val="bottom"/>
            <w:tcBorders>
              <w:right w:val="single" w:sz="8" w:color="BFBFBF"/>
            </w:tcBorders>
          </w:tcPr>
          <w:p>
            <w:pPr>
              <w:jc w:val="center"/>
              <w:ind w:right="57"/>
              <w:spacing w:after="0"/>
              <w:rPr>
                <w:sz w:val="20"/>
                <w:szCs w:val="20"/>
                <w:color w:val="auto"/>
              </w:rPr>
            </w:pPr>
            <w:r>
              <w:rPr>
                <w:rFonts w:ascii="Arial" w:cs="Arial" w:eastAsia="Arial" w:hAnsi="Arial"/>
                <w:sz w:val="20"/>
                <w:szCs w:val="20"/>
                <w:color w:val="auto"/>
                <w:w w:val="99"/>
              </w:rPr>
              <w:t>Deployed</w:t>
            </w:r>
          </w:p>
        </w:tc>
        <w:tc>
          <w:tcPr>
            <w:tcW w:w="34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20"/>
                <w:szCs w:val="20"/>
                <w:color w:val="auto"/>
                <w:w w:val="99"/>
              </w:rPr>
              <w:t>Deployed</w:t>
            </w:r>
          </w:p>
        </w:tc>
        <w:tc>
          <w:tcPr>
            <w:tcW w:w="380" w:type="dxa"/>
            <w:vAlign w:val="bottom"/>
            <w:tcBorders>
              <w:right w:val="single" w:sz="8" w:color="BFBFBF"/>
            </w:tcBorders>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20"/>
                <w:szCs w:val="20"/>
                <w:color w:val="auto"/>
                <w:w w:val="97"/>
              </w:rPr>
              <w:t>Invested</w:t>
            </w:r>
          </w:p>
        </w:tc>
      </w:tr>
      <w:tr>
        <w:trPr>
          <w:trHeight w:val="478"/>
        </w:trPr>
        <w:tc>
          <w:tcPr>
            <w:tcW w:w="3340" w:type="dxa"/>
            <w:vAlign w:val="bottom"/>
            <w:tcBorders>
              <w:right w:val="single" w:sz="8" w:color="BFBFBF"/>
            </w:tcBorders>
          </w:tcPr>
          <w:p>
            <w:pPr>
              <w:jc w:val="center"/>
              <w:ind w:right="77"/>
              <w:spacing w:after="0"/>
              <w:rPr>
                <w:sz w:val="20"/>
                <w:szCs w:val="20"/>
                <w:color w:val="auto"/>
              </w:rPr>
            </w:pPr>
            <w:r>
              <w:rPr>
                <w:rFonts w:ascii="Arial" w:cs="Arial" w:eastAsia="Arial" w:hAnsi="Arial"/>
                <w:sz w:val="36"/>
                <w:szCs w:val="36"/>
                <w:color w:val="273D86"/>
                <w:w w:val="91"/>
              </w:rPr>
              <w:t>$60M</w:t>
            </w:r>
          </w:p>
        </w:tc>
        <w:tc>
          <w:tcPr>
            <w:tcW w:w="34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36"/>
                <w:szCs w:val="36"/>
                <w:color w:val="273D86"/>
                <w:w w:val="91"/>
              </w:rPr>
              <w:t>$8M</w:t>
            </w:r>
          </w:p>
        </w:tc>
        <w:tc>
          <w:tcPr>
            <w:tcW w:w="380" w:type="dxa"/>
            <w:vAlign w:val="bottom"/>
            <w:tcBorders>
              <w:right w:val="single" w:sz="8" w:color="BFBFBF"/>
            </w:tcBorders>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36"/>
                <w:szCs w:val="36"/>
                <w:color w:val="273D86"/>
                <w:w w:val="91"/>
              </w:rPr>
              <w:t>$10M</w:t>
            </w:r>
          </w:p>
        </w:tc>
      </w:tr>
      <w:tr>
        <w:trPr>
          <w:trHeight w:val="266"/>
        </w:trPr>
        <w:tc>
          <w:tcPr>
            <w:tcW w:w="334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9"/>
              </w:rPr>
              <w:t>on strategic and accretive</w:t>
            </w:r>
          </w:p>
        </w:tc>
        <w:tc>
          <w:tcPr>
            <w:tcW w:w="340" w:type="dxa"/>
            <w:vAlign w:val="bottom"/>
          </w:tcPr>
          <w:p>
            <w:pPr>
              <w:spacing w:after="0"/>
              <w:rPr>
                <w:sz w:val="23"/>
                <w:szCs w:val="23"/>
                <w:color w:val="auto"/>
              </w:rPr>
            </w:pPr>
          </w:p>
        </w:tc>
        <w:tc>
          <w:tcPr>
            <w:tcW w:w="2700" w:type="dxa"/>
            <w:vAlign w:val="bottom"/>
            <w:gridSpan w:val="2"/>
          </w:tcPr>
          <w:p>
            <w:pPr>
              <w:jc w:val="center"/>
              <w:spacing w:after="0"/>
              <w:rPr>
                <w:sz w:val="20"/>
                <w:szCs w:val="20"/>
                <w:color w:val="auto"/>
              </w:rPr>
            </w:pPr>
            <w:r>
              <w:rPr>
                <w:rFonts w:ascii="Arial" w:cs="Arial" w:eastAsia="Arial" w:hAnsi="Arial"/>
                <w:sz w:val="20"/>
                <w:szCs w:val="20"/>
                <w:color w:val="auto"/>
              </w:rPr>
              <w:t>on US &amp; UK facility updates</w:t>
            </w:r>
          </w:p>
        </w:tc>
        <w:tc>
          <w:tcPr>
            <w:tcW w:w="380" w:type="dxa"/>
            <w:vAlign w:val="bottom"/>
            <w:tcBorders>
              <w:right w:val="single" w:sz="8" w:color="BFBFBF"/>
            </w:tcBorders>
          </w:tcPr>
          <w:p>
            <w:pPr>
              <w:spacing w:after="0"/>
              <w:rPr>
                <w:sz w:val="23"/>
                <w:szCs w:val="23"/>
                <w:color w:val="auto"/>
              </w:rPr>
            </w:pPr>
          </w:p>
        </w:tc>
        <w:tc>
          <w:tcPr>
            <w:tcW w:w="3300" w:type="dxa"/>
            <w:vAlign w:val="bottom"/>
          </w:tcPr>
          <w:p>
            <w:pPr>
              <w:jc w:val="center"/>
              <w:ind w:left="22"/>
              <w:spacing w:after="0"/>
              <w:rPr>
                <w:sz w:val="20"/>
                <w:szCs w:val="20"/>
                <w:color w:val="auto"/>
              </w:rPr>
            </w:pPr>
            <w:r>
              <w:rPr>
                <w:rFonts w:ascii="Arial" w:cs="Arial" w:eastAsia="Arial" w:hAnsi="Arial"/>
                <w:sz w:val="20"/>
                <w:szCs w:val="20"/>
                <w:color w:val="auto"/>
                <w:w w:val="99"/>
              </w:rPr>
              <w:t xml:space="preserve">in </w:t>
            </w:r>
            <w:r>
              <w:rPr>
                <w:rFonts w:ascii="Arial" w:cs="Arial" w:eastAsia="Arial" w:hAnsi="Arial"/>
                <w:sz w:val="20"/>
                <w:szCs w:val="20"/>
                <w:b w:val="1"/>
                <w:bCs w:val="1"/>
                <w:i w:val="1"/>
                <w:iCs w:val="1"/>
                <w:color w:val="auto"/>
                <w:w w:val="99"/>
              </w:rPr>
              <w:t>Commercial Excellence</w:t>
            </w:r>
            <w:r>
              <w:rPr>
                <w:rFonts w:ascii="Arial" w:cs="Arial" w:eastAsia="Arial" w:hAnsi="Arial"/>
                <w:sz w:val="20"/>
                <w:szCs w:val="20"/>
                <w:color w:val="auto"/>
                <w:w w:val="99"/>
              </w:rPr>
              <w:t xml:space="preserve"> –</w:t>
            </w:r>
          </w:p>
        </w:tc>
      </w:tr>
      <w:tr>
        <w:trPr>
          <w:trHeight w:val="240"/>
        </w:trPr>
        <w:tc>
          <w:tcPr>
            <w:tcW w:w="3340" w:type="dxa"/>
            <w:vAlign w:val="bottom"/>
            <w:tcBorders>
              <w:right w:val="single" w:sz="8" w:color="BFBFBF"/>
            </w:tcBorders>
          </w:tcPr>
          <w:p>
            <w:pPr>
              <w:jc w:val="center"/>
              <w:ind w:right="37"/>
              <w:spacing w:after="0"/>
              <w:rPr>
                <w:sz w:val="20"/>
                <w:szCs w:val="20"/>
                <w:color w:val="auto"/>
              </w:rPr>
            </w:pPr>
            <w:r>
              <w:rPr>
                <w:rFonts w:ascii="Arial" w:cs="Arial" w:eastAsia="Arial" w:hAnsi="Arial"/>
                <w:sz w:val="20"/>
                <w:szCs w:val="20"/>
                <w:color w:val="auto"/>
                <w:w w:val="99"/>
              </w:rPr>
              <w:t>M&amp;A transactions.</w:t>
            </w:r>
          </w:p>
        </w:tc>
        <w:tc>
          <w:tcPr>
            <w:tcW w:w="340" w:type="dxa"/>
            <w:vAlign w:val="bottom"/>
          </w:tcPr>
          <w:p>
            <w:pPr>
              <w:spacing w:after="0"/>
              <w:rPr>
                <w:sz w:val="20"/>
                <w:szCs w:val="20"/>
                <w:color w:val="auto"/>
              </w:rPr>
            </w:pPr>
          </w:p>
        </w:tc>
        <w:tc>
          <w:tcPr>
            <w:tcW w:w="2700" w:type="dxa"/>
            <w:vAlign w:val="bottom"/>
            <w:gridSpan w:val="2"/>
          </w:tcPr>
          <w:p>
            <w:pPr>
              <w:jc w:val="center"/>
              <w:ind w:right="40"/>
              <w:spacing w:after="0"/>
              <w:rPr>
                <w:sz w:val="20"/>
                <w:szCs w:val="20"/>
                <w:color w:val="auto"/>
              </w:rPr>
            </w:pPr>
            <w:r>
              <w:rPr>
                <w:rFonts w:ascii="Arial" w:cs="Arial" w:eastAsia="Arial" w:hAnsi="Arial"/>
                <w:sz w:val="20"/>
                <w:szCs w:val="20"/>
                <w:color w:val="auto"/>
                <w:w w:val="99"/>
              </w:rPr>
              <w:t>and expansions, IT upgrades,</w:t>
            </w:r>
          </w:p>
        </w:tc>
        <w:tc>
          <w:tcPr>
            <w:tcW w:w="380" w:type="dxa"/>
            <w:vAlign w:val="bottom"/>
            <w:tcBorders>
              <w:right w:val="single" w:sz="8" w:color="BFBFBF"/>
            </w:tcBorders>
          </w:tcPr>
          <w:p>
            <w:pPr>
              <w:spacing w:after="0"/>
              <w:rPr>
                <w:sz w:val="20"/>
                <w:szCs w:val="20"/>
                <w:color w:val="auto"/>
              </w:rPr>
            </w:pPr>
          </w:p>
        </w:tc>
        <w:tc>
          <w:tcPr>
            <w:tcW w:w="3300" w:type="dxa"/>
            <w:vAlign w:val="bottom"/>
          </w:tcPr>
          <w:p>
            <w:pPr>
              <w:jc w:val="center"/>
              <w:ind w:left="22"/>
              <w:spacing w:after="0"/>
              <w:rPr>
                <w:sz w:val="20"/>
                <w:szCs w:val="20"/>
                <w:color w:val="auto"/>
              </w:rPr>
            </w:pPr>
            <w:r>
              <w:rPr>
                <w:rFonts w:ascii="Arial" w:cs="Arial" w:eastAsia="Arial" w:hAnsi="Arial"/>
                <w:sz w:val="20"/>
                <w:szCs w:val="20"/>
                <w:color w:val="auto"/>
              </w:rPr>
              <w:t>sales, engineering &amp; project</w:t>
            </w:r>
          </w:p>
        </w:tc>
      </w:tr>
      <w:tr>
        <w:trPr>
          <w:trHeight w:val="240"/>
        </w:trPr>
        <w:tc>
          <w:tcPr>
            <w:tcW w:w="3340" w:type="dxa"/>
            <w:vAlign w:val="bottom"/>
            <w:tcBorders>
              <w:right w:val="single" w:sz="8" w:color="BFBFBF"/>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20"/>
                <w:szCs w:val="20"/>
                <w:color w:val="auto"/>
              </w:rPr>
              <w:t>ERP migrations, and</w:t>
            </w:r>
          </w:p>
        </w:tc>
        <w:tc>
          <w:tcPr>
            <w:tcW w:w="380" w:type="dxa"/>
            <w:vAlign w:val="bottom"/>
            <w:tcBorders>
              <w:right w:val="single" w:sz="8" w:color="BFBFBF"/>
            </w:tcBorders>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20"/>
                <w:szCs w:val="20"/>
                <w:color w:val="auto"/>
              </w:rPr>
              <w:t>execution, India expansion,</w:t>
            </w:r>
          </w:p>
        </w:tc>
      </w:tr>
      <w:tr>
        <w:trPr>
          <w:trHeight w:val="240"/>
        </w:trPr>
        <w:tc>
          <w:tcPr>
            <w:tcW w:w="3340" w:type="dxa"/>
            <w:vAlign w:val="bottom"/>
            <w:tcBorders>
              <w:right w:val="single" w:sz="8" w:color="BFBFBF"/>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2"/>
          </w:tcPr>
          <w:p>
            <w:pPr>
              <w:jc w:val="center"/>
              <w:spacing w:after="0"/>
              <w:rPr>
                <w:sz w:val="20"/>
                <w:szCs w:val="20"/>
                <w:color w:val="auto"/>
              </w:rPr>
            </w:pPr>
            <w:r>
              <w:rPr>
                <w:rFonts w:ascii="Arial" w:cs="Arial" w:eastAsia="Arial" w:hAnsi="Arial"/>
                <w:sz w:val="20"/>
                <w:szCs w:val="20"/>
                <w:color w:val="auto"/>
                <w:w w:val="98"/>
              </w:rPr>
              <w:t>India office growth.</w:t>
            </w:r>
          </w:p>
        </w:tc>
        <w:tc>
          <w:tcPr>
            <w:tcW w:w="380" w:type="dxa"/>
            <w:vAlign w:val="bottom"/>
            <w:tcBorders>
              <w:right w:val="single" w:sz="8" w:color="BFBFBF"/>
            </w:tcBorders>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20"/>
                <w:szCs w:val="20"/>
                <w:color w:val="auto"/>
                <w:w w:val="99"/>
              </w:rPr>
              <w:t xml:space="preserve">and </w:t>
            </w:r>
            <w:r>
              <w:rPr>
                <w:rFonts w:ascii="Arial" w:cs="Arial" w:eastAsia="Arial" w:hAnsi="Arial"/>
                <w:sz w:val="20"/>
                <w:szCs w:val="20"/>
                <w:b w:val="1"/>
                <w:bCs w:val="1"/>
                <w:i w:val="1"/>
                <w:iCs w:val="1"/>
                <w:color w:val="auto"/>
                <w:w w:val="99"/>
              </w:rPr>
              <w:t>Operating Excellence</w:t>
            </w:r>
            <w:r>
              <w:rPr>
                <w:rFonts w:ascii="Arial" w:cs="Arial" w:eastAsia="Arial" w:hAnsi="Arial"/>
                <w:sz w:val="20"/>
                <w:szCs w:val="20"/>
                <w:color w:val="auto"/>
                <w:w w:val="99"/>
              </w:rPr>
              <w:t xml:space="preserve"> –</w:t>
            </w:r>
          </w:p>
        </w:tc>
      </w:tr>
      <w:tr>
        <w:trPr>
          <w:trHeight w:val="240"/>
        </w:trPr>
        <w:tc>
          <w:tcPr>
            <w:tcW w:w="3340" w:type="dxa"/>
            <w:vAlign w:val="bottom"/>
            <w:tcBorders>
              <w:right w:val="single" w:sz="8" w:color="BFBFBF"/>
            </w:tcBorders>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Borders>
              <w:right w:val="single" w:sz="8" w:color="BFBFBF"/>
            </w:tcBorders>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20"/>
                <w:szCs w:val="20"/>
                <w:color w:val="auto"/>
              </w:rPr>
              <w:t>Lean, Sourcing &amp; Productivity.</w:t>
            </w:r>
          </w:p>
        </w:tc>
      </w:tr>
      <w:tr>
        <w:trPr>
          <w:trHeight w:val="196"/>
        </w:trPr>
        <w:tc>
          <w:tcPr>
            <w:tcW w:w="3340" w:type="dxa"/>
            <w:vAlign w:val="bottom"/>
            <w:tcBorders>
              <w:right w:val="single" w:sz="8" w:color="BFBFBF"/>
            </w:tcBorders>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Borders>
              <w:right w:val="single" w:sz="8" w:color="BFBFBF"/>
            </w:tcBorders>
          </w:tcPr>
          <w:p>
            <w:pPr>
              <w:spacing w:after="0"/>
              <w:rPr>
                <w:sz w:val="17"/>
                <w:szCs w:val="17"/>
                <w:color w:val="auto"/>
              </w:rPr>
            </w:pPr>
          </w:p>
        </w:tc>
        <w:tc>
          <w:tcPr>
            <w:tcW w:w="3300" w:type="dxa"/>
            <w:vAlign w:val="bottom"/>
          </w:tcPr>
          <w:p>
            <w:pPr>
              <w:spacing w:after="0"/>
              <w:rPr>
                <w:sz w:val="17"/>
                <w:szCs w:val="17"/>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7"/>
          <w:szCs w:val="27"/>
          <w:color w:val="14256B"/>
        </w:rPr>
        <w:t>THREE STRATEGIC M&amp;A TRANSACTIONS EXTENDING NICHE LEADERSHIP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2117725</wp:posOffset>
                </wp:positionH>
                <wp:positionV relativeFrom="paragraph">
                  <wp:posOffset>158750</wp:posOffset>
                </wp:positionV>
                <wp:extent cx="0" cy="419163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91635"/>
                        </a:xfrm>
                        <a:prstGeom prst="line">
                          <a:avLst/>
                        </a:prstGeom>
                        <a:solidFill>
                          <a:srgbClr val="FFFFFF"/>
                        </a:solidFill>
                        <a:ln w="11836">
                          <a:solidFill>
                            <a:srgbClr val="999999"/>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75pt,12.5pt" to="166.75pt,342.55pt" o:allowincell="f" strokecolor="#999999" strokeweight="0.932pt"/>
            </w:pict>
          </mc:Fallback>
        </mc:AlternateContent>
        <mc:AlternateContent>
          <mc:Choice Requires="wps">
            <w:drawing>
              <wp:anchor simplePos="0" relativeHeight="251657728" behindDoc="1" locked="0" layoutInCell="0" allowOverlap="1">
                <wp:simplePos x="0" y="0"/>
                <wp:positionH relativeFrom="column">
                  <wp:posOffset>4279265</wp:posOffset>
                </wp:positionH>
                <wp:positionV relativeFrom="paragraph">
                  <wp:posOffset>158750</wp:posOffset>
                </wp:positionV>
                <wp:extent cx="0" cy="419163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91635"/>
                        </a:xfrm>
                        <a:prstGeom prst="line">
                          <a:avLst/>
                        </a:prstGeom>
                        <a:solidFill>
                          <a:srgbClr val="FFFFFF"/>
                        </a:solidFill>
                        <a:ln w="11836">
                          <a:solidFill>
                            <a:srgbClr val="999999"/>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95pt,12.5pt" to="336.95pt,342.55pt" o:allowincell="f" strokecolor="#999999" strokeweight="0.932pt"/>
            </w:pict>
          </mc:Fallback>
        </mc:AlternateConten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240" w:type="dxa"/>
            <w:vAlign w:val="bottom"/>
            <w:shd w:val="clear" w:color="auto" w:fill="77A527"/>
          </w:tcPr>
          <w:p>
            <w:pPr>
              <w:ind w:left="840"/>
              <w:spacing w:after="0"/>
              <w:rPr>
                <w:sz w:val="20"/>
                <w:szCs w:val="20"/>
                <w:color w:val="auto"/>
              </w:rPr>
            </w:pPr>
            <w:r>
              <w:rPr>
                <w:rFonts w:ascii="Arial" w:cs="Arial" w:eastAsia="Arial" w:hAnsi="Arial"/>
                <w:sz w:val="20"/>
                <w:szCs w:val="20"/>
                <w:b w:val="1"/>
                <w:bCs w:val="1"/>
                <w:color w:val="FFFFFF"/>
              </w:rPr>
              <w:t>INDUSTRIAL AIR</w:t>
            </w:r>
          </w:p>
        </w:tc>
        <w:tc>
          <w:tcPr>
            <w:tcW w:w="180" w:type="dxa"/>
            <w:vAlign w:val="bottom"/>
          </w:tcPr>
          <w:p>
            <w:pPr>
              <w:spacing w:after="0"/>
              <w:rPr>
                <w:sz w:val="24"/>
                <w:szCs w:val="24"/>
                <w:color w:val="auto"/>
              </w:rPr>
            </w:pPr>
          </w:p>
        </w:tc>
        <w:tc>
          <w:tcPr>
            <w:tcW w:w="3240" w:type="dxa"/>
            <w:vAlign w:val="bottom"/>
            <w:gridSpan w:val="2"/>
            <w:shd w:val="clear" w:color="auto" w:fill="3B6FA0"/>
          </w:tcPr>
          <w:p>
            <w:pPr>
              <w:ind w:left="660"/>
              <w:spacing w:after="0"/>
              <w:rPr>
                <w:sz w:val="20"/>
                <w:szCs w:val="20"/>
                <w:color w:val="auto"/>
              </w:rPr>
            </w:pPr>
            <w:r>
              <w:rPr>
                <w:rFonts w:ascii="Arial" w:cs="Arial" w:eastAsia="Arial" w:hAnsi="Arial"/>
                <w:sz w:val="20"/>
                <w:szCs w:val="20"/>
                <w:b w:val="1"/>
                <w:bCs w:val="1"/>
                <w:color w:val="FFFFFF"/>
              </w:rPr>
              <w:t>INDUSTRIAL WATER</w:t>
            </w:r>
          </w:p>
        </w:tc>
        <w:tc>
          <w:tcPr>
            <w:tcW w:w="180" w:type="dxa"/>
            <w:vAlign w:val="bottom"/>
            <w:tcBorders>
              <w:right w:val="single" w:sz="8" w:color="14256B"/>
            </w:tcBorders>
          </w:tcPr>
          <w:p>
            <w:pPr>
              <w:spacing w:after="0"/>
              <w:rPr>
                <w:sz w:val="24"/>
                <w:szCs w:val="24"/>
                <w:color w:val="auto"/>
              </w:rPr>
            </w:pPr>
          </w:p>
        </w:tc>
        <w:tc>
          <w:tcPr>
            <w:tcW w:w="3220" w:type="dxa"/>
            <w:vAlign w:val="bottom"/>
            <w:shd w:val="clear" w:color="auto" w:fill="14256B"/>
          </w:tcPr>
          <w:p>
            <w:pPr>
              <w:ind w:left="580"/>
              <w:spacing w:after="0"/>
              <w:rPr>
                <w:sz w:val="20"/>
                <w:szCs w:val="20"/>
                <w:color w:val="auto"/>
              </w:rPr>
            </w:pPr>
            <w:r>
              <w:rPr>
                <w:rFonts w:ascii="Arial" w:cs="Arial" w:eastAsia="Arial" w:hAnsi="Arial"/>
                <w:sz w:val="20"/>
                <w:szCs w:val="20"/>
                <w:b w:val="1"/>
                <w:bCs w:val="1"/>
                <w:color w:val="FFFFFF"/>
              </w:rPr>
              <w:t>ENERGY TRANSITION</w:t>
            </w:r>
          </w:p>
        </w:tc>
        <w:tc>
          <w:tcPr>
            <w:tcW w:w="20" w:type="dxa"/>
            <w:vAlign w:val="bottom"/>
          </w:tcPr>
          <w:p>
            <w:pPr>
              <w:spacing w:after="0"/>
              <w:rPr>
                <w:sz w:val="24"/>
                <w:szCs w:val="24"/>
                <w:color w:val="auto"/>
              </w:rPr>
            </w:pPr>
          </w:p>
        </w:tc>
      </w:tr>
      <w:tr>
        <w:trPr>
          <w:trHeight w:val="95"/>
        </w:trPr>
        <w:tc>
          <w:tcPr>
            <w:tcW w:w="3240" w:type="dxa"/>
            <w:vAlign w:val="bottom"/>
            <w:shd w:val="clear" w:color="auto" w:fill="77A527"/>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right w:val="single" w:sz="8" w:color="3B6FA0"/>
            </w:tcBorders>
            <w:shd w:val="clear" w:color="auto" w:fill="3B6FA0"/>
          </w:tcPr>
          <w:p>
            <w:pPr>
              <w:spacing w:after="0"/>
              <w:rPr>
                <w:sz w:val="8"/>
                <w:szCs w:val="8"/>
                <w:color w:val="auto"/>
              </w:rPr>
            </w:pPr>
          </w:p>
        </w:tc>
        <w:tc>
          <w:tcPr>
            <w:tcW w:w="2280" w:type="dxa"/>
            <w:vAlign w:val="bottom"/>
            <w:shd w:val="clear" w:color="auto" w:fill="3B6FA0"/>
          </w:tcPr>
          <w:p>
            <w:pPr>
              <w:spacing w:after="0"/>
              <w:rPr>
                <w:sz w:val="8"/>
                <w:szCs w:val="8"/>
                <w:color w:val="auto"/>
              </w:rPr>
            </w:pPr>
          </w:p>
        </w:tc>
        <w:tc>
          <w:tcPr>
            <w:tcW w:w="180" w:type="dxa"/>
            <w:vAlign w:val="bottom"/>
            <w:tcBorders>
              <w:right w:val="single" w:sz="8" w:color="14256B"/>
            </w:tcBorders>
          </w:tcPr>
          <w:p>
            <w:pPr>
              <w:spacing w:after="0"/>
              <w:rPr>
                <w:sz w:val="8"/>
                <w:szCs w:val="8"/>
                <w:color w:val="auto"/>
              </w:rPr>
            </w:pPr>
          </w:p>
        </w:tc>
        <w:tc>
          <w:tcPr>
            <w:tcW w:w="3220" w:type="dxa"/>
            <w:vAlign w:val="bottom"/>
            <w:shd w:val="clear" w:color="auto" w:fill="14256B"/>
          </w:tcPr>
          <w:p>
            <w:pPr>
              <w:spacing w:after="0"/>
              <w:rPr>
                <w:sz w:val="8"/>
                <w:szCs w:val="8"/>
                <w:color w:val="auto"/>
              </w:rPr>
            </w:pPr>
          </w:p>
        </w:tc>
        <w:tc>
          <w:tcPr>
            <w:tcW w:w="20" w:type="dxa"/>
            <w:vAlign w:val="bottom"/>
          </w:tcPr>
          <w:p>
            <w:pPr>
              <w:spacing w:after="0"/>
              <w:rPr>
                <w:sz w:val="8"/>
                <w:szCs w:val="8"/>
                <w:color w:val="auto"/>
              </w:rPr>
            </w:pPr>
          </w:p>
        </w:tc>
      </w:tr>
      <w:tr>
        <w:trPr>
          <w:trHeight w:val="239"/>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3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Borders>
              <w:right w:val="single" w:sz="8" w:color="00001F"/>
            </w:tcBorders>
          </w:tcPr>
          <w:p>
            <w:pPr>
              <w:spacing w:after="0"/>
              <w:rPr>
                <w:sz w:val="21"/>
                <w:szCs w:val="21"/>
                <w:color w:val="auto"/>
              </w:rPr>
            </w:pPr>
          </w:p>
        </w:tc>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6"/>
        </w:trPr>
        <w:tc>
          <w:tcPr>
            <w:tcW w:w="3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01"/>
        </w:trPr>
        <w:tc>
          <w:tcPr>
            <w:tcW w:w="3240" w:type="dxa"/>
            <w:vAlign w:val="bottom"/>
            <w:shd w:val="clear" w:color="auto" w:fill="E6E6E6"/>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right w:val="single" w:sz="8" w:color="E6E6E6"/>
            </w:tcBorders>
            <w:shd w:val="clear" w:color="auto" w:fill="E6E6E6"/>
          </w:tcPr>
          <w:p>
            <w:pPr>
              <w:spacing w:after="0"/>
              <w:rPr>
                <w:sz w:val="24"/>
                <w:szCs w:val="24"/>
                <w:color w:val="auto"/>
              </w:rPr>
            </w:pPr>
          </w:p>
        </w:tc>
        <w:tc>
          <w:tcPr>
            <w:tcW w:w="2280" w:type="dxa"/>
            <w:vAlign w:val="bottom"/>
            <w:shd w:val="clear" w:color="auto" w:fill="E6E6E6"/>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-1549400</wp:posOffset>
            </wp:positionV>
            <wp:extent cx="6395085" cy="1550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extLst>
                        <a:ext uri="{28A0092B-C50C-407E-A947-70E740481C1C}"/>
                      </a:extLst>
                    </a:blip>
                    <a:srcRect/>
                    <a:stretch>
                      <a:fillRect/>
                    </a:stretch>
                  </pic:blipFill>
                  <pic:spPr bwMode="auto">
                    <a:xfrm>
                      <a:off x="0" y="0"/>
                      <a:ext cx="6395085" cy="1550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-1549400</wp:posOffset>
            </wp:positionV>
            <wp:extent cx="6395085" cy="1550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a:extLst>
                        <a:ext uri="{28A0092B-C50C-407E-A947-70E740481C1C}"/>
                      </a:extLst>
                    </a:blip>
                    <a:srcRect/>
                    <a:stretch>
                      <a:fillRect/>
                    </a:stretch>
                  </pic:blipFill>
                  <pic:spPr bwMode="auto">
                    <a:xfrm>
                      <a:off x="0" y="0"/>
                      <a:ext cx="6395085" cy="1550035"/>
                    </a:xfrm>
                    <a:prstGeom prst="rect">
                      <a:avLst/>
                    </a:prstGeom>
                    <a:noFill/>
                  </pic:spPr>
                </pic:pic>
              </a:graphicData>
            </a:graphic>
          </wp:anchor>
        </w:drawing>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100" w:type="dxa"/>
            <w:vAlign w:val="bottom"/>
          </w:tcPr>
          <w:p>
            <w:pPr>
              <w:spacing w:after="0"/>
              <w:rPr>
                <w:sz w:val="20"/>
                <w:szCs w:val="20"/>
                <w:color w:val="auto"/>
              </w:rPr>
            </w:pPr>
            <w:r>
              <w:rPr>
                <w:rFonts w:ascii="Arial" w:cs="Arial" w:eastAsia="Arial" w:hAnsi="Arial"/>
                <w:sz w:val="22"/>
                <w:szCs w:val="22"/>
                <w:color w:val="auto"/>
              </w:rPr>
              <w:t>• January 2023 close</w:t>
            </w:r>
          </w:p>
        </w:tc>
        <w:tc>
          <w:tcPr>
            <w:tcW w:w="3540" w:type="dxa"/>
            <w:vAlign w:val="bottom"/>
          </w:tcPr>
          <w:p>
            <w:pPr>
              <w:ind w:left="320"/>
              <w:spacing w:after="0"/>
              <w:rPr>
                <w:sz w:val="20"/>
                <w:szCs w:val="20"/>
                <w:color w:val="auto"/>
              </w:rPr>
            </w:pPr>
            <w:r>
              <w:rPr>
                <w:rFonts w:ascii="Arial" w:cs="Arial" w:eastAsia="Arial" w:hAnsi="Arial"/>
                <w:sz w:val="22"/>
                <w:szCs w:val="22"/>
                <w:color w:val="auto"/>
              </w:rPr>
              <w:t>• Mid-Q3 close</w:t>
            </w:r>
          </w:p>
        </w:tc>
        <w:tc>
          <w:tcPr>
            <w:tcW w:w="3220" w:type="dxa"/>
            <w:vAlign w:val="bottom"/>
          </w:tcPr>
          <w:p>
            <w:pPr>
              <w:ind w:left="180"/>
              <w:spacing w:after="0"/>
              <w:rPr>
                <w:sz w:val="20"/>
                <w:szCs w:val="20"/>
                <w:color w:val="auto"/>
              </w:rPr>
            </w:pPr>
            <w:r>
              <w:rPr>
                <w:rFonts w:ascii="Arial" w:cs="Arial" w:eastAsia="Arial" w:hAnsi="Arial"/>
                <w:sz w:val="22"/>
                <w:szCs w:val="22"/>
                <w:color w:val="auto"/>
              </w:rPr>
              <w:t>• April 2023 close</w:t>
            </w:r>
          </w:p>
        </w:tc>
        <w:tc>
          <w:tcPr>
            <w:tcW w:w="0" w:type="dxa"/>
            <w:vAlign w:val="bottom"/>
          </w:tcPr>
          <w:p>
            <w:pPr>
              <w:spacing w:after="0"/>
              <w:rPr>
                <w:sz w:val="1"/>
                <w:szCs w:val="1"/>
                <w:color w:val="auto"/>
              </w:rPr>
            </w:pPr>
          </w:p>
        </w:tc>
      </w:tr>
      <w:tr>
        <w:trPr>
          <w:trHeight w:val="354"/>
        </w:trPr>
        <w:tc>
          <w:tcPr>
            <w:tcW w:w="3100" w:type="dxa"/>
            <w:vAlign w:val="bottom"/>
          </w:tcPr>
          <w:p>
            <w:pPr>
              <w:spacing w:after="0"/>
              <w:rPr>
                <w:sz w:val="20"/>
                <w:szCs w:val="20"/>
                <w:color w:val="auto"/>
              </w:rPr>
            </w:pPr>
            <w:r>
              <w:rPr>
                <w:rFonts w:ascii="Arial" w:cs="Arial" w:eastAsia="Arial" w:hAnsi="Arial"/>
                <w:sz w:val="22"/>
                <w:szCs w:val="22"/>
                <w:color w:val="auto"/>
              </w:rPr>
              <w:t>• UK-based</w:t>
            </w:r>
          </w:p>
        </w:tc>
        <w:tc>
          <w:tcPr>
            <w:tcW w:w="3540" w:type="dxa"/>
            <w:vAlign w:val="bottom"/>
          </w:tcPr>
          <w:p>
            <w:pPr>
              <w:ind w:left="320"/>
              <w:spacing w:after="0"/>
              <w:rPr>
                <w:sz w:val="20"/>
                <w:szCs w:val="20"/>
                <w:color w:val="auto"/>
              </w:rPr>
            </w:pPr>
            <w:r>
              <w:rPr>
                <w:rFonts w:ascii="Arial" w:cs="Arial" w:eastAsia="Arial" w:hAnsi="Arial"/>
                <w:sz w:val="22"/>
                <w:szCs w:val="22"/>
                <w:color w:val="auto"/>
              </w:rPr>
              <w:t>• US-based</w:t>
            </w:r>
          </w:p>
        </w:tc>
        <w:tc>
          <w:tcPr>
            <w:tcW w:w="3220" w:type="dxa"/>
            <w:vAlign w:val="bottom"/>
          </w:tcPr>
          <w:p>
            <w:pPr>
              <w:ind w:left="180"/>
              <w:spacing w:after="0"/>
              <w:rPr>
                <w:sz w:val="20"/>
                <w:szCs w:val="20"/>
                <w:color w:val="auto"/>
              </w:rPr>
            </w:pPr>
            <w:r>
              <w:rPr>
                <w:rFonts w:ascii="Arial" w:cs="Arial" w:eastAsia="Arial" w:hAnsi="Arial"/>
                <w:sz w:val="22"/>
                <w:szCs w:val="22"/>
                <w:color w:val="auto"/>
              </w:rPr>
              <w:t>• US-based</w:t>
            </w:r>
          </w:p>
        </w:tc>
        <w:tc>
          <w:tcPr>
            <w:tcW w:w="0" w:type="dxa"/>
            <w:vAlign w:val="bottom"/>
          </w:tcPr>
          <w:p>
            <w:pPr>
              <w:spacing w:after="0"/>
              <w:rPr>
                <w:sz w:val="1"/>
                <w:szCs w:val="1"/>
                <w:color w:val="auto"/>
              </w:rPr>
            </w:pPr>
          </w:p>
        </w:tc>
      </w:tr>
      <w:tr>
        <w:trPr>
          <w:trHeight w:val="354"/>
        </w:trPr>
        <w:tc>
          <w:tcPr>
            <w:tcW w:w="3100" w:type="dxa"/>
            <w:vAlign w:val="bottom"/>
          </w:tcPr>
          <w:p>
            <w:pPr>
              <w:spacing w:after="0"/>
              <w:rPr>
                <w:sz w:val="20"/>
                <w:szCs w:val="20"/>
                <w:color w:val="auto"/>
              </w:rPr>
            </w:pPr>
            <w:r>
              <w:rPr>
                <w:rFonts w:ascii="Arial" w:cs="Arial" w:eastAsia="Arial" w:hAnsi="Arial"/>
                <w:sz w:val="22"/>
                <w:szCs w:val="22"/>
                <w:color w:val="auto"/>
              </w:rPr>
              <w:t>• Annualized Revenues</w:t>
            </w:r>
          </w:p>
        </w:tc>
        <w:tc>
          <w:tcPr>
            <w:tcW w:w="3540" w:type="dxa"/>
            <w:vAlign w:val="bottom"/>
          </w:tcPr>
          <w:p>
            <w:pPr>
              <w:ind w:left="320"/>
              <w:spacing w:after="0"/>
              <w:rPr>
                <w:sz w:val="20"/>
                <w:szCs w:val="20"/>
                <w:color w:val="auto"/>
              </w:rPr>
            </w:pPr>
            <w:r>
              <w:rPr>
                <w:rFonts w:ascii="Arial" w:cs="Arial" w:eastAsia="Arial" w:hAnsi="Arial"/>
                <w:sz w:val="22"/>
                <w:szCs w:val="22"/>
                <w:color w:val="auto"/>
              </w:rPr>
              <w:t>• Annualized Revenues</w:t>
            </w:r>
          </w:p>
        </w:tc>
        <w:tc>
          <w:tcPr>
            <w:tcW w:w="3220" w:type="dxa"/>
            <w:vAlign w:val="bottom"/>
          </w:tcPr>
          <w:p>
            <w:pPr>
              <w:ind w:left="180"/>
              <w:spacing w:after="0"/>
              <w:rPr>
                <w:sz w:val="20"/>
                <w:szCs w:val="20"/>
                <w:color w:val="auto"/>
              </w:rPr>
            </w:pPr>
            <w:r>
              <w:rPr>
                <w:rFonts w:ascii="Arial" w:cs="Arial" w:eastAsia="Arial" w:hAnsi="Arial"/>
                <w:sz w:val="22"/>
                <w:szCs w:val="22"/>
                <w:color w:val="auto"/>
              </w:rPr>
              <w:t>• Annualized Revenues</w:t>
            </w:r>
          </w:p>
        </w:tc>
        <w:tc>
          <w:tcPr>
            <w:tcW w:w="0" w:type="dxa"/>
            <w:vAlign w:val="bottom"/>
          </w:tcPr>
          <w:p>
            <w:pPr>
              <w:spacing w:after="0"/>
              <w:rPr>
                <w:sz w:val="1"/>
                <w:szCs w:val="1"/>
                <w:color w:val="auto"/>
              </w:rPr>
            </w:pPr>
          </w:p>
        </w:tc>
      </w:tr>
      <w:tr>
        <w:trPr>
          <w:trHeight w:val="264"/>
        </w:trPr>
        <w:tc>
          <w:tcPr>
            <w:tcW w:w="3100" w:type="dxa"/>
            <w:vAlign w:val="bottom"/>
          </w:tcPr>
          <w:p>
            <w:pPr>
              <w:ind w:left="120"/>
              <w:spacing w:after="0"/>
              <w:rPr>
                <w:sz w:val="20"/>
                <w:szCs w:val="20"/>
                <w:color w:val="auto"/>
              </w:rPr>
            </w:pPr>
            <w:r>
              <w:rPr>
                <w:rFonts w:ascii="Arial" w:cs="Arial" w:eastAsia="Arial" w:hAnsi="Arial"/>
                <w:sz w:val="22"/>
                <w:szCs w:val="22"/>
                <w:color w:val="auto"/>
              </w:rPr>
              <w:t>~$20M+</w:t>
            </w:r>
          </w:p>
        </w:tc>
        <w:tc>
          <w:tcPr>
            <w:tcW w:w="3540" w:type="dxa"/>
            <w:vAlign w:val="bottom"/>
          </w:tcPr>
          <w:p>
            <w:pPr>
              <w:ind w:left="460"/>
              <w:spacing w:after="0"/>
              <w:rPr>
                <w:sz w:val="20"/>
                <w:szCs w:val="20"/>
                <w:color w:val="auto"/>
              </w:rPr>
            </w:pPr>
            <w:r>
              <w:rPr>
                <w:rFonts w:ascii="Arial" w:cs="Arial" w:eastAsia="Arial" w:hAnsi="Arial"/>
                <w:sz w:val="22"/>
                <w:szCs w:val="22"/>
                <w:color w:val="auto"/>
              </w:rPr>
              <w:t>~$28M+</w:t>
            </w:r>
          </w:p>
        </w:tc>
        <w:tc>
          <w:tcPr>
            <w:tcW w:w="3220" w:type="dxa"/>
            <w:vAlign w:val="bottom"/>
          </w:tcPr>
          <w:p>
            <w:pPr>
              <w:ind w:left="320"/>
              <w:spacing w:after="0"/>
              <w:rPr>
                <w:sz w:val="20"/>
                <w:szCs w:val="20"/>
                <w:color w:val="auto"/>
              </w:rPr>
            </w:pPr>
            <w:r>
              <w:rPr>
                <w:rFonts w:ascii="Arial" w:cs="Arial" w:eastAsia="Arial" w:hAnsi="Arial"/>
                <w:sz w:val="22"/>
                <w:szCs w:val="22"/>
                <w:color w:val="auto"/>
              </w:rPr>
              <w:t>~$16M+</w:t>
            </w:r>
          </w:p>
        </w:tc>
        <w:tc>
          <w:tcPr>
            <w:tcW w:w="0" w:type="dxa"/>
            <w:vAlign w:val="bottom"/>
          </w:tcPr>
          <w:p>
            <w:pPr>
              <w:spacing w:after="0"/>
              <w:rPr>
                <w:sz w:val="1"/>
                <w:szCs w:val="1"/>
                <w:color w:val="auto"/>
              </w:rPr>
            </w:pPr>
          </w:p>
        </w:tc>
      </w:tr>
      <w:tr>
        <w:trPr>
          <w:trHeight w:val="354"/>
        </w:trPr>
        <w:tc>
          <w:tcPr>
            <w:tcW w:w="3100" w:type="dxa"/>
            <w:vAlign w:val="bottom"/>
          </w:tcPr>
          <w:p>
            <w:pPr>
              <w:spacing w:after="0"/>
              <w:rPr>
                <w:sz w:val="20"/>
                <w:szCs w:val="20"/>
                <w:color w:val="auto"/>
              </w:rPr>
            </w:pPr>
            <w:r>
              <w:rPr>
                <w:rFonts w:ascii="Arial" w:cs="Arial" w:eastAsia="Arial" w:hAnsi="Arial"/>
                <w:sz w:val="22"/>
                <w:szCs w:val="22"/>
                <w:color w:val="auto"/>
              </w:rPr>
              <w:t>• Extends Thermal Acoustics</w:t>
            </w:r>
          </w:p>
        </w:tc>
        <w:tc>
          <w:tcPr>
            <w:tcW w:w="3540" w:type="dxa"/>
            <w:vAlign w:val="bottom"/>
          </w:tcPr>
          <w:p>
            <w:pPr>
              <w:ind w:left="320"/>
              <w:spacing w:after="0"/>
              <w:rPr>
                <w:sz w:val="20"/>
                <w:szCs w:val="20"/>
                <w:color w:val="auto"/>
              </w:rPr>
            </w:pPr>
            <w:r>
              <w:rPr>
                <w:rFonts w:ascii="Arial" w:cs="Arial" w:eastAsia="Arial" w:hAnsi="Arial"/>
                <w:sz w:val="22"/>
                <w:szCs w:val="22"/>
                <w:color w:val="auto"/>
              </w:rPr>
              <w:t>• Complement to DS21 and</w:t>
            </w:r>
          </w:p>
        </w:tc>
        <w:tc>
          <w:tcPr>
            <w:tcW w:w="3220" w:type="dxa"/>
            <w:vAlign w:val="bottom"/>
          </w:tcPr>
          <w:p>
            <w:pPr>
              <w:ind w:left="180"/>
              <w:spacing w:after="0"/>
              <w:rPr>
                <w:sz w:val="20"/>
                <w:szCs w:val="20"/>
                <w:color w:val="auto"/>
              </w:rPr>
            </w:pPr>
            <w:r>
              <w:rPr>
                <w:rFonts w:ascii="Arial" w:cs="Arial" w:eastAsia="Arial" w:hAnsi="Arial"/>
                <w:sz w:val="22"/>
                <w:szCs w:val="22"/>
                <w:color w:val="auto"/>
              </w:rPr>
              <w:t>• Extends Separation-Filtration</w:t>
            </w:r>
          </w:p>
        </w:tc>
        <w:tc>
          <w:tcPr>
            <w:tcW w:w="0" w:type="dxa"/>
            <w:vAlign w:val="bottom"/>
          </w:tcPr>
          <w:p>
            <w:pPr>
              <w:spacing w:after="0"/>
              <w:rPr>
                <w:sz w:val="1"/>
                <w:szCs w:val="1"/>
                <w:color w:val="auto"/>
              </w:rPr>
            </w:pPr>
          </w:p>
        </w:tc>
      </w:tr>
      <w:tr>
        <w:trPr>
          <w:trHeight w:val="264"/>
        </w:trPr>
        <w:tc>
          <w:tcPr>
            <w:tcW w:w="3100" w:type="dxa"/>
            <w:vAlign w:val="bottom"/>
          </w:tcPr>
          <w:p>
            <w:pPr>
              <w:ind w:left="120"/>
              <w:spacing w:after="0"/>
              <w:rPr>
                <w:sz w:val="20"/>
                <w:szCs w:val="20"/>
                <w:color w:val="auto"/>
              </w:rPr>
            </w:pPr>
            <w:r>
              <w:rPr>
                <w:rFonts w:ascii="Arial" w:cs="Arial" w:eastAsia="Arial" w:hAnsi="Arial"/>
                <w:sz w:val="22"/>
                <w:szCs w:val="22"/>
                <w:color w:val="auto"/>
              </w:rPr>
              <w:t>Platform</w:t>
            </w:r>
          </w:p>
        </w:tc>
        <w:tc>
          <w:tcPr>
            <w:tcW w:w="3540" w:type="dxa"/>
            <w:vAlign w:val="bottom"/>
          </w:tcPr>
          <w:p>
            <w:pPr>
              <w:ind w:left="460"/>
              <w:spacing w:after="0"/>
              <w:rPr>
                <w:sz w:val="20"/>
                <w:szCs w:val="20"/>
                <w:color w:val="auto"/>
              </w:rPr>
            </w:pPr>
            <w:r>
              <w:rPr>
                <w:rFonts w:ascii="Arial" w:cs="Arial" w:eastAsia="Arial" w:hAnsi="Arial"/>
                <w:sz w:val="22"/>
                <w:szCs w:val="22"/>
                <w:color w:val="auto"/>
              </w:rPr>
              <w:t>Compass Water acquisitions</w:t>
            </w:r>
          </w:p>
        </w:tc>
        <w:tc>
          <w:tcPr>
            <w:tcW w:w="3220" w:type="dxa"/>
            <w:vAlign w:val="bottom"/>
          </w:tcPr>
          <w:p>
            <w:pPr>
              <w:ind w:left="320"/>
              <w:spacing w:after="0"/>
              <w:rPr>
                <w:sz w:val="20"/>
                <w:szCs w:val="20"/>
                <w:color w:val="auto"/>
              </w:rPr>
            </w:pPr>
            <w:r>
              <w:rPr>
                <w:rFonts w:ascii="Arial" w:cs="Arial" w:eastAsia="Arial" w:hAnsi="Arial"/>
                <w:sz w:val="22"/>
                <w:szCs w:val="22"/>
                <w:color w:val="auto"/>
              </w:rPr>
              <w:t>Platform</w:t>
            </w:r>
          </w:p>
        </w:tc>
        <w:tc>
          <w:tcPr>
            <w:tcW w:w="0" w:type="dxa"/>
            <w:vAlign w:val="bottom"/>
          </w:tcPr>
          <w:p>
            <w:pPr>
              <w:spacing w:after="0"/>
              <w:rPr>
                <w:sz w:val="1"/>
                <w:szCs w:val="1"/>
                <w:color w:val="auto"/>
              </w:rPr>
            </w:pPr>
          </w:p>
        </w:tc>
      </w:tr>
      <w:tr>
        <w:trPr>
          <w:trHeight w:val="354"/>
        </w:trPr>
        <w:tc>
          <w:tcPr>
            <w:tcW w:w="3100" w:type="dxa"/>
            <w:vAlign w:val="bottom"/>
          </w:tcPr>
          <w:p>
            <w:pPr>
              <w:spacing w:after="0"/>
              <w:rPr>
                <w:sz w:val="20"/>
                <w:szCs w:val="20"/>
                <w:color w:val="auto"/>
              </w:rPr>
            </w:pPr>
            <w:r>
              <w:rPr>
                <w:rFonts w:ascii="Arial" w:cs="Arial" w:eastAsia="Arial" w:hAnsi="Arial"/>
                <w:sz w:val="22"/>
                <w:szCs w:val="22"/>
                <w:color w:val="auto"/>
              </w:rPr>
              <w:t>• Adds Standard Acoustic</w:t>
            </w:r>
          </w:p>
        </w:tc>
        <w:tc>
          <w:tcPr>
            <w:tcW w:w="3540" w:type="dxa"/>
            <w:vAlign w:val="bottom"/>
          </w:tcPr>
          <w:p>
            <w:pPr>
              <w:ind w:left="320"/>
              <w:spacing w:after="0"/>
              <w:rPr>
                <w:sz w:val="20"/>
                <w:szCs w:val="20"/>
                <w:color w:val="auto"/>
              </w:rPr>
            </w:pPr>
            <w:r>
              <w:rPr>
                <w:rFonts w:ascii="Arial" w:cs="Arial" w:eastAsia="Arial" w:hAnsi="Arial"/>
                <w:sz w:val="22"/>
                <w:szCs w:val="22"/>
                <w:color w:val="auto"/>
              </w:rPr>
              <w:t>• Adds Water Recycling &amp;</w:t>
            </w:r>
          </w:p>
        </w:tc>
        <w:tc>
          <w:tcPr>
            <w:tcW w:w="3220" w:type="dxa"/>
            <w:vAlign w:val="bottom"/>
          </w:tcPr>
          <w:p>
            <w:pPr>
              <w:ind w:left="180"/>
              <w:spacing w:after="0"/>
              <w:rPr>
                <w:sz w:val="20"/>
                <w:szCs w:val="20"/>
                <w:color w:val="auto"/>
              </w:rPr>
            </w:pPr>
            <w:r>
              <w:rPr>
                <w:rFonts w:ascii="Arial" w:cs="Arial" w:eastAsia="Arial" w:hAnsi="Arial"/>
                <w:sz w:val="22"/>
                <w:szCs w:val="22"/>
                <w:color w:val="auto"/>
              </w:rPr>
              <w:t>• Adds Liquid-Liquid solutions</w:t>
            </w:r>
          </w:p>
        </w:tc>
        <w:tc>
          <w:tcPr>
            <w:tcW w:w="0" w:type="dxa"/>
            <w:vAlign w:val="bottom"/>
          </w:tcPr>
          <w:p>
            <w:pPr>
              <w:spacing w:after="0"/>
              <w:rPr>
                <w:sz w:val="1"/>
                <w:szCs w:val="1"/>
                <w:color w:val="auto"/>
              </w:rPr>
            </w:pPr>
          </w:p>
        </w:tc>
      </w:tr>
      <w:tr>
        <w:trPr>
          <w:trHeight w:val="264"/>
        </w:trPr>
        <w:tc>
          <w:tcPr>
            <w:tcW w:w="3100" w:type="dxa"/>
            <w:vAlign w:val="bottom"/>
          </w:tcPr>
          <w:p>
            <w:pPr>
              <w:ind w:left="120"/>
              <w:spacing w:after="0"/>
              <w:rPr>
                <w:sz w:val="20"/>
                <w:szCs w:val="20"/>
                <w:color w:val="auto"/>
              </w:rPr>
            </w:pPr>
            <w:r>
              <w:rPr>
                <w:rFonts w:ascii="Arial" w:cs="Arial" w:eastAsia="Arial" w:hAnsi="Arial"/>
                <w:sz w:val="22"/>
                <w:szCs w:val="22"/>
                <w:color w:val="auto"/>
              </w:rPr>
              <w:t>Control Products and</w:t>
            </w:r>
          </w:p>
        </w:tc>
        <w:tc>
          <w:tcPr>
            <w:tcW w:w="3540" w:type="dxa"/>
            <w:vAlign w:val="bottom"/>
          </w:tcPr>
          <w:p>
            <w:pPr>
              <w:ind w:left="460"/>
              <w:spacing w:after="0"/>
              <w:rPr>
                <w:sz w:val="20"/>
                <w:szCs w:val="20"/>
                <w:color w:val="auto"/>
              </w:rPr>
            </w:pPr>
            <w:r>
              <w:rPr>
                <w:rFonts w:ascii="Arial" w:cs="Arial" w:eastAsia="Arial" w:hAnsi="Arial"/>
                <w:sz w:val="22"/>
                <w:szCs w:val="22"/>
                <w:color w:val="auto"/>
              </w:rPr>
              <w:t>Reuse and Energy Recovery</w:t>
            </w:r>
          </w:p>
        </w:tc>
        <w:tc>
          <w:tcPr>
            <w:tcW w:w="3220" w:type="dxa"/>
            <w:vAlign w:val="bottom"/>
            <w:vMerge w:val="restart"/>
          </w:tcPr>
          <w:p>
            <w:pPr>
              <w:ind w:left="180"/>
              <w:spacing w:after="0"/>
              <w:rPr>
                <w:sz w:val="20"/>
                <w:szCs w:val="20"/>
                <w:color w:val="auto"/>
              </w:rPr>
            </w:pPr>
            <w:r>
              <w:rPr>
                <w:rFonts w:ascii="Arial" w:cs="Arial" w:eastAsia="Arial" w:hAnsi="Arial"/>
                <w:sz w:val="22"/>
                <w:szCs w:val="22"/>
                <w:color w:val="auto"/>
                <w:w w:val="99"/>
              </w:rPr>
              <w:t>• Substantial global opportunity</w:t>
            </w:r>
          </w:p>
        </w:tc>
        <w:tc>
          <w:tcPr>
            <w:tcW w:w="0" w:type="dxa"/>
            <w:vAlign w:val="bottom"/>
          </w:tcPr>
          <w:p>
            <w:pPr>
              <w:spacing w:after="0"/>
              <w:rPr>
                <w:sz w:val="1"/>
                <w:szCs w:val="1"/>
                <w:color w:val="auto"/>
              </w:rPr>
            </w:pPr>
          </w:p>
        </w:tc>
      </w:tr>
      <w:tr>
        <w:trPr>
          <w:trHeight w:val="90"/>
        </w:trPr>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Custom Enclosures</w:t>
            </w:r>
          </w:p>
        </w:tc>
        <w:tc>
          <w:tcPr>
            <w:tcW w:w="354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100" w:type="dxa"/>
            <w:vAlign w:val="bottom"/>
            <w:vMerge w:val="continue"/>
          </w:tcPr>
          <w:p>
            <w:pPr>
              <w:spacing w:after="0"/>
              <w:rPr>
                <w:sz w:val="15"/>
                <w:szCs w:val="15"/>
                <w:color w:val="auto"/>
              </w:rPr>
            </w:pPr>
          </w:p>
        </w:tc>
        <w:tc>
          <w:tcPr>
            <w:tcW w:w="3540" w:type="dxa"/>
            <w:vAlign w:val="bottom"/>
            <w:vMerge w:val="restart"/>
          </w:tcPr>
          <w:p>
            <w:pPr>
              <w:ind w:left="320"/>
              <w:spacing w:after="0"/>
              <w:rPr>
                <w:sz w:val="20"/>
                <w:szCs w:val="20"/>
                <w:color w:val="auto"/>
              </w:rPr>
            </w:pPr>
            <w:r>
              <w:rPr>
                <w:rFonts w:ascii="Arial" w:cs="Arial" w:eastAsia="Arial" w:hAnsi="Arial"/>
                <w:sz w:val="22"/>
                <w:szCs w:val="22"/>
                <w:color w:val="auto"/>
              </w:rPr>
              <w:t>• Substantial global opportunity</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10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0"/>
                <w:szCs w:val="20"/>
                <w:color w:val="auto"/>
              </w:rPr>
            </w:pPr>
            <w:r>
              <w:rPr>
                <w:rFonts w:ascii="Arial" w:cs="Arial" w:eastAsia="Arial" w:hAnsi="Arial"/>
                <w:sz w:val="22"/>
                <w:szCs w:val="22"/>
                <w:color w:val="auto"/>
              </w:rPr>
              <w:t>• Substantial opportunity in</w:t>
            </w:r>
          </w:p>
        </w:tc>
        <w:tc>
          <w:tcPr>
            <w:tcW w:w="354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120"/>
              <w:spacing w:after="0"/>
              <w:rPr>
                <w:sz w:val="20"/>
                <w:szCs w:val="20"/>
                <w:color w:val="auto"/>
              </w:rPr>
            </w:pPr>
            <w:r>
              <w:rPr>
                <w:rFonts w:ascii="Arial" w:cs="Arial" w:eastAsia="Arial" w:hAnsi="Arial"/>
                <w:sz w:val="22"/>
                <w:szCs w:val="22"/>
                <w:color w:val="auto"/>
              </w:rPr>
              <w:t>datacenters</w:t>
            </w:r>
          </w:p>
        </w:tc>
        <w:tc>
          <w:tcPr>
            <w:tcW w:w="354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20" w:top="1090" w:right="880" w:bottom="0" w:gutter="0" w:footer="0" w:header="0"/>
        </w:sectPr>
      </w:pPr>
    </w:p>
    <w:p>
      <w:pPr>
        <w:spacing w:after="0" w:line="30" w:lineRule="exact"/>
        <w:rPr>
          <w:sz w:val="20"/>
          <w:szCs w:val="20"/>
          <w:color w:val="auto"/>
        </w:rPr>
      </w:pPr>
    </w:p>
    <w:p>
      <w:pPr>
        <w:ind w:left="6520"/>
        <w:spacing w:after="0"/>
        <w:tabs>
          <w:tab w:leader="none" w:pos="990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r>
        <w:rPr>
          <w:sz w:val="20"/>
          <w:szCs w:val="20"/>
          <w:color w:val="auto"/>
        </w:rPr>
        <w:tab/>
      </w:r>
      <w:r>
        <w:rPr>
          <w:rFonts w:ascii="Arial" w:cs="Arial" w:eastAsia="Arial" w:hAnsi="Arial"/>
          <w:sz w:val="24"/>
          <w:szCs w:val="24"/>
          <w:b w:val="1"/>
          <w:bCs w:val="1"/>
          <w:color w:val="auto"/>
        </w:rPr>
        <w:t>5</w:t>
      </w:r>
    </w:p>
    <w:p>
      <w:pPr>
        <w:sectPr>
          <w:pgSz w:w="11880" w:h="15480" w:orient="portrait"/>
          <w:cols w:equalWidth="0" w:num="1">
            <w:col w:w="10080"/>
          </w:cols>
          <w:pgMar w:left="920" w:top="1090" w:right="880" w:bottom="0" w:gutter="0" w:footer="0" w:header="0"/>
          <w:type w:val="continuous"/>
        </w:sectPr>
      </w:pPr>
    </w:p>
    <w:bookmarkStart w:id="7" w:name="page8"/>
    <w:bookmarkEnd w:id="7"/>
    <w:p>
      <w:pPr>
        <w:ind w:left="360"/>
        <w:spacing w:after="0"/>
        <w:rPr>
          <w:sz w:val="20"/>
          <w:szCs w:val="20"/>
          <w:color w:val="auto"/>
        </w:rPr>
      </w:pPr>
      <w:r>
        <w:rPr>
          <w:rFonts w:ascii="Arial" w:cs="Arial" w:eastAsia="Arial" w:hAnsi="Arial"/>
          <w:sz w:val="68"/>
          <w:szCs w:val="68"/>
          <w:color w:val="273D86"/>
          <w:shd w:val="clear" w:color="auto" w:fill="98B82F"/>
        </w:rPr>
        <w:t xml:space="preserve">CUSTOMER </w:t>
      </w:r>
      <w:r>
        <w:rPr>
          <w:rFonts w:ascii="Arial" w:cs="Arial" w:eastAsia="Arial" w:hAnsi="Arial"/>
          <w:sz w:val="68"/>
          <w:szCs w:val="68"/>
          <w:color w:val="273D86"/>
        </w:rPr>
        <w:t>HIGHLIGHTS</w:t>
      </w:r>
    </w:p>
    <w:p>
      <w:pPr>
        <w:spacing w:after="0" w:line="200" w:lineRule="exact"/>
        <w:rPr>
          <w:sz w:val="20"/>
          <w:szCs w:val="20"/>
          <w:color w:val="auto"/>
        </w:rPr>
      </w:pPr>
    </w:p>
    <w:p>
      <w:pPr>
        <w:spacing w:after="0" w:line="217" w:lineRule="exact"/>
        <w:rPr>
          <w:sz w:val="20"/>
          <w:szCs w:val="20"/>
          <w:color w:val="auto"/>
        </w:rPr>
      </w:pPr>
    </w:p>
    <w:p>
      <w:pPr>
        <w:ind w:left="360" w:right="20"/>
        <w:spacing w:after="0" w:line="329" w:lineRule="auto"/>
        <w:rPr>
          <w:sz w:val="20"/>
          <w:szCs w:val="20"/>
          <w:color w:val="auto"/>
        </w:rPr>
      </w:pPr>
      <w:r>
        <w:rPr>
          <w:rFonts w:ascii="Arial" w:cs="Arial" w:eastAsia="Arial" w:hAnsi="Arial"/>
          <w:sz w:val="27"/>
          <w:szCs w:val="27"/>
          <w:color w:val="273D86"/>
        </w:rPr>
        <w:t>Providing solutions for key emerging industries supports CECO’s mission to protect people, the environment and industrial equipment. These projects represent just a few areas of increased focus and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384175</wp:posOffset>
            </wp:positionV>
            <wp:extent cx="6400800" cy="2794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extLst>
                    </a:blip>
                    <a:srcRect/>
                    <a:stretch>
                      <a:fillRect/>
                    </a:stretch>
                  </pic:blipFill>
                  <pic:spPr bwMode="auto">
                    <a:xfrm>
                      <a:off x="0" y="0"/>
                      <a:ext cx="6400800"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80"/>
        <w:spacing w:after="0"/>
        <w:rPr>
          <w:sz w:val="20"/>
          <w:szCs w:val="20"/>
          <w:color w:val="auto"/>
        </w:rPr>
      </w:pPr>
      <w:r>
        <w:rPr>
          <w:rFonts w:ascii="Arial" w:cs="Arial" w:eastAsia="Arial" w:hAnsi="Arial"/>
          <w:sz w:val="28"/>
          <w:szCs w:val="28"/>
          <w:color w:val="273D86"/>
        </w:rPr>
        <w:t>COMMERCIAL LAUNDRY</w:t>
      </w:r>
    </w:p>
    <w:p>
      <w:pPr>
        <w:spacing w:after="0" w:line="30" w:lineRule="exact"/>
        <w:rPr>
          <w:sz w:val="20"/>
          <w:szCs w:val="20"/>
          <w:color w:val="auto"/>
        </w:rPr>
      </w:pPr>
    </w:p>
    <w:p>
      <w:pPr>
        <w:ind w:left="4080" w:right="220"/>
        <w:spacing w:after="0" w:line="257"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Commercial Laundry Operation Recycles Wastewater to</w:t>
      </w:r>
      <w:r>
        <w:rPr>
          <w:rFonts w:ascii="Arial" w:cs="Arial" w:eastAsia="Arial" w:hAnsi="Arial"/>
          <w:sz w:val="18"/>
          <w:szCs w:val="18"/>
          <w:b w:val="1"/>
          <w:bCs w:val="1"/>
          <w:color w:val="auto"/>
        </w:rPr>
        <w:t xml:space="preserve"> </w:t>
      </w:r>
      <w:r>
        <w:rPr>
          <w:rFonts w:ascii="Arial" w:cs="Arial" w:eastAsia="Arial" w:hAnsi="Arial"/>
          <w:sz w:val="18"/>
          <w:szCs w:val="18"/>
          <w:color w:val="auto"/>
        </w:rPr>
        <w:t>Reduce Annual Water Usage and Overall Production Costs.</w:t>
      </w:r>
    </w:p>
    <w:p>
      <w:pPr>
        <w:spacing w:after="0" w:line="61" w:lineRule="exact"/>
        <w:rPr>
          <w:sz w:val="20"/>
          <w:szCs w:val="20"/>
          <w:color w:val="auto"/>
        </w:rPr>
      </w:pPr>
    </w:p>
    <w:p>
      <w:pPr>
        <w:ind w:left="4080" w:right="600"/>
        <w:spacing w:after="0" w:line="257" w:lineRule="auto"/>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Patented Kemco KLEENWATER™ System,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ceramic microfiltration and reverse osmosis.</w:t>
      </w:r>
    </w:p>
    <w:p>
      <w:pPr>
        <w:spacing w:after="0" w:line="61" w:lineRule="exact"/>
        <w:rPr>
          <w:sz w:val="20"/>
          <w:szCs w:val="20"/>
          <w:color w:val="auto"/>
        </w:rPr>
      </w:pPr>
    </w:p>
    <w:p>
      <w:pPr>
        <w:jc w:val="both"/>
        <w:ind w:left="4080" w:right="460"/>
        <w:spacing w:after="0" w:line="254"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The Kemco KLEENWATER™ System provides a cost-effective means of combating rising water and sewer costs while remaining within water credit limitations.</w:t>
      </w:r>
    </w:p>
    <w:p>
      <w:pPr>
        <w:spacing w:after="0" w:line="63" w:lineRule="exact"/>
        <w:rPr>
          <w:sz w:val="20"/>
          <w:szCs w:val="20"/>
          <w:color w:val="auto"/>
        </w:rPr>
      </w:pPr>
    </w:p>
    <w:p>
      <w:pPr>
        <w:ind w:left="4080" w:right="220"/>
        <w:spacing w:after="0" w:line="254" w:lineRule="auto"/>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The system was installed using a phased approach,</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the customer to adjust processes as needed in preparation for total system installation.</w:t>
      </w:r>
    </w:p>
    <w:p>
      <w:pPr>
        <w:spacing w:after="0" w:line="63" w:lineRule="exact"/>
        <w:rPr>
          <w:sz w:val="20"/>
          <w:szCs w:val="20"/>
          <w:color w:val="auto"/>
        </w:rPr>
      </w:pPr>
    </w:p>
    <w:p>
      <w:pPr>
        <w:ind w:left="4080"/>
        <w:spacing w:after="0" w:line="270" w:lineRule="auto"/>
        <w:rPr>
          <w:sz w:val="20"/>
          <w:szCs w:val="20"/>
          <w:color w:val="auto"/>
        </w:rPr>
      </w:pPr>
      <w:r>
        <w:rPr>
          <w:rFonts w:ascii="Arial" w:cs="Arial" w:eastAsia="Arial" w:hAnsi="Arial"/>
          <w:sz w:val="17"/>
          <w:szCs w:val="17"/>
          <w:b w:val="1"/>
          <w:bCs w:val="1"/>
          <w:color w:val="auto"/>
        </w:rPr>
        <w:t xml:space="preserve">Key Environmental Impact: </w:t>
      </w:r>
      <w:r>
        <w:rPr>
          <w:rFonts w:ascii="Arial" w:cs="Arial" w:eastAsia="Arial" w:hAnsi="Arial"/>
          <w:sz w:val="17"/>
          <w:szCs w:val="17"/>
          <w:color w:val="auto"/>
        </w:rPr>
        <w:t>Phase one of the system</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protects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environment </w:t>
      </w:r>
      <w:r>
        <w:rPr>
          <w:rFonts w:ascii="Arial" w:cs="Arial" w:eastAsia="Arial" w:hAnsi="Arial"/>
          <w:sz w:val="17"/>
          <w:szCs w:val="17"/>
          <w:color w:val="auto"/>
        </w:rPr>
        <w:t>by recycling 50% of the wastewater, removing the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suspended solids (TSS) and fats, oils and greases (FOGs) while removing emulsified, suspended and dissolved contaminants including per-and polyfluoroalkyl substances (PFAS) and microplastics.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316865</wp:posOffset>
            </wp:positionV>
            <wp:extent cx="6400800" cy="2794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extLst>
                    </a:blip>
                    <a:srcRect/>
                    <a:stretch>
                      <a:fillRect/>
                    </a:stretch>
                  </pic:blipFill>
                  <pic:spPr bwMode="auto">
                    <a:xfrm>
                      <a:off x="0" y="0"/>
                      <a:ext cx="6400800"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80"/>
        <w:spacing w:after="0"/>
        <w:rPr>
          <w:sz w:val="20"/>
          <w:szCs w:val="20"/>
          <w:color w:val="auto"/>
        </w:rPr>
      </w:pPr>
      <w:r>
        <w:rPr>
          <w:rFonts w:ascii="Arial" w:cs="Arial" w:eastAsia="Arial" w:hAnsi="Arial"/>
          <w:sz w:val="28"/>
          <w:szCs w:val="28"/>
          <w:color w:val="273D86"/>
        </w:rPr>
        <w:t>BEV CAN</w:t>
      </w:r>
    </w:p>
    <w:p>
      <w:pPr>
        <w:spacing w:after="0" w:line="30" w:lineRule="exact"/>
        <w:rPr>
          <w:sz w:val="20"/>
          <w:szCs w:val="20"/>
          <w:color w:val="auto"/>
        </w:rPr>
      </w:pPr>
    </w:p>
    <w:p>
      <w:pPr>
        <w:ind w:left="4080" w:right="120"/>
        <w:spacing w:after="0" w:line="257"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Aluminum Beverage Can Manufacturing Facility Combats</w:t>
      </w:r>
      <w:r>
        <w:rPr>
          <w:rFonts w:ascii="Arial" w:cs="Arial" w:eastAsia="Arial" w:hAnsi="Arial"/>
          <w:sz w:val="18"/>
          <w:szCs w:val="18"/>
          <w:b w:val="1"/>
          <w:bCs w:val="1"/>
          <w:color w:val="auto"/>
        </w:rPr>
        <w:t xml:space="preserve"> </w:t>
      </w:r>
      <w:r>
        <w:rPr>
          <w:rFonts w:ascii="Arial" w:cs="Arial" w:eastAsia="Arial" w:hAnsi="Arial"/>
          <w:sz w:val="18"/>
          <w:szCs w:val="18"/>
          <w:color w:val="auto"/>
        </w:rPr>
        <w:t>Water Scarcity by Recovering 90% of Wash Water.</w:t>
      </w:r>
    </w:p>
    <w:p>
      <w:pPr>
        <w:spacing w:after="0" w:line="61" w:lineRule="exact"/>
        <w:rPr>
          <w:sz w:val="20"/>
          <w:szCs w:val="20"/>
          <w:color w:val="auto"/>
        </w:rPr>
      </w:pPr>
    </w:p>
    <w:p>
      <w:pPr>
        <w:ind w:left="4080" w:right="20"/>
        <w:spacing w:after="0" w:line="254" w:lineRule="auto"/>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Nanofiltration system and patented Kemco KLEENWATER™</w:t>
      </w:r>
      <w:r>
        <w:rPr>
          <w:rFonts w:ascii="Arial" w:cs="Arial" w:eastAsia="Arial" w:hAnsi="Arial"/>
          <w:sz w:val="18"/>
          <w:szCs w:val="18"/>
          <w:b w:val="1"/>
          <w:bCs w:val="1"/>
          <w:color w:val="auto"/>
        </w:rPr>
        <w:t xml:space="preserve"> </w:t>
      </w:r>
      <w:r>
        <w:rPr>
          <w:rFonts w:ascii="Arial" w:cs="Arial" w:eastAsia="Arial" w:hAnsi="Arial"/>
          <w:sz w:val="18"/>
          <w:szCs w:val="18"/>
          <w:color w:val="auto"/>
        </w:rPr>
        <w:t>System, including ceramic ultrafiltration and wastewater reverse osmosis to remove total dissolved solids.</w:t>
      </w:r>
    </w:p>
    <w:p>
      <w:pPr>
        <w:spacing w:after="0" w:line="63" w:lineRule="exact"/>
        <w:rPr>
          <w:sz w:val="20"/>
          <w:szCs w:val="20"/>
          <w:color w:val="auto"/>
        </w:rPr>
      </w:pPr>
    </w:p>
    <w:p>
      <w:pPr>
        <w:ind w:left="4080" w:right="480"/>
        <w:spacing w:after="0" w:line="254"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Kemco designed, installed and commissioned a water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and wastewater recycling system to meet stringent municipal water and wastewater limitations.</w:t>
      </w:r>
    </w:p>
    <w:p>
      <w:pPr>
        <w:spacing w:after="0" w:line="63" w:lineRule="exact"/>
        <w:rPr>
          <w:sz w:val="20"/>
          <w:szCs w:val="20"/>
          <w:color w:val="auto"/>
        </w:rPr>
      </w:pPr>
    </w:p>
    <w:p>
      <w:pPr>
        <w:ind w:left="4080" w:right="20"/>
        <w:spacing w:after="0" w:line="276" w:lineRule="auto"/>
        <w:rPr>
          <w:sz w:val="20"/>
          <w:szCs w:val="20"/>
          <w:color w:val="auto"/>
        </w:rPr>
      </w:pPr>
      <w:r>
        <w:rPr>
          <w:rFonts w:ascii="Arial" w:cs="Arial" w:eastAsia="Arial" w:hAnsi="Arial"/>
          <w:sz w:val="17"/>
          <w:szCs w:val="17"/>
          <w:b w:val="1"/>
          <w:bCs w:val="1"/>
          <w:color w:val="auto"/>
        </w:rPr>
        <w:t xml:space="preserve">Key Value: </w:t>
      </w:r>
      <w:r>
        <w:rPr>
          <w:rFonts w:ascii="Arial" w:cs="Arial" w:eastAsia="Arial" w:hAnsi="Arial"/>
          <w:sz w:val="17"/>
          <w:szCs w:val="17"/>
          <w:color w:val="auto"/>
        </w:rPr>
        <w:t>The wastewater system produces minimal waste permeate</w:t>
      </w:r>
      <w:r>
        <w:rPr>
          <w:rFonts w:ascii="Arial" w:cs="Arial" w:eastAsia="Arial" w:hAnsi="Arial"/>
          <w:sz w:val="17"/>
          <w:szCs w:val="17"/>
          <w:b w:val="1"/>
          <w:bCs w:val="1"/>
          <w:color w:val="auto"/>
        </w:rPr>
        <w:t xml:space="preserve"> </w:t>
      </w:r>
      <w:r>
        <w:rPr>
          <w:rFonts w:ascii="Arial" w:cs="Arial" w:eastAsia="Arial" w:hAnsi="Arial"/>
          <w:sz w:val="17"/>
          <w:szCs w:val="17"/>
          <w:color w:val="auto"/>
        </w:rPr>
        <w:t>(water passing through the membrane), which is required by Publicly Owned Treatment Works (POTW) to be hauled for disposal.</w:t>
      </w:r>
    </w:p>
    <w:p>
      <w:pPr>
        <w:spacing w:after="0" w:line="46" w:lineRule="exact"/>
        <w:rPr>
          <w:sz w:val="20"/>
          <w:szCs w:val="20"/>
          <w:color w:val="auto"/>
        </w:rPr>
      </w:pPr>
    </w:p>
    <w:p>
      <w:pPr>
        <w:ind w:left="4080" w:right="100"/>
        <w:spacing w:after="0" w:line="252" w:lineRule="auto"/>
        <w:rPr>
          <w:sz w:val="20"/>
          <w:szCs w:val="20"/>
          <w:color w:val="auto"/>
        </w:rPr>
      </w:pPr>
      <w:r>
        <w:rPr>
          <w:rFonts w:ascii="Arial" w:cs="Arial" w:eastAsia="Arial" w:hAnsi="Arial"/>
          <w:sz w:val="18"/>
          <w:szCs w:val="18"/>
          <w:b w:val="1"/>
          <w:bCs w:val="1"/>
          <w:color w:val="auto"/>
        </w:rPr>
        <w:t xml:space="preserve">Key Environmental Impact: </w:t>
      </w:r>
      <w:r>
        <w:rPr>
          <w:rFonts w:ascii="Arial" w:cs="Arial" w:eastAsia="Arial" w:hAnsi="Arial"/>
          <w:sz w:val="18"/>
          <w:szCs w:val="18"/>
          <w:color w:val="auto"/>
        </w:rPr>
        <w:t>The system recycles 90% of daily wash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water, or approximately 85,500 gallons per day, which </w:t>
      </w:r>
      <w:r>
        <w:rPr>
          <w:rFonts w:ascii="Arial" w:cs="Arial" w:eastAsia="Arial" w:hAnsi="Arial"/>
          <w:sz w:val="18"/>
          <w:szCs w:val="18"/>
          <w:b w:val="1"/>
          <w:bCs w:val="1"/>
          <w:i w:val="1"/>
          <w:iCs w:val="1"/>
          <w:color w:val="auto"/>
        </w:rPr>
        <w:t>protects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environment </w:t>
      </w:r>
      <w:r>
        <w:rPr>
          <w:rFonts w:ascii="Arial" w:cs="Arial" w:eastAsia="Arial" w:hAnsi="Arial"/>
          <w:sz w:val="18"/>
          <w:szCs w:val="18"/>
          <w:color w:val="auto"/>
        </w:rPr>
        <w:t>through recycled water usage and provides people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clean water for beverage production.</w:t>
      </w:r>
    </w:p>
    <w:p>
      <w:pPr>
        <w:sectPr>
          <w:pgSz w:w="11880" w:h="15480" w:orient="portrait"/>
          <w:cols w:equalWidth="0" w:num="1">
            <w:col w:w="9680"/>
          </w:cols>
          <w:pgMar w:left="900" w:top="109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b w:val="1"/>
          <w:bCs w:val="1"/>
          <w:color w:val="auto"/>
        </w:rPr>
        <w:t>6</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p>
    <w:p>
      <w:pPr>
        <w:sectPr>
          <w:pgSz w:w="11880" w:h="15480" w:orient="portrait"/>
          <w:cols w:equalWidth="0" w:num="1">
            <w:col w:w="9680"/>
          </w:cols>
          <w:pgMar w:left="900" w:top="1090" w:right="1300" w:bottom="0" w:gutter="0" w:footer="0" w:header="0"/>
          <w:type w:val="continuous"/>
        </w:sectPr>
      </w:pPr>
    </w:p>
    <w:bookmarkStart w:id="8" w:name="page9"/>
    <w:bookmarkEnd w:id="8"/>
    <w:p>
      <w:pPr>
        <w:ind w:left="3540"/>
        <w:spacing w:after="0"/>
        <w:rPr>
          <w:sz w:val="20"/>
          <w:szCs w:val="20"/>
          <w:color w:val="auto"/>
        </w:rPr>
      </w:pPr>
      <w:r>
        <w:rPr>
          <w:rFonts w:ascii="Arial" w:cs="Arial" w:eastAsia="Arial" w:hAnsi="Arial"/>
          <w:sz w:val="28"/>
          <w:szCs w:val="28"/>
          <w:color w:val="273D86"/>
        </w:rPr>
        <w:drawing>
          <wp:anchor simplePos="0" relativeHeight="251657728" behindDoc="1" locked="0" layoutInCell="0" allowOverlap="1">
            <wp:simplePos x="0" y="0"/>
            <wp:positionH relativeFrom="page">
              <wp:posOffset>571500</wp:posOffset>
            </wp:positionH>
            <wp:positionV relativeFrom="page">
              <wp:posOffset>571500</wp:posOffset>
            </wp:positionV>
            <wp:extent cx="6400800" cy="2794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extLst>
                    </a:blip>
                    <a:srcRect/>
                    <a:stretch>
                      <a:fillRect/>
                    </a:stretch>
                  </pic:blipFill>
                  <pic:spPr bwMode="auto">
                    <a:xfrm>
                      <a:off x="0" y="0"/>
                      <a:ext cx="6400800" cy="2794000"/>
                    </a:xfrm>
                    <a:prstGeom prst="rect">
                      <a:avLst/>
                    </a:prstGeom>
                    <a:noFill/>
                  </pic:spPr>
                </pic:pic>
              </a:graphicData>
            </a:graphic>
          </wp:anchor>
        </w:drawing>
        <w:t>EV BATTERY</w:t>
      </w:r>
    </w:p>
    <w:p>
      <w:pPr>
        <w:spacing w:after="0" w:line="30" w:lineRule="exact"/>
        <w:rPr>
          <w:sz w:val="20"/>
          <w:szCs w:val="20"/>
          <w:color w:val="auto"/>
        </w:rPr>
      </w:pPr>
    </w:p>
    <w:p>
      <w:pPr>
        <w:ind w:left="3540" w:right="600"/>
        <w:spacing w:after="0" w:line="254"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Supporting new plant expansion of a leading automotive</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 for the most advanced and efficient battery manufacturing processes.</w:t>
      </w:r>
    </w:p>
    <w:p>
      <w:pPr>
        <w:spacing w:after="0" w:line="63" w:lineRule="exact"/>
        <w:rPr>
          <w:sz w:val="20"/>
          <w:szCs w:val="20"/>
          <w:color w:val="auto"/>
        </w:rPr>
      </w:pPr>
    </w:p>
    <w:p>
      <w:pPr>
        <w:ind w:left="3540" w:right="760"/>
        <w:spacing w:after="0" w:line="254"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KB Duct and Kirk &amp; Blum manufactured and installed</w:t>
      </w:r>
      <w:r>
        <w:rPr>
          <w:rFonts w:ascii="Arial" w:cs="Arial" w:eastAsia="Arial" w:hAnsi="Arial"/>
          <w:sz w:val="18"/>
          <w:szCs w:val="18"/>
          <w:b w:val="1"/>
          <w:bCs w:val="1"/>
          <w:color w:val="auto"/>
        </w:rPr>
        <w:t xml:space="preserve"> </w:t>
      </w:r>
      <w:r>
        <w:rPr>
          <w:rFonts w:ascii="Arial" w:cs="Arial" w:eastAsia="Arial" w:hAnsi="Arial"/>
          <w:sz w:val="18"/>
          <w:szCs w:val="18"/>
          <w:color w:val="auto"/>
        </w:rPr>
        <w:t>over 5 miles of duct tubing, sleeves and fittings. This included over 6,000 pieces of duct, 9,000 clamps and 21,000 hangers.</w:t>
      </w:r>
    </w:p>
    <w:p>
      <w:pPr>
        <w:spacing w:after="0" w:line="63" w:lineRule="exact"/>
        <w:rPr>
          <w:sz w:val="20"/>
          <w:szCs w:val="20"/>
          <w:color w:val="auto"/>
        </w:rPr>
      </w:pPr>
    </w:p>
    <w:p>
      <w:pPr>
        <w:jc w:val="both"/>
        <w:ind w:left="3540" w:right="440"/>
        <w:spacing w:after="0" w:line="276" w:lineRule="auto"/>
        <w:rPr>
          <w:sz w:val="20"/>
          <w:szCs w:val="20"/>
          <w:color w:val="auto"/>
        </w:rPr>
      </w:pPr>
      <w:r>
        <w:rPr>
          <w:rFonts w:ascii="Arial" w:cs="Arial" w:eastAsia="Arial" w:hAnsi="Arial"/>
          <w:sz w:val="17"/>
          <w:szCs w:val="17"/>
          <w:b w:val="1"/>
          <w:bCs w:val="1"/>
          <w:color w:val="auto"/>
        </w:rPr>
        <w:t xml:space="preserve">Solution: </w:t>
      </w:r>
      <w:r>
        <w:rPr>
          <w:rFonts w:ascii="Arial" w:cs="Arial" w:eastAsia="Arial" w:hAnsi="Arial"/>
          <w:sz w:val="17"/>
          <w:szCs w:val="17"/>
          <w:color w:val="auto"/>
        </w:rPr>
        <w:t>KB Duct manufactured and built to customer specifications with</w:t>
      </w:r>
      <w:r>
        <w:rPr>
          <w:rFonts w:ascii="Arial" w:cs="Arial" w:eastAsia="Arial" w:hAnsi="Arial"/>
          <w:sz w:val="17"/>
          <w:szCs w:val="17"/>
          <w:b w:val="1"/>
          <w:bCs w:val="1"/>
          <w:color w:val="auto"/>
        </w:rPr>
        <w:t xml:space="preserve"> </w:t>
      </w:r>
      <w:r>
        <w:rPr>
          <w:rFonts w:ascii="Arial" w:cs="Arial" w:eastAsia="Arial" w:hAnsi="Arial"/>
          <w:sz w:val="17"/>
          <w:szCs w:val="17"/>
          <w:color w:val="auto"/>
        </w:rPr>
        <w:t>Kirk &amp; Blum providing installation to meet environmental compliance and support efficiency requirements in customer’s fume exhaust system.</w:t>
      </w:r>
    </w:p>
    <w:p>
      <w:pPr>
        <w:spacing w:after="0" w:line="46" w:lineRule="exact"/>
        <w:rPr>
          <w:sz w:val="20"/>
          <w:szCs w:val="20"/>
          <w:color w:val="auto"/>
        </w:rPr>
      </w:pPr>
    </w:p>
    <w:p>
      <w:pPr>
        <w:ind w:left="3540" w:right="400"/>
        <w:spacing w:after="0" w:line="319" w:lineRule="auto"/>
        <w:rPr>
          <w:sz w:val="20"/>
          <w:szCs w:val="20"/>
          <w:color w:val="auto"/>
        </w:rPr>
      </w:pPr>
      <w:r>
        <w:rPr>
          <w:rFonts w:ascii="Arial" w:cs="Arial" w:eastAsia="Arial" w:hAnsi="Arial"/>
          <w:sz w:val="16"/>
          <w:szCs w:val="16"/>
          <w:b w:val="1"/>
          <w:bCs w:val="1"/>
          <w:color w:val="auto"/>
        </w:rPr>
        <w:t xml:space="preserve">Key Value: </w:t>
      </w:r>
      <w:r>
        <w:rPr>
          <w:rFonts w:ascii="Arial" w:cs="Arial" w:eastAsia="Arial" w:hAnsi="Arial"/>
          <w:sz w:val="16"/>
          <w:szCs w:val="16"/>
          <w:color w:val="auto"/>
        </w:rPr>
        <w:t>CECO manufactured a solution that provided installation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 on a 2.6m/sq. ft. facility and reduced system leakage by over 22%.</w:t>
      </w:r>
    </w:p>
    <w:p>
      <w:pPr>
        <w:spacing w:after="0" w:line="15" w:lineRule="exact"/>
        <w:rPr>
          <w:sz w:val="20"/>
          <w:szCs w:val="20"/>
          <w:color w:val="auto"/>
        </w:rPr>
      </w:pPr>
    </w:p>
    <w:p>
      <w:pPr>
        <w:ind w:left="3540" w:right="780"/>
        <w:spacing w:after="0" w:line="252" w:lineRule="auto"/>
        <w:rPr>
          <w:sz w:val="20"/>
          <w:szCs w:val="20"/>
          <w:color w:val="auto"/>
        </w:rPr>
      </w:pPr>
      <w:r>
        <w:rPr>
          <w:rFonts w:ascii="Arial" w:cs="Arial" w:eastAsia="Arial" w:hAnsi="Arial"/>
          <w:sz w:val="18"/>
          <w:szCs w:val="18"/>
          <w:b w:val="1"/>
          <w:bCs w:val="1"/>
          <w:color w:val="auto"/>
        </w:rPr>
        <w:t xml:space="preserve">Key Environmental Impact: </w:t>
      </w:r>
      <w:r>
        <w:rPr>
          <w:rFonts w:ascii="Arial" w:cs="Arial" w:eastAsia="Arial" w:hAnsi="Arial"/>
          <w:sz w:val="18"/>
          <w:szCs w:val="18"/>
          <w:color w:val="auto"/>
        </w:rPr>
        <w:t>Providing a duct system with a 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leakage rate helps ensure the fume exhaust system can </w:t>
      </w:r>
      <w:r>
        <w:rPr>
          <w:rFonts w:ascii="Arial" w:cs="Arial" w:eastAsia="Arial" w:hAnsi="Arial"/>
          <w:sz w:val="18"/>
          <w:szCs w:val="18"/>
          <w:b w:val="1"/>
          <w:bCs w:val="1"/>
          <w:i w:val="1"/>
          <w:iCs w:val="1"/>
          <w:color w:val="auto"/>
        </w:rPr>
        <w:t>protect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people and the environment </w:t>
      </w:r>
      <w:r>
        <w:rPr>
          <w:rFonts w:ascii="Arial" w:cs="Arial" w:eastAsia="Arial" w:hAnsi="Arial"/>
          <w:sz w:val="18"/>
          <w:szCs w:val="18"/>
          <w:color w:val="auto"/>
        </w:rPr>
        <w:t>by safely containing and ventilating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hazardous fumes, vapors, gases and dust generated by chemical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256540</wp:posOffset>
            </wp:positionV>
            <wp:extent cx="6400800" cy="2794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0">
                      <a:extLst>
                        <a:ext uri="{28A0092B-C50C-407E-A947-70E740481C1C}"/>
                      </a:extLst>
                    </a:blip>
                    <a:srcRect/>
                    <a:stretch>
                      <a:fillRect/>
                    </a:stretch>
                  </pic:blipFill>
                  <pic:spPr bwMode="auto">
                    <a:xfrm>
                      <a:off x="0" y="0"/>
                      <a:ext cx="6400800"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540"/>
        <w:spacing w:after="0"/>
        <w:rPr>
          <w:sz w:val="20"/>
          <w:szCs w:val="20"/>
          <w:color w:val="auto"/>
        </w:rPr>
      </w:pPr>
      <w:r>
        <w:rPr>
          <w:rFonts w:ascii="Arial" w:cs="Arial" w:eastAsia="Arial" w:hAnsi="Arial"/>
          <w:sz w:val="28"/>
          <w:szCs w:val="28"/>
          <w:color w:val="273D86"/>
        </w:rPr>
        <w:t>PETROCHEMICAL PROCESSING</w:t>
      </w:r>
    </w:p>
    <w:p>
      <w:pPr>
        <w:spacing w:after="0" w:line="18" w:lineRule="exact"/>
        <w:rPr>
          <w:sz w:val="20"/>
          <w:szCs w:val="20"/>
          <w:color w:val="auto"/>
        </w:rPr>
      </w:pPr>
    </w:p>
    <w:p>
      <w:pPr>
        <w:ind w:left="3540" w:right="640"/>
        <w:spacing w:after="0" w:line="233"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A Carbon fiber production plant removes lethal gases</w:t>
      </w:r>
      <w:r>
        <w:rPr>
          <w:rFonts w:ascii="Arial" w:cs="Arial" w:eastAsia="Arial" w:hAnsi="Arial"/>
          <w:sz w:val="18"/>
          <w:szCs w:val="18"/>
          <w:b w:val="1"/>
          <w:bCs w:val="1"/>
          <w:color w:val="auto"/>
        </w:rPr>
        <w:t xml:space="preserve"> </w:t>
      </w:r>
      <w:r>
        <w:rPr>
          <w:rFonts w:ascii="Arial" w:cs="Arial" w:eastAsia="Arial" w:hAnsi="Arial"/>
          <w:sz w:val="18"/>
          <w:szCs w:val="18"/>
          <w:color w:val="auto"/>
        </w:rPr>
        <w:t>from process streams with a leakproof design and multiple safety interlocks to ensure the least amount of downtime and a safe working environment.</w:t>
      </w:r>
    </w:p>
    <w:p>
      <w:pPr>
        <w:spacing w:after="0" w:line="68" w:lineRule="exact"/>
        <w:rPr>
          <w:sz w:val="20"/>
          <w:szCs w:val="20"/>
          <w:color w:val="auto"/>
        </w:rPr>
      </w:pPr>
    </w:p>
    <w:p>
      <w:pPr>
        <w:ind w:left="3540" w:right="460"/>
        <w:spacing w:after="0" w:line="235"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Complete Adwest Regenerative Thermal Oxidizer (RTO) and</w:t>
      </w:r>
      <w:r>
        <w:rPr>
          <w:rFonts w:ascii="Arial" w:cs="Arial" w:eastAsia="Arial" w:hAnsi="Arial"/>
          <w:sz w:val="18"/>
          <w:szCs w:val="18"/>
          <w:b w:val="1"/>
          <w:bCs w:val="1"/>
          <w:color w:val="auto"/>
        </w:rPr>
        <w:t xml:space="preserve"> </w:t>
      </w:r>
      <w:r>
        <w:rPr>
          <w:rFonts w:ascii="Arial" w:cs="Arial" w:eastAsia="Arial" w:hAnsi="Arial"/>
          <w:sz w:val="18"/>
          <w:szCs w:val="18"/>
          <w:color w:val="auto"/>
        </w:rPr>
        <w:t>Peerless Select Catalytic Reduction (SCR) System.</w:t>
      </w:r>
    </w:p>
    <w:p>
      <w:pPr>
        <w:spacing w:after="0" w:line="67" w:lineRule="exact"/>
        <w:rPr>
          <w:sz w:val="20"/>
          <w:szCs w:val="20"/>
          <w:color w:val="auto"/>
        </w:rPr>
      </w:pPr>
    </w:p>
    <w:p>
      <w:pPr>
        <w:ind w:left="3540" w:right="420"/>
        <w:spacing w:after="0" w:line="235"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CECO supplied a complete system that treats the Acrylonitrile</w:t>
      </w:r>
      <w:r>
        <w:rPr>
          <w:rFonts w:ascii="Arial" w:cs="Arial" w:eastAsia="Arial" w:hAnsi="Arial"/>
          <w:sz w:val="18"/>
          <w:szCs w:val="18"/>
          <w:b w:val="1"/>
          <w:bCs w:val="1"/>
          <w:color w:val="auto"/>
        </w:rPr>
        <w:t xml:space="preserve"> </w:t>
      </w:r>
      <w:r>
        <w:rPr>
          <w:rFonts w:ascii="Arial" w:cs="Arial" w:eastAsia="Arial" w:hAnsi="Arial"/>
          <w:sz w:val="18"/>
          <w:szCs w:val="18"/>
          <w:color w:val="auto"/>
        </w:rPr>
        <w:t>rather than burning it as is done in other systems.</w:t>
      </w:r>
    </w:p>
    <w:p>
      <w:pPr>
        <w:spacing w:after="0" w:line="67" w:lineRule="exact"/>
        <w:rPr>
          <w:sz w:val="20"/>
          <w:szCs w:val="20"/>
          <w:color w:val="auto"/>
        </w:rPr>
      </w:pPr>
    </w:p>
    <w:p>
      <w:pPr>
        <w:ind w:left="3540" w:right="420"/>
        <w:spacing w:after="0" w:line="270" w:lineRule="auto"/>
        <w:rPr>
          <w:sz w:val="20"/>
          <w:szCs w:val="20"/>
          <w:color w:val="auto"/>
        </w:rPr>
      </w:pPr>
      <w:r>
        <w:rPr>
          <w:rFonts w:ascii="Arial" w:cs="Arial" w:eastAsia="Arial" w:hAnsi="Arial"/>
          <w:sz w:val="16"/>
          <w:szCs w:val="16"/>
          <w:b w:val="1"/>
          <w:bCs w:val="1"/>
          <w:color w:val="auto"/>
        </w:rPr>
        <w:t xml:space="preserve">Key Value: </w:t>
      </w:r>
      <w:r>
        <w:rPr>
          <w:rFonts w:ascii="Arial" w:cs="Arial" w:eastAsia="Arial" w:hAnsi="Arial"/>
          <w:sz w:val="16"/>
          <w:szCs w:val="16"/>
          <w:color w:val="auto"/>
        </w:rPr>
        <w:t>The RTO is critical to the manufacturing process and offers</w:t>
      </w:r>
      <w:r>
        <w:rPr>
          <w:rFonts w:ascii="Arial" w:cs="Arial" w:eastAsia="Arial" w:hAnsi="Arial"/>
          <w:sz w:val="16"/>
          <w:szCs w:val="16"/>
          <w:b w:val="1"/>
          <w:bCs w:val="1"/>
          <w:color w:val="auto"/>
        </w:rPr>
        <w:t xml:space="preserve"> </w:t>
      </w:r>
      <w:r>
        <w:rPr>
          <w:rFonts w:ascii="Arial" w:cs="Arial" w:eastAsia="Arial" w:hAnsi="Arial"/>
          <w:sz w:val="16"/>
          <w:szCs w:val="16"/>
          <w:color w:val="auto"/>
        </w:rPr>
        <w:t>a 99%+ leakproof design and high destruction removal efficiency (DRE). This system was designed with multiple safety interlocks to operate continuously without downtime and provides optimal safety measures.</w:t>
      </w:r>
    </w:p>
    <w:p>
      <w:pPr>
        <w:spacing w:after="0" w:line="44" w:lineRule="exact"/>
        <w:rPr>
          <w:sz w:val="20"/>
          <w:szCs w:val="20"/>
          <w:color w:val="auto"/>
        </w:rPr>
      </w:pPr>
    </w:p>
    <w:p>
      <w:pPr>
        <w:ind w:left="3540" w:right="620"/>
        <w:spacing w:after="0" w:line="274" w:lineRule="auto"/>
        <w:rPr>
          <w:sz w:val="20"/>
          <w:szCs w:val="20"/>
          <w:color w:val="auto"/>
        </w:rPr>
      </w:pPr>
      <w:r>
        <w:rPr>
          <w:rFonts w:ascii="Arial" w:cs="Arial" w:eastAsia="Arial" w:hAnsi="Arial"/>
          <w:sz w:val="16"/>
          <w:szCs w:val="16"/>
          <w:b w:val="1"/>
          <w:bCs w:val="1"/>
          <w:color w:val="auto"/>
        </w:rPr>
        <w:t xml:space="preserve">Key Environmental Impact: </w:t>
      </w:r>
      <w:r>
        <w:rPr>
          <w:rFonts w:ascii="Arial" w:cs="Arial" w:eastAsia="Arial" w:hAnsi="Arial"/>
          <w:sz w:val="16"/>
          <w:szCs w:val="16"/>
          <w:color w:val="auto"/>
        </w:rPr>
        <w:t>Acrylonitrile contains Hydrogen Cyanide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(HCN), which is a lethal gas. The RTO, SCR, and redundant safety systems </w:t>
      </w:r>
      <w:r>
        <w:rPr>
          <w:rFonts w:ascii="Arial" w:cs="Arial" w:eastAsia="Arial" w:hAnsi="Arial"/>
          <w:sz w:val="16"/>
          <w:szCs w:val="16"/>
          <w:b w:val="1"/>
          <w:bCs w:val="1"/>
          <w:i w:val="1"/>
          <w:iCs w:val="1"/>
          <w:color w:val="auto"/>
        </w:rPr>
        <w:t>protects people</w:t>
      </w:r>
      <w:r>
        <w:rPr>
          <w:rFonts w:ascii="Arial" w:cs="Arial" w:eastAsia="Arial" w:hAnsi="Arial"/>
          <w:sz w:val="16"/>
          <w:szCs w:val="16"/>
          <w:color w:val="auto"/>
        </w:rPr>
        <w:t xml:space="preserve"> from dangerous HCN and </w:t>
      </w:r>
      <w:r>
        <w:rPr>
          <w:rFonts w:ascii="Arial" w:cs="Arial" w:eastAsia="Arial" w:hAnsi="Arial"/>
          <w:sz w:val="16"/>
          <w:szCs w:val="16"/>
          <w:b w:val="1"/>
          <w:bCs w:val="1"/>
          <w:i w:val="1"/>
          <w:iCs w:val="1"/>
          <w:color w:val="auto"/>
        </w:rPr>
        <w:t>protects the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environment </w:t>
      </w:r>
      <w:r>
        <w:rPr>
          <w:rFonts w:ascii="Arial" w:cs="Arial" w:eastAsia="Arial" w:hAnsi="Arial"/>
          <w:sz w:val="16"/>
          <w:szCs w:val="16"/>
          <w:color w:val="auto"/>
        </w:rPr>
        <w:t>by not allowing the gas to reach the atmosphere.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326390</wp:posOffset>
            </wp:positionV>
            <wp:extent cx="6400800" cy="2794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1">
                      <a:extLst>
                        <a:ext uri="{28A0092B-C50C-407E-A947-70E740481C1C}"/>
                      </a:extLst>
                    </a:blip>
                    <a:srcRect/>
                    <a:stretch>
                      <a:fillRect/>
                    </a:stretch>
                  </pic:blipFill>
                  <pic:spPr bwMode="auto">
                    <a:xfrm>
                      <a:off x="0" y="0"/>
                      <a:ext cx="6400800"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40"/>
        <w:spacing w:after="0"/>
        <w:rPr>
          <w:sz w:val="20"/>
          <w:szCs w:val="20"/>
          <w:color w:val="auto"/>
        </w:rPr>
      </w:pPr>
      <w:r>
        <w:rPr>
          <w:rFonts w:ascii="Arial" w:cs="Arial" w:eastAsia="Arial" w:hAnsi="Arial"/>
          <w:sz w:val="28"/>
          <w:szCs w:val="28"/>
          <w:color w:val="273D86"/>
        </w:rPr>
        <w:t>HOT SPRINGS</w:t>
      </w:r>
    </w:p>
    <w:p>
      <w:pPr>
        <w:spacing w:after="0" w:line="30" w:lineRule="exact"/>
        <w:rPr>
          <w:sz w:val="20"/>
          <w:szCs w:val="20"/>
          <w:color w:val="auto"/>
        </w:rPr>
      </w:pPr>
    </w:p>
    <w:p>
      <w:pPr>
        <w:ind w:left="3540" w:right="480"/>
        <w:spacing w:after="0" w:line="284"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Hot Springs provide a unique challenge with the corrosive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nature of the warm water, enriched with minerals that cause rapid degradation of traditional metal vertical turbines and pumps. </w:t>
      </w:r>
      <w:r>
        <w:rPr>
          <w:rFonts w:ascii="Arial" w:cs="Arial" w:eastAsia="Arial" w:hAnsi="Arial"/>
          <w:sz w:val="17"/>
          <w:szCs w:val="17"/>
          <w:b w:val="1"/>
          <w:bCs w:val="1"/>
          <w:color w:val="auto"/>
        </w:rPr>
        <w:t xml:space="preserve">Product: </w:t>
      </w:r>
      <w:r>
        <w:rPr>
          <w:rFonts w:ascii="Arial" w:cs="Arial" w:eastAsia="Arial" w:hAnsi="Arial"/>
          <w:sz w:val="17"/>
          <w:szCs w:val="17"/>
          <w:color w:val="auto"/>
        </w:rPr>
        <w:t>28 Fybroc Fiberglass Reinforced Polymer (FRP) pumps.</w:t>
      </w:r>
    </w:p>
    <w:p>
      <w:pPr>
        <w:spacing w:after="0" w:line="40" w:lineRule="exact"/>
        <w:rPr>
          <w:sz w:val="20"/>
          <w:szCs w:val="20"/>
          <w:color w:val="auto"/>
        </w:rPr>
      </w:pPr>
    </w:p>
    <w:p>
      <w:pPr>
        <w:ind w:left="3540" w:right="620"/>
        <w:spacing w:after="0" w:line="254" w:lineRule="auto"/>
        <w:rPr>
          <w:sz w:val="20"/>
          <w:szCs w:val="20"/>
          <w:color w:val="auto"/>
        </w:rPr>
      </w:pPr>
      <w:r>
        <w:rPr>
          <w:rFonts w:ascii="Arial" w:cs="Arial" w:eastAsia="Arial" w:hAnsi="Arial"/>
          <w:sz w:val="18"/>
          <w:szCs w:val="18"/>
          <w:b w:val="1"/>
          <w:bCs w:val="1"/>
          <w:color w:val="auto"/>
        </w:rPr>
        <w:t xml:space="preserve">Solution: </w:t>
      </w:r>
      <w:r>
        <w:rPr>
          <w:rFonts w:ascii="Arial" w:cs="Arial" w:eastAsia="Arial" w:hAnsi="Arial"/>
          <w:sz w:val="18"/>
          <w:szCs w:val="18"/>
          <w:color w:val="auto"/>
        </w:rPr>
        <w:t>Fybroc FRP pumps safeguard against the detrimental</w:t>
      </w:r>
      <w:r>
        <w:rPr>
          <w:rFonts w:ascii="Arial" w:cs="Arial" w:eastAsia="Arial" w:hAnsi="Arial"/>
          <w:sz w:val="18"/>
          <w:szCs w:val="18"/>
          <w:b w:val="1"/>
          <w:bCs w:val="1"/>
          <w:color w:val="auto"/>
        </w:rPr>
        <w:t xml:space="preserve"> </w:t>
      </w:r>
      <w:r>
        <w:rPr>
          <w:rFonts w:ascii="Arial" w:cs="Arial" w:eastAsia="Arial" w:hAnsi="Arial"/>
          <w:sz w:val="18"/>
          <w:szCs w:val="18"/>
          <w:color w:val="auto"/>
        </w:rPr>
        <w:t>effects of corrosion without necessitating the need to use expensive and exotic alloy pumps.</w:t>
      </w:r>
    </w:p>
    <w:p>
      <w:pPr>
        <w:spacing w:after="0" w:line="63" w:lineRule="exact"/>
        <w:rPr>
          <w:sz w:val="20"/>
          <w:szCs w:val="20"/>
          <w:color w:val="auto"/>
        </w:rPr>
      </w:pPr>
    </w:p>
    <w:p>
      <w:pPr>
        <w:ind w:left="3540" w:right="420"/>
        <w:spacing w:after="0" w:line="254" w:lineRule="auto"/>
        <w:rPr>
          <w:sz w:val="20"/>
          <w:szCs w:val="20"/>
          <w:color w:val="auto"/>
        </w:rPr>
      </w:pPr>
      <w:r>
        <w:rPr>
          <w:rFonts w:ascii="Arial" w:cs="Arial" w:eastAsia="Arial" w:hAnsi="Arial"/>
          <w:sz w:val="18"/>
          <w:szCs w:val="18"/>
          <w:b w:val="1"/>
          <w:bCs w:val="1"/>
          <w:color w:val="auto"/>
        </w:rPr>
        <w:t xml:space="preserve">Key Value: </w:t>
      </w:r>
      <w:r>
        <w:rPr>
          <w:rFonts w:ascii="Arial" w:cs="Arial" w:eastAsia="Arial" w:hAnsi="Arial"/>
          <w:sz w:val="18"/>
          <w:szCs w:val="18"/>
          <w:color w:val="auto"/>
        </w:rPr>
        <w:t>Fybroc is the ultimate solution for efficiently pumping</w:t>
      </w:r>
      <w:r>
        <w:rPr>
          <w:rFonts w:ascii="Arial" w:cs="Arial" w:eastAsia="Arial" w:hAnsi="Arial"/>
          <w:sz w:val="18"/>
          <w:szCs w:val="18"/>
          <w:b w:val="1"/>
          <w:bCs w:val="1"/>
          <w:color w:val="auto"/>
        </w:rPr>
        <w:t xml:space="preserve"> </w:t>
      </w:r>
      <w:r>
        <w:rPr>
          <w:rFonts w:ascii="Arial" w:cs="Arial" w:eastAsia="Arial" w:hAnsi="Arial"/>
          <w:sz w:val="18"/>
          <w:szCs w:val="18"/>
          <w:color w:val="auto"/>
        </w:rPr>
        <w:t>mineral-laden geothermal water with peak performance, efficiency and longer lifespans than traditional metal pumps.</w:t>
      </w:r>
    </w:p>
    <w:p>
      <w:pPr>
        <w:spacing w:after="0" w:line="63" w:lineRule="exact"/>
        <w:rPr>
          <w:sz w:val="20"/>
          <w:szCs w:val="20"/>
          <w:color w:val="auto"/>
        </w:rPr>
      </w:pPr>
    </w:p>
    <w:p>
      <w:pPr>
        <w:jc w:val="both"/>
        <w:ind w:left="3540" w:right="580"/>
        <w:spacing w:after="0" w:line="254" w:lineRule="auto"/>
        <w:rPr>
          <w:sz w:val="20"/>
          <w:szCs w:val="20"/>
          <w:color w:val="auto"/>
        </w:rPr>
      </w:pPr>
      <w:r>
        <w:rPr>
          <w:rFonts w:ascii="Arial" w:cs="Arial" w:eastAsia="Arial" w:hAnsi="Arial"/>
          <w:sz w:val="18"/>
          <w:szCs w:val="18"/>
          <w:b w:val="1"/>
          <w:bCs w:val="1"/>
          <w:color w:val="auto"/>
        </w:rPr>
        <w:t xml:space="preserve">Key Environmental Impact: </w:t>
      </w:r>
      <w:r>
        <w:rPr>
          <w:rFonts w:ascii="Arial" w:cs="Arial" w:eastAsia="Arial" w:hAnsi="Arial"/>
          <w:sz w:val="18"/>
          <w:szCs w:val="18"/>
          <w:color w:val="auto"/>
        </w:rPr>
        <w:t>The FRP pumps provide an alternative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solution to traditional metal pumps that </w:t>
      </w:r>
      <w:r>
        <w:rPr>
          <w:rFonts w:ascii="Arial" w:cs="Arial" w:eastAsia="Arial" w:hAnsi="Arial"/>
          <w:sz w:val="18"/>
          <w:szCs w:val="18"/>
          <w:b w:val="1"/>
          <w:bCs w:val="1"/>
          <w:i w:val="1"/>
          <w:iCs w:val="1"/>
          <w:color w:val="auto"/>
        </w:rPr>
        <w:t>protect the equipment</w:t>
      </w:r>
      <w:r>
        <w:rPr>
          <w:rFonts w:ascii="Arial" w:cs="Arial" w:eastAsia="Arial" w:hAnsi="Arial"/>
          <w:sz w:val="18"/>
          <w:szCs w:val="18"/>
          <w:color w:val="auto"/>
        </w:rPr>
        <w:t xml:space="preserve"> from the detrimental effects of corrosion.</w:t>
      </w:r>
    </w:p>
    <w:p>
      <w:pPr>
        <w:sectPr>
          <w:pgSz w:w="11880" w:h="15480" w:orient="portrait"/>
          <w:cols w:equalWidth="0" w:num="1">
            <w:col w:w="9540"/>
          </w:cols>
          <w:pgMar w:left="1440" w:top="10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00"/>
        <w:spacing w:after="0"/>
        <w:tabs>
          <w:tab w:leader="none" w:pos="9380" w:val="left"/>
        </w:tabs>
        <w:rPr>
          <w:sz w:val="20"/>
          <w:szCs w:val="20"/>
          <w:color w:val="auto"/>
        </w:rPr>
      </w:pP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r>
        <w:rPr>
          <w:sz w:val="20"/>
          <w:szCs w:val="20"/>
          <w:color w:val="auto"/>
        </w:rPr>
        <w:tab/>
      </w:r>
      <w:r>
        <w:rPr>
          <w:rFonts w:ascii="Arial" w:cs="Arial" w:eastAsia="Arial" w:hAnsi="Arial"/>
          <w:sz w:val="24"/>
          <w:szCs w:val="24"/>
          <w:b w:val="1"/>
          <w:bCs w:val="1"/>
          <w:color w:val="auto"/>
        </w:rPr>
        <w:t>7</w:t>
      </w:r>
    </w:p>
    <w:p>
      <w:pPr>
        <w:sectPr>
          <w:pgSz w:w="11880" w:h="15480" w:orient="portrait"/>
          <w:cols w:equalWidth="0" w:num="1">
            <w:col w:w="9540"/>
          </w:cols>
          <w:pgMar w:left="1440" w:top="1034" w:right="900" w:bottom="0" w:gutter="0" w:footer="0" w:header="0"/>
          <w:type w:val="continuous"/>
        </w:sectPr>
      </w:pPr>
    </w:p>
    <w:bookmarkStart w:id="9" w:name="page10"/>
    <w:bookmarkEnd w:id="9"/>
    <w:p>
      <w:pPr>
        <w:spacing w:after="0"/>
        <w:rPr>
          <w:sz w:val="20"/>
          <w:szCs w:val="20"/>
          <w:color w:val="auto"/>
        </w:rPr>
      </w:pPr>
      <w:r>
        <w:rPr>
          <w:rFonts w:ascii="Arial" w:cs="Arial" w:eastAsia="Arial" w:hAnsi="Arial"/>
          <w:sz w:val="62"/>
          <w:szCs w:val="62"/>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454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a:extLst>
                        <a:ext uri="{28A0092B-C50C-407E-A947-70E740481C1C}"/>
                      </a:extLst>
                    </a:blip>
                    <a:srcRect/>
                    <a:stretch>
                      <a:fillRect/>
                    </a:stretch>
                  </pic:blipFill>
                  <pic:spPr bwMode="auto">
                    <a:xfrm>
                      <a:off x="0" y="0"/>
                      <a:ext cx="7543800" cy="1454150"/>
                    </a:xfrm>
                    <a:prstGeom prst="rect">
                      <a:avLst/>
                    </a:prstGeom>
                    <a:noFill/>
                  </pic:spPr>
                </pic:pic>
              </a:graphicData>
            </a:graphic>
          </wp:anchor>
        </w:drawing>
        <w:t>Human Capital, Talent, and Culture</w:t>
      </w:r>
    </w:p>
    <w:p>
      <w:pPr>
        <w:sectPr>
          <w:pgSz w:w="11880" w:h="15480" w:orient="portrait"/>
          <w:cols w:equalWidth="0" w:num="1">
            <w:col w:w="10080"/>
          </w:cols>
          <w:pgMar w:left="900" w:top="130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During 2023, CECO set records across the board financially, but more importantly, these amazing results could not have been delivered without our talented teams, driving the incredible performance, responsible for the numbers.</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As we drive growth, we seek team members that will deliver innovation and operational excellence. We do that through a thorough recruiting process that identifies and attracts diverse candidates that are challenged by their work, wanting to be retained and are motivated to drive better outcomes for themselves personally and the Company. Through our three acquisitions in 2023, we added almost another 160 team members which brings our total to almost 1,100 employees globally.</w:t>
      </w:r>
    </w:p>
    <w:p>
      <w:pPr>
        <w:spacing w:after="0" w:line="77"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With offices and manufacturing plants around the world, in 2023 we tried to improve our global communications to be more inclusive and respectful of the local cultures and traditions. Rooted at our global headquarters and spread throughout our facilities in the United States, the Netherlands, the United Kingdom, Dubai, India, Korea, China and Singapore, we embrace not only the diversity of our work community, but we respect one another and encourage teams to work together in the spirit of inclusiveness.</w:t>
      </w:r>
    </w:p>
    <w:p>
      <w:pPr>
        <w:spacing w:after="0" w:line="7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2023, we rebranded our CECO CARRIT Values – Customer First, Accountability, Relentless Execution, Respect, Integrity and Teamwork so we can Win and Win Right. Our team members are encouraged to feel empowered to Speak Up when they encounter situations that are not CARRIT-worthy by reporting issues through our hotline or to management. Safety is our number one priority – whether in our manufacturing facilities or in our offices – we want everyone to leave as they came – safe and healthy.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3128010" cy="2354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3">
                      <a:extLst>
                        <a:ext uri="{28A0092B-C50C-407E-A947-70E740481C1C}"/>
                      </a:extLst>
                    </a:blip>
                    <a:srcRect/>
                    <a:stretch>
                      <a:fillRect/>
                    </a:stretch>
                  </pic:blipFill>
                  <pic:spPr bwMode="auto">
                    <a:xfrm>
                      <a:off x="0" y="0"/>
                      <a:ext cx="3128010" cy="2354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We believe that CECO is only as good as our people, so we have made investments in enabling our global workforce – at every level – to achieve their full potential. We have made improvements to the benefits being offered to team members and other programs available to them and their families.</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We also have increased who is part of our shareholder program with our long-term incentive compensation programs, which we believe gives an ownership mindset to more team members to produce solid, quality results. Our team members grow through exciting on the job challenges and opportunities supported by insightful and supportive leaders as well as individualized training opportunities that partner well with their normal work activities. We believe that today’s investment in our people will translate to accelerated growth for CECO including increased shareholder value.</w:t>
      </w:r>
    </w:p>
    <w:p>
      <w:pPr>
        <w:spacing w:after="0" w:line="7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team members are our greatest asset, and we believe our highly ethical culture and their talent drives our successes! Their knowledge and skills are crucial to providing quality, long-lasting solutions that exceed our customers’ expectations. We want to provide continuous growth to our team members by improving our human capital resources and upgraded capabilities to ensure their well-being (both physically and mentally), safety and professional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224790</wp:posOffset>
            </wp:positionV>
            <wp:extent cx="3128010" cy="3630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4">
                      <a:extLst>
                        <a:ext uri="{28A0092B-C50C-407E-A947-70E740481C1C}"/>
                      </a:extLst>
                    </a:blip>
                    <a:srcRect/>
                    <a:stretch>
                      <a:fillRect/>
                    </a:stretch>
                  </pic:blipFill>
                  <pic:spPr bwMode="auto">
                    <a:xfrm>
                      <a:off x="0" y="0"/>
                      <a:ext cx="3128010" cy="3630295"/>
                    </a:xfrm>
                    <a:prstGeom prst="rect">
                      <a:avLst/>
                    </a:prstGeom>
                    <a:noFill/>
                  </pic:spPr>
                </pic:pic>
              </a:graphicData>
            </a:graphic>
          </wp:anchor>
        </w:drawing>
      </w:r>
    </w:p>
    <w:p>
      <w:pPr>
        <w:spacing w:after="0" w:line="2156" w:lineRule="exact"/>
        <w:rPr>
          <w:sz w:val="20"/>
          <w:szCs w:val="20"/>
          <w:color w:val="auto"/>
        </w:rPr>
      </w:pPr>
    </w:p>
    <w:p>
      <w:pPr>
        <w:sectPr>
          <w:pgSz w:w="11880" w:h="15480" w:orient="portrait"/>
          <w:cols w:equalWidth="0" w:num="2">
            <w:col w:w="4920" w:space="240"/>
            <w:col w:w="4920"/>
          </w:cols>
          <w:pgMar w:left="900" w:top="130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b w:val="1"/>
          <w:bCs w:val="1"/>
          <w:color w:val="auto"/>
        </w:rPr>
        <w:t>8</w:t>
      </w:r>
      <w:r>
        <w:rPr>
          <w:sz w:val="20"/>
          <w:szCs w:val="20"/>
          <w:color w:val="auto"/>
        </w:rPr>
        <w:tab/>
      </w:r>
      <w:r>
        <w:rPr>
          <w:rFonts w:ascii="Arial" w:cs="Arial" w:eastAsia="Arial" w:hAnsi="Arial"/>
          <w:sz w:val="16"/>
          <w:szCs w:val="16"/>
          <w:color w:val="666666"/>
        </w:rPr>
        <w:t xml:space="preserve">CECO Environmental </w:t>
      </w:r>
      <w:r>
        <w:rPr>
          <w:rFonts w:ascii="Arial" w:cs="Arial" w:eastAsia="Arial" w:hAnsi="Arial"/>
          <w:sz w:val="20"/>
          <w:szCs w:val="20"/>
          <w:color w:val="666666"/>
        </w:rPr>
        <w:t>|</w:t>
      </w:r>
      <w:r>
        <w:rPr>
          <w:rFonts w:ascii="Arial" w:cs="Arial" w:eastAsia="Arial" w:hAnsi="Arial"/>
          <w:sz w:val="16"/>
          <w:szCs w:val="16"/>
          <w:color w:val="666666"/>
        </w:rPr>
        <w:t xml:space="preserve">  2023 Annual Report</w:t>
      </w:r>
    </w:p>
    <w:p>
      <w:pPr>
        <w:sectPr>
          <w:pgSz w:w="11880" w:h="15480" w:orient="portrait"/>
          <w:cols w:equalWidth="0" w:num="1">
            <w:col w:w="10080"/>
          </w:cols>
          <w:pgMar w:left="900" w:top="1300" w:right="900"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358775</wp:posOffset>
            </wp:positionH>
            <wp:positionV relativeFrom="page">
              <wp:posOffset>588645</wp:posOffset>
            </wp:positionV>
            <wp:extent cx="6826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5">
                      <a:extLst>
                        <a:ext uri="{28A0092B-C50C-407E-A947-70E740481C1C}"/>
                      </a:extLst>
                    </a:blip>
                    <a:srcRect/>
                    <a:stretch>
                      <a:fillRect/>
                    </a:stretch>
                  </pic:blipFill>
                  <pic:spPr bwMode="auto">
                    <a:xfrm>
                      <a:off x="0" y="0"/>
                      <a:ext cx="6826885" cy="8890"/>
                    </a:xfrm>
                    <a:prstGeom prst="rect">
                      <a:avLst/>
                    </a:prstGeom>
                    <a:noFill/>
                  </pic:spPr>
                </pic:pic>
              </a:graphicData>
            </a:graphic>
          </wp:anchor>
        </w:drawing>
        <w:drawing>
          <wp:anchor simplePos="0" relativeHeight="251657728" behindDoc="1" locked="0" layoutInCell="0" allowOverlap="1">
            <wp:simplePos x="0" y="0"/>
            <wp:positionH relativeFrom="page">
              <wp:posOffset>358775</wp:posOffset>
            </wp:positionH>
            <wp:positionV relativeFrom="page">
              <wp:posOffset>570230</wp:posOffset>
            </wp:positionV>
            <wp:extent cx="68268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6">
                      <a:extLst>
                        <a:ext uri="{28A0092B-C50C-407E-A947-70E740481C1C}"/>
                      </a:extLst>
                    </a:blip>
                    <a:srcRect/>
                    <a:stretch>
                      <a:fillRect/>
                    </a:stretch>
                  </pic:blipFill>
                  <pic:spPr bwMode="auto">
                    <a:xfrm>
                      <a:off x="0" y="0"/>
                      <a:ext cx="6826885" cy="8890"/>
                    </a:xfrm>
                    <a:prstGeom prst="rect">
                      <a:avLst/>
                    </a:prstGeom>
                    <a:noFill/>
                  </pic:spPr>
                </pic:pic>
              </a:graphicData>
            </a:graphic>
          </wp:anchor>
        </w:drawing>
        <w:t>UNITED STATES</w:t>
      </w:r>
    </w:p>
    <w:p>
      <w:pPr>
        <w:jc w:val="center"/>
        <w:spacing w:after="0" w:line="238"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142875</wp:posOffset>
            </wp:positionV>
            <wp:extent cx="139446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a:extLst>
                        <a:ext uri="{28A0092B-C50C-407E-A947-70E740481C1C}"/>
                      </a:extLst>
                    </a:blip>
                    <a:srcRect/>
                    <a:stretch>
                      <a:fillRect/>
                    </a:stretch>
                  </pic:blipFill>
                  <pic:spPr bwMode="auto">
                    <a:xfrm>
                      <a:off x="0" y="0"/>
                      <a:ext cx="1394460" cy="6350"/>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44450</wp:posOffset>
            </wp:positionV>
            <wp:extent cx="139446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8">
                      <a:extLst>
                        <a:ext uri="{28A0092B-C50C-407E-A947-70E740481C1C}"/>
                      </a:extLst>
                    </a:blip>
                    <a:srcRect/>
                    <a:stretch>
                      <a:fillRect/>
                    </a:stretch>
                  </pic:blipFill>
                  <pic:spPr bwMode="auto">
                    <a:xfrm>
                      <a:off x="0" y="0"/>
                      <a:ext cx="1394460" cy="6350"/>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2" w:lineRule="exact"/>
        <w:rPr>
          <w:sz w:val="20"/>
          <w:szCs w:val="20"/>
          <w:color w:val="auto"/>
        </w:rPr>
      </w:pPr>
    </w:p>
    <w:p>
      <w:pPr>
        <w:ind w:left="2600" w:hanging="303"/>
        <w:spacing w:after="0"/>
        <w:tabs>
          <w:tab w:leader="none" w:pos="2600" w:val="left"/>
        </w:tabs>
        <w:numPr>
          <w:ilvl w:val="0"/>
          <w:numId w:val="4"/>
        </w:numPr>
        <w:rPr>
          <w:rFonts w:ascii="MS PGothic" w:cs="MS PGothic" w:eastAsia="MS PGothic" w:hAnsi="MS PGothic"/>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2023</w:t>
      </w:r>
    </w:p>
    <w:p>
      <w:pPr>
        <w:jc w:val="center"/>
        <w:spacing w:after="0" w:line="233" w:lineRule="auto"/>
        <w:rPr>
          <w:sz w:val="20"/>
          <w:szCs w:val="20"/>
          <w:color w:val="auto"/>
        </w:rPr>
      </w:pPr>
      <w:r>
        <w:rPr>
          <w:rFonts w:ascii="Arial" w:cs="Arial" w:eastAsia="Arial" w:hAnsi="Arial"/>
          <w:sz w:val="16"/>
          <w:szCs w:val="16"/>
          <w:b w:val="1"/>
          <w:bCs w:val="1"/>
          <w:color w:val="auto"/>
        </w:rPr>
        <w:t>or</w:t>
      </w:r>
    </w:p>
    <w:p>
      <w:pPr>
        <w:spacing w:after="0" w:line="22" w:lineRule="exact"/>
        <w:rPr>
          <w:sz w:val="20"/>
          <w:szCs w:val="20"/>
          <w:color w:val="auto"/>
        </w:rPr>
      </w:pPr>
    </w:p>
    <w:p>
      <w:pPr>
        <w:ind w:left="2480" w:hanging="288"/>
        <w:spacing w:after="0"/>
        <w:tabs>
          <w:tab w:leader="none" w:pos="2480" w:val="left"/>
        </w:tabs>
        <w:numPr>
          <w:ilvl w:val="0"/>
          <w:numId w:val="5"/>
        </w:numPr>
        <w:rPr>
          <w:rFonts w:ascii="MS PGothic" w:cs="MS PGothic" w:eastAsia="MS PGothic" w:hAnsi="MS PGothic"/>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1" w:lineRule="exact"/>
        <w:rPr>
          <w:sz w:val="20"/>
          <w:szCs w:val="20"/>
          <w:color w:val="auto"/>
        </w:rPr>
      </w:pPr>
    </w:p>
    <w:p>
      <w:pPr>
        <w:ind w:left="3600"/>
        <w:spacing w:after="0"/>
        <w:tabs>
          <w:tab w:leader="none" w:pos="6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3653790</wp:posOffset>
                </wp:positionH>
                <wp:positionV relativeFrom="paragraph">
                  <wp:posOffset>2540</wp:posOffset>
                </wp:positionV>
                <wp:extent cx="55245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0" cy="4763"/>
                        </a:xfrm>
                        <a:prstGeom prst="line">
                          <a:avLst/>
                        </a:prstGeom>
                        <a:solidFill>
                          <a:srgbClr val="FFFFFF"/>
                        </a:solidFill>
                        <a:ln w="6034">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7pt,0.2pt" to="331.2pt,0.2pt" o:allowincell="f" strokecolor="#000000" strokeweight="0.4751pt"/>
            </w:pict>
          </mc:Fallback>
        </mc:AlternateContent>
        <mc:AlternateContent>
          <mc:Choice Requires="wps">
            <w:drawing>
              <wp:anchor simplePos="0" relativeHeight="251657728" behindDoc="1" locked="0" layoutInCell="0" allowOverlap="1">
                <wp:simplePos x="0" y="0"/>
                <wp:positionH relativeFrom="column">
                  <wp:posOffset>4468495</wp:posOffset>
                </wp:positionH>
                <wp:positionV relativeFrom="paragraph">
                  <wp:posOffset>2540</wp:posOffset>
                </wp:positionV>
                <wp:extent cx="55245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0" cy="4763"/>
                        </a:xfrm>
                        <a:prstGeom prst="line">
                          <a:avLst/>
                        </a:prstGeom>
                        <a:solidFill>
                          <a:srgbClr val="FFFFFF"/>
                        </a:solidFill>
                        <a:ln w="6034">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5pt,0.2pt" to="395.35pt,0.2pt" o:allowincell="f" strokecolor="#000000" strokeweight="0.4751pt"/>
            </w:pict>
          </mc:Fallback>
        </mc:AlternateConten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No. 0-7099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53975</wp:posOffset>
            </wp:positionV>
            <wp:extent cx="139446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9">
                      <a:extLst>
                        <a:ext uri="{28A0092B-C50C-407E-A947-70E740481C1C}"/>
                      </a:extLst>
                    </a:blip>
                    <a:srcRect/>
                    <a:stretch>
                      <a:fillRect/>
                    </a:stretch>
                  </pic:blipFill>
                  <pic:spPr bwMode="auto">
                    <a:xfrm>
                      <a:off x="0" y="0"/>
                      <a:ext cx="1394460" cy="635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466725</wp:posOffset>
            </wp:positionV>
            <wp:extent cx="139446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
                      <a:extLst>
                        <a:ext uri="{28A0092B-C50C-407E-A947-70E740481C1C}"/>
                      </a:extLst>
                    </a:blip>
                    <a:srcRect/>
                    <a:stretch>
                      <a:fillRect/>
                    </a:stretch>
                  </pic:blipFill>
                  <pic:spPr bwMode="auto">
                    <a:xfrm>
                      <a:off x="0" y="0"/>
                      <a:ext cx="1394460" cy="635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69215</wp:posOffset>
            </wp:positionV>
            <wp:extent cx="788035" cy="309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1">
                      <a:extLst>
                        <a:ext uri="{28A0092B-C50C-407E-A947-70E740481C1C}"/>
                      </a:extLst>
                    </a:blip>
                    <a:srcRect/>
                    <a:stretch>
                      <a:fillRect/>
                    </a:stretch>
                  </pic:blipFill>
                  <pic:spPr bwMode="auto">
                    <a:xfrm>
                      <a:off x="0" y="0"/>
                      <a:ext cx="788035" cy="30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360" w:type="dxa"/>
            <w:vAlign w:val="bottom"/>
          </w:tcPr>
          <w:p>
            <w:pPr>
              <w:jc w:val="center"/>
              <w:ind w:left="321"/>
              <w:spacing w:after="0"/>
              <w:rPr>
                <w:sz w:val="20"/>
                <w:szCs w:val="20"/>
                <w:color w:val="auto"/>
              </w:rPr>
            </w:pPr>
            <w:r>
              <w:rPr>
                <w:rFonts w:ascii="Arial" w:cs="Arial" w:eastAsia="Arial" w:hAnsi="Arial"/>
                <w:sz w:val="16"/>
                <w:szCs w:val="16"/>
                <w:b w:val="1"/>
                <w:bCs w:val="1"/>
                <w:color w:val="auto"/>
                <w:w w:val="91"/>
              </w:rPr>
              <w:t>Delaware</w:t>
            </w:r>
          </w:p>
        </w:tc>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jc w:val="right"/>
              <w:ind w:right="1701"/>
              <w:spacing w:after="0"/>
              <w:rPr>
                <w:sz w:val="20"/>
                <w:szCs w:val="20"/>
                <w:color w:val="auto"/>
              </w:rPr>
            </w:pPr>
            <w:r>
              <w:rPr>
                <w:rFonts w:ascii="Arial" w:cs="Arial" w:eastAsia="Arial" w:hAnsi="Arial"/>
                <w:sz w:val="16"/>
                <w:szCs w:val="16"/>
                <w:b w:val="1"/>
                <w:bCs w:val="1"/>
                <w:color w:val="auto"/>
              </w:rPr>
              <w:t>13-2566064</w:t>
            </w:r>
          </w:p>
        </w:tc>
      </w:tr>
      <w:tr>
        <w:trPr>
          <w:trHeight w:val="183"/>
        </w:trPr>
        <w:tc>
          <w:tcPr>
            <w:tcW w:w="740" w:type="dxa"/>
            <w:vAlign w:val="bottom"/>
          </w:tcPr>
          <w:p>
            <w:pPr>
              <w:spacing w:after="0"/>
              <w:rPr>
                <w:sz w:val="15"/>
                <w:szCs w:val="15"/>
                <w:color w:val="auto"/>
              </w:rPr>
            </w:pPr>
          </w:p>
        </w:tc>
        <w:tc>
          <w:tcPr>
            <w:tcW w:w="3360" w:type="dxa"/>
            <w:vAlign w:val="bottom"/>
          </w:tcPr>
          <w:p>
            <w:pPr>
              <w:jc w:val="center"/>
              <w:ind w:left="301"/>
              <w:spacing w:after="0" w:line="183" w:lineRule="exact"/>
              <w:rPr>
                <w:sz w:val="20"/>
                <w:szCs w:val="20"/>
                <w:color w:val="auto"/>
              </w:rPr>
            </w:pPr>
            <w:r>
              <w:rPr>
                <w:rFonts w:ascii="Arial" w:cs="Arial" w:eastAsia="Arial" w:hAnsi="Arial"/>
                <w:sz w:val="16"/>
                <w:szCs w:val="16"/>
                <w:b w:val="1"/>
                <w:bCs w:val="1"/>
                <w:color w:val="auto"/>
                <w:w w:val="90"/>
              </w:rPr>
              <w:t>(State or other jurisdiction of</w:t>
            </w: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jc w:val="center"/>
              <w:ind w:right="1121"/>
              <w:spacing w:after="0" w:line="183" w:lineRule="exact"/>
              <w:rPr>
                <w:sz w:val="20"/>
                <w:szCs w:val="20"/>
                <w:color w:val="auto"/>
              </w:rPr>
            </w:pPr>
            <w:r>
              <w:rPr>
                <w:rFonts w:ascii="Arial" w:cs="Arial" w:eastAsia="Arial" w:hAnsi="Arial"/>
                <w:sz w:val="16"/>
                <w:szCs w:val="16"/>
                <w:b w:val="1"/>
                <w:bCs w:val="1"/>
                <w:color w:val="auto"/>
                <w:w w:val="92"/>
              </w:rPr>
              <w:t>(I.R.S. Employer</w:t>
            </w:r>
          </w:p>
        </w:tc>
      </w:tr>
      <w:tr>
        <w:trPr>
          <w:trHeight w:val="181"/>
        </w:trPr>
        <w:tc>
          <w:tcPr>
            <w:tcW w:w="740" w:type="dxa"/>
            <w:vAlign w:val="bottom"/>
          </w:tcPr>
          <w:p>
            <w:pPr>
              <w:spacing w:after="0"/>
              <w:rPr>
                <w:sz w:val="15"/>
                <w:szCs w:val="15"/>
                <w:color w:val="auto"/>
              </w:rPr>
            </w:pPr>
          </w:p>
        </w:tc>
        <w:tc>
          <w:tcPr>
            <w:tcW w:w="3360" w:type="dxa"/>
            <w:vAlign w:val="bottom"/>
          </w:tcPr>
          <w:p>
            <w:pPr>
              <w:jc w:val="center"/>
              <w:ind w:left="301"/>
              <w:spacing w:after="0" w:line="181" w:lineRule="exact"/>
              <w:rPr>
                <w:sz w:val="20"/>
                <w:szCs w:val="20"/>
                <w:color w:val="auto"/>
              </w:rPr>
            </w:pPr>
            <w:r>
              <w:rPr>
                <w:rFonts w:ascii="Arial" w:cs="Arial" w:eastAsia="Arial" w:hAnsi="Arial"/>
                <w:sz w:val="16"/>
                <w:szCs w:val="16"/>
                <w:b w:val="1"/>
                <w:bCs w:val="1"/>
                <w:color w:val="auto"/>
                <w:w w:val="90"/>
              </w:rPr>
              <w:t>incorporation or organization)</w:t>
            </w: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jc w:val="center"/>
              <w:ind w:right="1141"/>
              <w:spacing w:after="0" w:line="181" w:lineRule="exact"/>
              <w:rPr>
                <w:sz w:val="20"/>
                <w:szCs w:val="20"/>
                <w:color w:val="auto"/>
              </w:rPr>
            </w:pPr>
            <w:r>
              <w:rPr>
                <w:rFonts w:ascii="Arial" w:cs="Arial" w:eastAsia="Arial" w:hAnsi="Arial"/>
                <w:sz w:val="16"/>
                <w:szCs w:val="16"/>
                <w:b w:val="1"/>
                <w:bCs w:val="1"/>
                <w:color w:val="auto"/>
                <w:w w:val="91"/>
              </w:rPr>
              <w:t>Identification No.)</w:t>
            </w:r>
          </w:p>
        </w:tc>
      </w:tr>
      <w:tr>
        <w:trPr>
          <w:trHeight w:val="252"/>
        </w:trPr>
        <w:tc>
          <w:tcPr>
            <w:tcW w:w="740" w:type="dxa"/>
            <w:vAlign w:val="bottom"/>
          </w:tcPr>
          <w:p>
            <w:pPr>
              <w:spacing w:after="0"/>
              <w:rPr>
                <w:sz w:val="21"/>
                <w:szCs w:val="21"/>
                <w:color w:val="auto"/>
              </w:rPr>
            </w:pPr>
          </w:p>
        </w:tc>
        <w:tc>
          <w:tcPr>
            <w:tcW w:w="3360" w:type="dxa"/>
            <w:vAlign w:val="bottom"/>
          </w:tcPr>
          <w:p>
            <w:pPr>
              <w:jc w:val="center"/>
              <w:ind w:left="301"/>
              <w:spacing w:after="0"/>
              <w:rPr>
                <w:sz w:val="20"/>
                <w:szCs w:val="20"/>
                <w:color w:val="auto"/>
              </w:rPr>
            </w:pPr>
            <w:r>
              <w:rPr>
                <w:rFonts w:ascii="Arial" w:cs="Arial" w:eastAsia="Arial" w:hAnsi="Arial"/>
                <w:sz w:val="16"/>
                <w:szCs w:val="16"/>
                <w:b w:val="1"/>
                <w:bCs w:val="1"/>
                <w:color w:val="auto"/>
                <w:w w:val="91"/>
              </w:rPr>
              <w:t>14651 North Dallas Parkway</w:t>
            </w:r>
          </w:p>
        </w:tc>
        <w:tc>
          <w:tcPr>
            <w:tcW w:w="2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181"/>
        </w:trPr>
        <w:tc>
          <w:tcPr>
            <w:tcW w:w="740" w:type="dxa"/>
            <w:vAlign w:val="bottom"/>
          </w:tcPr>
          <w:p>
            <w:pPr>
              <w:spacing w:after="0"/>
              <w:rPr>
                <w:sz w:val="15"/>
                <w:szCs w:val="15"/>
                <w:color w:val="auto"/>
              </w:rPr>
            </w:pPr>
          </w:p>
        </w:tc>
        <w:tc>
          <w:tcPr>
            <w:tcW w:w="3360" w:type="dxa"/>
            <w:vAlign w:val="bottom"/>
          </w:tcPr>
          <w:p>
            <w:pPr>
              <w:jc w:val="center"/>
              <w:ind w:left="301"/>
              <w:spacing w:after="0" w:line="181" w:lineRule="exact"/>
              <w:rPr>
                <w:sz w:val="20"/>
                <w:szCs w:val="20"/>
                <w:color w:val="auto"/>
              </w:rPr>
            </w:pPr>
            <w:r>
              <w:rPr>
                <w:rFonts w:ascii="Arial" w:cs="Arial" w:eastAsia="Arial" w:hAnsi="Arial"/>
                <w:sz w:val="16"/>
                <w:szCs w:val="16"/>
                <w:b w:val="1"/>
                <w:bCs w:val="1"/>
                <w:color w:val="auto"/>
                <w:w w:val="88"/>
              </w:rPr>
              <w:t>Suite 500</w:t>
            </w: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360" w:type="dxa"/>
            <w:vAlign w:val="bottom"/>
          </w:tcPr>
          <w:p>
            <w:pPr>
              <w:jc w:val="center"/>
              <w:ind w:left="301"/>
              <w:spacing w:after="0" w:line="183" w:lineRule="exact"/>
              <w:rPr>
                <w:sz w:val="20"/>
                <w:szCs w:val="20"/>
                <w:color w:val="auto"/>
              </w:rPr>
            </w:pPr>
            <w:r>
              <w:rPr>
                <w:rFonts w:ascii="Arial" w:cs="Arial" w:eastAsia="Arial" w:hAnsi="Arial"/>
                <w:sz w:val="16"/>
                <w:szCs w:val="16"/>
                <w:b w:val="1"/>
                <w:bCs w:val="1"/>
                <w:color w:val="auto"/>
                <w:w w:val="88"/>
              </w:rPr>
              <w:t>Dallas, Texas</w:t>
            </w: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jc w:val="right"/>
              <w:ind w:right="1901"/>
              <w:spacing w:after="0" w:line="183" w:lineRule="exact"/>
              <w:rPr>
                <w:sz w:val="20"/>
                <w:szCs w:val="20"/>
                <w:color w:val="auto"/>
              </w:rPr>
            </w:pPr>
            <w:r>
              <w:rPr>
                <w:rFonts w:ascii="Arial" w:cs="Arial" w:eastAsia="Arial" w:hAnsi="Arial"/>
                <w:sz w:val="16"/>
                <w:szCs w:val="16"/>
                <w:b w:val="1"/>
                <w:bCs w:val="1"/>
                <w:color w:val="auto"/>
              </w:rPr>
              <w:t>75254</w:t>
            </w:r>
          </w:p>
        </w:tc>
      </w:tr>
      <w:tr>
        <w:trPr>
          <w:trHeight w:val="183"/>
        </w:trPr>
        <w:tc>
          <w:tcPr>
            <w:tcW w:w="740" w:type="dxa"/>
            <w:vAlign w:val="bottom"/>
          </w:tcPr>
          <w:p>
            <w:pPr>
              <w:spacing w:after="0"/>
              <w:rPr>
                <w:sz w:val="15"/>
                <w:szCs w:val="15"/>
                <w:color w:val="auto"/>
              </w:rPr>
            </w:pPr>
          </w:p>
        </w:tc>
        <w:tc>
          <w:tcPr>
            <w:tcW w:w="3360" w:type="dxa"/>
            <w:vAlign w:val="bottom"/>
          </w:tcPr>
          <w:p>
            <w:pPr>
              <w:jc w:val="center"/>
              <w:ind w:left="301"/>
              <w:spacing w:after="0" w:line="183" w:lineRule="exact"/>
              <w:rPr>
                <w:sz w:val="20"/>
                <w:szCs w:val="20"/>
                <w:color w:val="auto"/>
              </w:rPr>
            </w:pPr>
            <w:r>
              <w:rPr>
                <w:rFonts w:ascii="Arial" w:cs="Arial" w:eastAsia="Arial" w:hAnsi="Arial"/>
                <w:sz w:val="16"/>
                <w:szCs w:val="16"/>
                <w:b w:val="1"/>
                <w:bCs w:val="1"/>
                <w:color w:val="auto"/>
                <w:w w:val="87"/>
              </w:rPr>
              <w:t>(Address of principal executive offices)</w:t>
            </w: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jc w:val="center"/>
              <w:ind w:right="1121"/>
              <w:spacing w:after="0" w:line="183" w:lineRule="exact"/>
              <w:rPr>
                <w:sz w:val="20"/>
                <w:szCs w:val="20"/>
                <w:color w:val="auto"/>
              </w:rPr>
            </w:pPr>
            <w:r>
              <w:rPr>
                <w:rFonts w:ascii="Arial" w:cs="Arial" w:eastAsia="Arial" w:hAnsi="Arial"/>
                <w:sz w:val="16"/>
                <w:szCs w:val="16"/>
                <w:b w:val="1"/>
                <w:bCs w:val="1"/>
                <w:color w:val="auto"/>
                <w:w w:val="93"/>
              </w:rPr>
              <w:t>(Zip Code)</w:t>
            </w:r>
          </w:p>
        </w:tc>
      </w:tr>
      <w:tr>
        <w:trPr>
          <w:trHeight w:val="240"/>
        </w:trPr>
        <w:tc>
          <w:tcPr>
            <w:tcW w:w="740" w:type="dxa"/>
            <w:vAlign w:val="bottom"/>
          </w:tcPr>
          <w:p>
            <w:pPr>
              <w:spacing w:after="0"/>
              <w:rPr>
                <w:sz w:val="20"/>
                <w:szCs w:val="20"/>
                <w:color w:val="auto"/>
              </w:rPr>
            </w:pPr>
          </w:p>
        </w:tc>
        <w:tc>
          <w:tcPr>
            <w:tcW w:w="9500" w:type="dxa"/>
            <w:vAlign w:val="bottom"/>
            <w:gridSpan w:val="4"/>
          </w:tcPr>
          <w:p>
            <w:pPr>
              <w:jc w:val="center"/>
              <w:ind w:right="201"/>
              <w:spacing w:after="0"/>
              <w:rPr>
                <w:sz w:val="20"/>
                <w:szCs w:val="20"/>
                <w:color w:val="auto"/>
              </w:rPr>
            </w:pPr>
            <w:r>
              <w:rPr>
                <w:rFonts w:ascii="Arial" w:cs="Arial" w:eastAsia="Arial" w:hAnsi="Arial"/>
                <w:sz w:val="16"/>
                <w:szCs w:val="16"/>
                <w:b w:val="1"/>
                <w:bCs w:val="1"/>
                <w:color w:val="auto"/>
                <w:w w:val="89"/>
              </w:rPr>
              <w:t>Registrant’s telephone number, including area code: (214) 357-6181</w:t>
            </w:r>
          </w:p>
        </w:tc>
      </w:tr>
      <w:tr>
        <w:trPr>
          <w:trHeight w:val="242"/>
        </w:trPr>
        <w:tc>
          <w:tcPr>
            <w:tcW w:w="740" w:type="dxa"/>
            <w:vAlign w:val="bottom"/>
          </w:tcPr>
          <w:p>
            <w:pPr>
              <w:spacing w:after="0"/>
              <w:rPr>
                <w:sz w:val="21"/>
                <w:szCs w:val="21"/>
                <w:color w:val="auto"/>
              </w:rPr>
            </w:pPr>
          </w:p>
        </w:tc>
        <w:tc>
          <w:tcPr>
            <w:tcW w:w="6360" w:type="dxa"/>
            <w:vAlign w:val="bottom"/>
            <w:tcBorders>
              <w:bottom w:val="single" w:sz="8" w:color="auto"/>
            </w:tcBorders>
            <w:gridSpan w:val="3"/>
          </w:tcPr>
          <w:p>
            <w:pPr>
              <w:jc w:val="center"/>
              <w:ind w:left="2761"/>
              <w:spacing w:after="0"/>
              <w:rPr>
                <w:sz w:val="20"/>
                <w:szCs w:val="20"/>
                <w:color w:val="auto"/>
              </w:rPr>
            </w:pPr>
            <w:r>
              <w:rPr>
                <w:rFonts w:ascii="Arial" w:cs="Arial" w:eastAsia="Arial" w:hAnsi="Arial"/>
                <w:sz w:val="16"/>
                <w:szCs w:val="16"/>
                <w:b w:val="1"/>
                <w:bCs w:val="1"/>
                <w:color w:val="auto"/>
                <w:w w:val="87"/>
              </w:rPr>
              <w:t>Securities registered under Section 12(b) of the Act:</w:t>
            </w:r>
          </w:p>
        </w:tc>
        <w:tc>
          <w:tcPr>
            <w:tcW w:w="3140" w:type="dxa"/>
            <w:vAlign w:val="bottom"/>
            <w:tcBorders>
              <w:bottom w:val="single" w:sz="8" w:color="auto"/>
            </w:tcBorders>
          </w:tcPr>
          <w:p>
            <w:pPr>
              <w:spacing w:after="0"/>
              <w:rPr>
                <w:sz w:val="21"/>
                <w:szCs w:val="21"/>
                <w:color w:val="auto"/>
              </w:rPr>
            </w:pPr>
          </w:p>
        </w:tc>
      </w:tr>
      <w:tr>
        <w:trPr>
          <w:trHeight w:val="183"/>
        </w:trPr>
        <w:tc>
          <w:tcPr>
            <w:tcW w:w="740" w:type="dxa"/>
            <w:vAlign w:val="bottom"/>
            <w:tcBorders>
              <w:right w:val="single" w:sz="8" w:color="auto"/>
            </w:tcBorders>
          </w:tcPr>
          <w:p>
            <w:pPr>
              <w:spacing w:after="0"/>
              <w:rPr>
                <w:sz w:val="15"/>
                <w:szCs w:val="15"/>
                <w:color w:val="auto"/>
              </w:rPr>
            </w:pPr>
          </w:p>
        </w:tc>
        <w:tc>
          <w:tcPr>
            <w:tcW w:w="3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8"/>
              </w:rPr>
              <w:t>Title of each class</w:t>
            </w:r>
          </w:p>
        </w:tc>
        <w:tc>
          <w:tcPr>
            <w:tcW w:w="2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2"/>
              </w:rPr>
              <w:t>Trading Symbol</w:t>
            </w:r>
          </w:p>
        </w:tc>
        <w:tc>
          <w:tcPr>
            <w:tcW w:w="300" w:type="dxa"/>
            <w:vAlign w:val="bottom"/>
          </w:tcPr>
          <w:p>
            <w:pPr>
              <w:spacing w:after="0"/>
              <w:rPr>
                <w:sz w:val="15"/>
                <w:szCs w:val="15"/>
                <w:color w:val="auto"/>
              </w:rPr>
            </w:pPr>
          </w:p>
        </w:tc>
        <w:tc>
          <w:tcPr>
            <w:tcW w:w="3140" w:type="dxa"/>
            <w:vAlign w:val="bottom"/>
            <w:tcBorders>
              <w:right w:val="single" w:sz="8" w:color="auto"/>
            </w:tcBorders>
          </w:tcPr>
          <w:p>
            <w:pPr>
              <w:jc w:val="center"/>
              <w:ind w:right="261"/>
              <w:spacing w:after="0" w:line="183" w:lineRule="exact"/>
              <w:rPr>
                <w:sz w:val="20"/>
                <w:szCs w:val="20"/>
                <w:color w:val="auto"/>
              </w:rPr>
            </w:pPr>
            <w:r>
              <w:rPr>
                <w:rFonts w:ascii="Arial" w:cs="Arial" w:eastAsia="Arial" w:hAnsi="Arial"/>
                <w:sz w:val="16"/>
                <w:szCs w:val="16"/>
                <w:color w:val="auto"/>
                <w:w w:val="88"/>
              </w:rPr>
              <w:t>Name of each exchange on which registered</w:t>
            </w:r>
          </w:p>
        </w:tc>
      </w:tr>
      <w:tr>
        <w:trPr>
          <w:trHeight w:val="42"/>
        </w:trPr>
        <w:tc>
          <w:tcPr>
            <w:tcW w:w="740" w:type="dxa"/>
            <w:vAlign w:val="bottom"/>
            <w:tcBorders>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r>
      <w:tr>
        <w:trPr>
          <w:trHeight w:val="185"/>
        </w:trPr>
        <w:tc>
          <w:tcPr>
            <w:tcW w:w="74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Common Stock, par value $0.01 per share</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CECO</w:t>
            </w:r>
          </w:p>
        </w:tc>
        <w:tc>
          <w:tcPr>
            <w:tcW w:w="300" w:type="dxa"/>
            <w:vAlign w:val="bottom"/>
          </w:tcPr>
          <w:p>
            <w:pPr>
              <w:spacing w:after="0"/>
              <w:rPr>
                <w:sz w:val="16"/>
                <w:szCs w:val="16"/>
                <w:color w:val="auto"/>
              </w:rPr>
            </w:pPr>
          </w:p>
        </w:tc>
        <w:tc>
          <w:tcPr>
            <w:tcW w:w="3140" w:type="dxa"/>
            <w:vAlign w:val="bottom"/>
            <w:tcBorders>
              <w:right w:val="single" w:sz="8" w:color="auto"/>
            </w:tcBorders>
          </w:tcPr>
          <w:p>
            <w:pPr>
              <w:jc w:val="center"/>
              <w:ind w:right="241"/>
              <w:spacing w:after="0"/>
              <w:rPr>
                <w:sz w:val="20"/>
                <w:szCs w:val="20"/>
                <w:color w:val="auto"/>
              </w:rPr>
            </w:pPr>
            <w:r>
              <w:rPr>
                <w:rFonts w:ascii="Arial" w:cs="Arial" w:eastAsia="Arial" w:hAnsi="Arial"/>
                <w:sz w:val="16"/>
                <w:szCs w:val="16"/>
                <w:color w:val="auto"/>
                <w:w w:val="94"/>
              </w:rPr>
              <w:t>The NASDAQ Stock Market LLC</w:t>
            </w:r>
          </w:p>
        </w:tc>
      </w:tr>
      <w:tr>
        <w:trPr>
          <w:trHeight w:val="88"/>
        </w:trPr>
        <w:tc>
          <w:tcPr>
            <w:tcW w:w="740" w:type="dxa"/>
            <w:vAlign w:val="bottom"/>
            <w:tcBorders>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3440" w:type="dxa"/>
            <w:vAlign w:val="bottom"/>
            <w:tcBorders>
              <w:bottom w:val="single" w:sz="8" w:color="auto"/>
              <w:right w:val="single" w:sz="8" w:color="auto"/>
            </w:tcBorders>
            <w:gridSpan w:val="2"/>
          </w:tcPr>
          <w:p>
            <w:pPr>
              <w:spacing w:after="0"/>
              <w:rPr>
                <w:sz w:val="7"/>
                <w:szCs w:val="7"/>
                <w:color w:val="auto"/>
              </w:rPr>
            </w:pPr>
          </w:p>
        </w:tc>
      </w:tr>
      <w:tr>
        <w:trPr>
          <w:trHeight w:val="237"/>
        </w:trPr>
        <w:tc>
          <w:tcPr>
            <w:tcW w:w="740" w:type="dxa"/>
            <w:vAlign w:val="bottom"/>
          </w:tcPr>
          <w:p>
            <w:pPr>
              <w:spacing w:after="0"/>
              <w:rPr>
                <w:sz w:val="20"/>
                <w:szCs w:val="20"/>
                <w:color w:val="auto"/>
              </w:rPr>
            </w:pPr>
          </w:p>
        </w:tc>
        <w:tc>
          <w:tcPr>
            <w:tcW w:w="9500" w:type="dxa"/>
            <w:vAlign w:val="bottom"/>
            <w:gridSpan w:val="4"/>
          </w:tcPr>
          <w:p>
            <w:pPr>
              <w:ind w:left="2960"/>
              <w:spacing w:after="0"/>
              <w:rPr>
                <w:sz w:val="20"/>
                <w:szCs w:val="20"/>
                <w:color w:val="auto"/>
              </w:rPr>
            </w:pPr>
            <w:r>
              <w:rPr>
                <w:rFonts w:ascii="Arial" w:cs="Arial" w:eastAsia="Arial" w:hAnsi="Arial"/>
                <w:sz w:val="15"/>
                <w:szCs w:val="15"/>
                <w:color w:val="auto"/>
              </w:rPr>
              <w:t>Securities registered pursuant to Section 12(g) of the Act: None</w:t>
            </w:r>
          </w:p>
        </w:tc>
      </w:tr>
      <w:tr>
        <w:trPr>
          <w:trHeight w:val="194"/>
        </w:trPr>
        <w:tc>
          <w:tcPr>
            <w:tcW w:w="10240" w:type="dxa"/>
            <w:vAlign w:val="bottom"/>
            <w:gridSpan w:val="5"/>
          </w:tcPr>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r>
        <w:trPr>
          <w:trHeight w:val="197"/>
        </w:trPr>
        <w:tc>
          <w:tcPr>
            <w:tcW w:w="7100" w:type="dxa"/>
            <w:vAlign w:val="bottom"/>
            <w:gridSpan w:val="4"/>
          </w:tcPr>
          <w:p>
            <w:pPr>
              <w:spacing w:after="0"/>
              <w:rPr>
                <w:sz w:val="20"/>
                <w:szCs w:val="20"/>
                <w:color w:val="auto"/>
              </w:rPr>
            </w:pPr>
            <w:r>
              <w:rPr>
                <w:rFonts w:ascii="Arial" w:cs="Arial" w:eastAsia="Arial" w:hAnsi="Arial"/>
                <w:sz w:val="15"/>
                <w:szCs w:val="15"/>
                <w:color w:val="auto"/>
                <w:w w:val="90"/>
              </w:rPr>
              <w:t>Indicate by check mark if the registrant is not required to file reports pursuant to Section 13 or Section 15(d) of the Act.</w:t>
            </w:r>
          </w:p>
        </w:tc>
        <w:tc>
          <w:tcPr>
            <w:tcW w:w="3140" w:type="dxa"/>
            <w:vAlign w:val="bottom"/>
          </w:tcPr>
          <w:p>
            <w:pPr>
              <w:ind w:left="10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bl>
    <w:p>
      <w:pPr>
        <w:spacing w:after="0" w:line="70" w:lineRule="exact"/>
        <w:rPr>
          <w:sz w:val="20"/>
          <w:szCs w:val="20"/>
          <w:color w:val="auto"/>
        </w:rPr>
      </w:pPr>
    </w:p>
    <w:p>
      <w:pPr>
        <w:ind w:right="60"/>
        <w:spacing w:after="0" w:line="17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0" w:lineRule="exact"/>
        <w:rPr>
          <w:sz w:val="20"/>
          <w:szCs w:val="20"/>
          <w:color w:val="auto"/>
        </w:rPr>
      </w:pPr>
    </w:p>
    <w:p>
      <w:pPr>
        <w:ind w:right="60"/>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1" w:lineRule="exact"/>
        <w:rPr>
          <w:sz w:val="20"/>
          <w:szCs w:val="20"/>
          <w:color w:val="auto"/>
        </w:rPr>
      </w:pPr>
    </w:p>
    <w:p>
      <w:pPr>
        <w:ind w:right="180"/>
        <w:spacing w:after="0" w:line="29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0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82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940" w:type="dxa"/>
            <w:vAlign w:val="bottom"/>
          </w:tcPr>
          <w:p>
            <w:pPr>
              <w:spacing w:after="0"/>
              <w:rPr>
                <w:sz w:val="20"/>
                <w:szCs w:val="20"/>
                <w:color w:val="auto"/>
              </w:rPr>
            </w:pPr>
            <w:r>
              <w:rPr>
                <w:rFonts w:ascii="Arial" w:cs="Arial" w:eastAsia="Arial" w:hAnsi="Arial"/>
                <w:sz w:val="15"/>
                <w:szCs w:val="15"/>
                <w:color w:val="auto"/>
              </w:rPr>
              <w:t>Non-Accelerated Filer</w:t>
            </w:r>
          </w:p>
        </w:tc>
        <w:tc>
          <w:tcPr>
            <w:tcW w:w="330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82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9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0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spacing w:after="0" w:line="65" w:lineRule="exact"/>
        <w:rPr>
          <w:sz w:val="20"/>
          <w:szCs w:val="20"/>
          <w:color w:val="auto"/>
        </w:rPr>
      </w:pPr>
    </w:p>
    <w:p>
      <w:pPr>
        <w:ind w:right="360"/>
        <w:spacing w:after="0" w:line="17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2" w:lineRule="exact"/>
        <w:rPr>
          <w:sz w:val="20"/>
          <w:szCs w:val="20"/>
          <w:color w:val="auto"/>
        </w:rPr>
      </w:pPr>
    </w:p>
    <w:p>
      <w:pPr>
        <w:ind w:right="20"/>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1" w:lineRule="exact"/>
        <w:rPr>
          <w:sz w:val="20"/>
          <w:szCs w:val="20"/>
          <w:color w:val="auto"/>
        </w:rPr>
      </w:pPr>
    </w:p>
    <w:p>
      <w:pPr>
        <w:ind w:right="40"/>
        <w:spacing w:after="0" w:line="179"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71" w:lineRule="exact"/>
        <w:rPr>
          <w:sz w:val="20"/>
          <w:szCs w:val="20"/>
          <w:color w:val="auto"/>
        </w:rPr>
      </w:pPr>
    </w:p>
    <w:p>
      <w:pPr>
        <w:spacing w:after="0" w:line="17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64" w:lineRule="exact"/>
        <w:rPr>
          <w:sz w:val="20"/>
          <w:szCs w:val="20"/>
          <w:color w:val="auto"/>
        </w:rPr>
      </w:pPr>
    </w:p>
    <w:p>
      <w:pPr>
        <w:spacing w:after="0" w:line="173" w:lineRule="exact"/>
        <w:tabs>
          <w:tab w:leader="none" w:pos="6880" w:val="left"/>
          <w:tab w:leader="none" w:pos="74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1"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The aggregate market value of voting and non-voting common stock held by non-affiliates of the registrant was $399.2 million based upon the closing market price and shares of common stock outstanding as of June 30, 2023,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As of February 26, 2024, the registrant had 34,850,737 shares of common stock, par value $0.01 per share, outstanding.</w:t>
      </w:r>
    </w:p>
    <w:p>
      <w:pPr>
        <w:spacing w:after="0" w:line="58" w:lineRule="exact"/>
        <w:rPr>
          <w:sz w:val="20"/>
          <w:szCs w:val="20"/>
          <w:color w:val="auto"/>
        </w:rPr>
      </w:pPr>
    </w:p>
    <w:p>
      <w:pPr>
        <w:ind w:left="41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65" w:lineRule="exact"/>
        <w:rPr>
          <w:sz w:val="20"/>
          <w:szCs w:val="20"/>
          <w:color w:val="auto"/>
        </w:rPr>
      </w:pPr>
    </w:p>
    <w:p>
      <w:pPr>
        <w:ind w:right="260" w:firstLine="485"/>
        <w:spacing w:after="0" w:line="261" w:lineRule="auto"/>
        <w:rPr>
          <w:sz w:val="20"/>
          <w:szCs w:val="20"/>
          <w:color w:val="auto"/>
        </w:rPr>
      </w:pPr>
      <w:r>
        <w:rPr>
          <w:rFonts w:ascii="Arial" w:cs="Arial" w:eastAsia="Arial" w:hAnsi="Arial"/>
          <w:sz w:val="14"/>
          <w:szCs w:val="14"/>
          <w:color w:val="auto"/>
        </w:rPr>
        <w:t>Portions of the definitive Proxy Statement for the 2024 Annual Meeting of Stockholders, which is to be filed with the Securities and Exchange Commission within 120 days of the fiscal year ended December 31, 2023, are incorporated by reference into Part III of this Annual Report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94615</wp:posOffset>
            </wp:positionV>
            <wp:extent cx="68268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2">
                      <a:extLst>
                        <a:ext uri="{28A0092B-C50C-407E-A947-70E740481C1C}"/>
                      </a:extLst>
                    </a:blip>
                    <a:srcRect/>
                    <a:stretch>
                      <a:fillRect/>
                    </a:stretch>
                  </pic:blipFill>
                  <pic:spPr bwMode="auto">
                    <a:xfrm>
                      <a:off x="0" y="0"/>
                      <a:ext cx="6826885"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76200</wp:posOffset>
            </wp:positionV>
            <wp:extent cx="68268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3">
                      <a:extLst>
                        <a:ext uri="{28A0092B-C50C-407E-A947-70E740481C1C}"/>
                      </a:extLst>
                    </a:blip>
                    <a:srcRect/>
                    <a:stretch>
                      <a:fillRect/>
                    </a:stretch>
                  </pic:blipFill>
                  <pic:spPr bwMode="auto">
                    <a:xfrm>
                      <a:off x="0" y="0"/>
                      <a:ext cx="6826885" cy="8890"/>
                    </a:xfrm>
                    <a:prstGeom prst="rect">
                      <a:avLst/>
                    </a:prstGeom>
                    <a:noFill/>
                  </pic:spPr>
                </pic:pic>
              </a:graphicData>
            </a:graphic>
          </wp:anchor>
        </w:drawing>
      </w:r>
    </w:p>
    <w:p>
      <w:pPr>
        <w:sectPr>
          <w:pgSz w:w="11880" w:h="15480" w:orient="portrait"/>
          <w:cols w:equalWidth="0" w:num="1">
            <w:col w:w="10680"/>
          </w:cols>
          <w:pgMar w:left="600" w:top="997" w:right="600" w:bottom="492" w:gutter="0" w:footer="0" w:header="0"/>
        </w:sectPr>
      </w:pPr>
    </w:p>
    <w:bookmarkStart w:id="11" w:name="page12"/>
    <w:bookmarkEnd w:id="11"/>
    <w:p>
      <w:pPr>
        <w:ind w:left="3400"/>
        <w:spacing w:after="0"/>
        <w:rPr>
          <w:sz w:val="20"/>
          <w:szCs w:val="20"/>
          <w:color w:val="auto"/>
        </w:rPr>
      </w:pPr>
      <w:r>
        <w:rPr>
          <w:rFonts w:ascii="Arial" w:cs="Arial" w:eastAsia="Arial" w:hAnsi="Arial"/>
          <w:sz w:val="20"/>
          <w:szCs w:val="20"/>
          <w:b w:val="1"/>
          <w:bCs w:val="1"/>
          <w:color w:val="auto"/>
        </w:rPr>
        <w:t>CECO Environmental Corp. and Subsidiaries</w:t>
      </w:r>
    </w:p>
    <w:p>
      <w:pPr>
        <w:ind w:left="3820"/>
        <w:spacing w:after="0" w:line="235" w:lineRule="auto"/>
        <w:rPr>
          <w:sz w:val="20"/>
          <w:szCs w:val="20"/>
          <w:color w:val="auto"/>
        </w:rPr>
      </w:pPr>
      <w:r>
        <w:rPr>
          <w:rFonts w:ascii="Arial" w:cs="Arial" w:eastAsia="Arial" w:hAnsi="Arial"/>
          <w:sz w:val="20"/>
          <w:szCs w:val="20"/>
          <w:color w:val="auto"/>
        </w:rPr>
        <w:t>ANNUAL REPORT ON FORM 10-K</w:t>
      </w:r>
    </w:p>
    <w:p>
      <w:pPr>
        <w:ind w:left="3800"/>
        <w:spacing w:after="0"/>
        <w:rPr>
          <w:sz w:val="20"/>
          <w:szCs w:val="20"/>
          <w:color w:val="auto"/>
        </w:rPr>
      </w:pPr>
      <w:r>
        <w:rPr>
          <w:rFonts w:ascii="Arial" w:cs="Arial" w:eastAsia="Arial" w:hAnsi="Arial"/>
          <w:sz w:val="20"/>
          <w:szCs w:val="20"/>
          <w:color w:val="auto"/>
        </w:rPr>
        <w:t>For the year ended December 31, 2023</w:t>
      </w:r>
    </w:p>
    <w:p>
      <w:pPr>
        <w:spacing w:after="0" w:line="1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TABLE OF CONTENTS</w:t>
      </w:r>
    </w:p>
    <w:p>
      <w:pPr>
        <w:spacing w:after="0" w:line="229" w:lineRule="exact"/>
        <w:rPr>
          <w:sz w:val="20"/>
          <w:szCs w:val="20"/>
          <w:color w:val="auto"/>
        </w:rPr>
      </w:pPr>
    </w:p>
    <w:p>
      <w:pPr>
        <w:spacing w:after="0"/>
        <w:tabs>
          <w:tab w:leader="none" w:pos="2260" w:val="left"/>
          <w:tab w:leader="none" w:pos="10280" w:val="left"/>
        </w:tabs>
        <w:rPr>
          <w:sz w:val="20"/>
          <w:szCs w:val="20"/>
          <w:color w:val="auto"/>
        </w:rPr>
      </w:pPr>
      <w:r>
        <w:rPr>
          <w:rFonts w:ascii="Arial" w:cs="Arial" w:eastAsia="Arial" w:hAnsi="Arial"/>
          <w:sz w:val="16"/>
          <w:szCs w:val="16"/>
          <w:b w:val="1"/>
          <w:bCs w:val="1"/>
          <w:color w:val="auto"/>
        </w:rPr>
        <w:t>Item</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2540</wp:posOffset>
                </wp:positionV>
                <wp:extent cx="6223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6035">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0.2pt" to="48.75pt,0.2pt" o:allowincell="f" strokecolor="#000000" strokeweight="0.4752pt"/>
            </w:pict>
          </mc:Fallback>
        </mc:AlternateContent>
        <mc:AlternateContent>
          <mc:Choice Requires="wps">
            <w:drawing>
              <wp:anchor simplePos="0" relativeHeight="251657728" behindDoc="1" locked="0" layoutInCell="0" allowOverlap="1">
                <wp:simplePos x="0" y="0"/>
                <wp:positionH relativeFrom="column">
                  <wp:posOffset>1452245</wp:posOffset>
                </wp:positionH>
                <wp:positionV relativeFrom="paragraph">
                  <wp:posOffset>2540</wp:posOffset>
                </wp:positionV>
                <wp:extent cx="498729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7290" cy="4763"/>
                        </a:xfrm>
                        <a:prstGeom prst="line">
                          <a:avLst/>
                        </a:prstGeom>
                        <a:solidFill>
                          <a:srgbClr val="FFFFFF"/>
                        </a:solidFill>
                        <a:ln w="6035">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35pt,0.2pt" to="507.05pt,0.2pt" o:allowincell="f" strokecolor="#000000" strokeweight="0.4752pt"/>
            </w:pict>
          </mc:Fallback>
        </mc:AlternateContent>
        <mc:AlternateContent>
          <mc:Choice Requires="wps">
            <w:drawing>
              <wp:anchor simplePos="0" relativeHeight="251657728" behindDoc="1" locked="0" layoutInCell="0" allowOverlap="1">
                <wp:simplePos x="0" y="0"/>
                <wp:positionH relativeFrom="column">
                  <wp:posOffset>6509385</wp:posOffset>
                </wp:positionH>
                <wp:positionV relativeFrom="paragraph">
                  <wp:posOffset>2540</wp:posOffset>
                </wp:positionV>
                <wp:extent cx="27749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4763"/>
                        </a:xfrm>
                        <a:prstGeom prst="line">
                          <a:avLst/>
                        </a:prstGeom>
                        <a:solidFill>
                          <a:srgbClr val="FFFFFF"/>
                        </a:solidFill>
                        <a:ln w="6035">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5pt,0.2pt" to="534.4pt,0.2pt" o:allowincell="f" strokecolor="#000000" strokeweight="0.4752pt"/>
            </w:pict>
          </mc:Fallback>
        </mc:AlternateContent>
      </w:r>
    </w:p>
    <w:p>
      <w:pPr>
        <w:spacing w:after="0"/>
        <w:rPr>
          <w:sz w:val="20"/>
          <w:szCs w:val="20"/>
          <w:color w:val="auto"/>
        </w:rPr>
      </w:pPr>
      <w:r>
        <w:rPr>
          <w:rFonts w:ascii="Arial" w:cs="Arial" w:eastAsia="Arial" w:hAnsi="Arial"/>
          <w:sz w:val="20"/>
          <w:szCs w:val="20"/>
          <w:u w:val="single" w:color="auto"/>
          <w:color w:val="auto"/>
        </w:rPr>
        <w:t>PART I.</w:t>
      </w:r>
    </w:p>
    <w:p>
      <w:pPr>
        <w:spacing w:after="0" w:line="134" w:lineRule="exact"/>
        <w:rPr>
          <w:sz w:val="20"/>
          <w:szCs w:val="20"/>
          <w:color w:val="auto"/>
        </w:rPr>
      </w:pPr>
    </w:p>
    <w:p>
      <w:pPr>
        <w:spacing w:after="0"/>
        <w:tabs>
          <w:tab w:leader="none" w:pos="2260" w:val="left"/>
          <w:tab w:leader="dot" w:pos="1056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20"/>
          <w:szCs w:val="20"/>
          <w:u w:val="single" w:color="auto"/>
          <w:color w:val="auto"/>
        </w:rPr>
        <w:t>Business</w:t>
      </w:r>
      <w:r>
        <w:rPr>
          <w:sz w:val="20"/>
          <w:szCs w:val="20"/>
          <w:color w:val="auto"/>
        </w:rPr>
        <w:tab/>
      </w:r>
      <w:r>
        <w:rPr>
          <w:rFonts w:ascii="Arial" w:cs="Arial" w:eastAsia="Arial" w:hAnsi="Arial"/>
          <w:sz w:val="16"/>
          <w:szCs w:val="16"/>
          <w:color w:val="auto"/>
        </w:rPr>
        <w:t>2</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20"/>
          <w:szCs w:val="20"/>
          <w:u w:val="single" w:color="auto"/>
          <w:color w:val="auto"/>
        </w:rPr>
        <w:t>Risk Factors</w:t>
      </w:r>
      <w:r>
        <w:rPr>
          <w:sz w:val="20"/>
          <w:szCs w:val="20"/>
          <w:color w:val="auto"/>
        </w:rPr>
        <w:tab/>
      </w:r>
      <w:r>
        <w:rPr>
          <w:rFonts w:ascii="Arial" w:cs="Arial" w:eastAsia="Arial" w:hAnsi="Arial"/>
          <w:sz w:val="16"/>
          <w:szCs w:val="16"/>
          <w:color w:val="auto"/>
        </w:rPr>
        <w:t>10</w:t>
      </w:r>
    </w:p>
    <w:p>
      <w:pPr>
        <w:spacing w:after="0" w:line="136"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20"/>
          <w:szCs w:val="20"/>
          <w:u w:val="single" w:color="auto"/>
          <w:color w:val="auto"/>
        </w:rPr>
        <w:t>Unresolved Staff Comments</w:t>
      </w:r>
      <w:r>
        <w:rPr>
          <w:sz w:val="20"/>
          <w:szCs w:val="20"/>
          <w:color w:val="auto"/>
        </w:rPr>
        <w:tab/>
      </w:r>
      <w:r>
        <w:rPr>
          <w:rFonts w:ascii="Arial" w:cs="Arial" w:eastAsia="Arial" w:hAnsi="Arial"/>
          <w:sz w:val="16"/>
          <w:szCs w:val="16"/>
          <w:color w:val="auto"/>
        </w:rPr>
        <w:t>21</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1C.</w:t>
      </w:r>
      <w:r>
        <w:rPr>
          <w:sz w:val="20"/>
          <w:szCs w:val="20"/>
          <w:color w:val="auto"/>
        </w:rPr>
        <w:tab/>
      </w:r>
      <w:r>
        <w:rPr>
          <w:rFonts w:ascii="Arial" w:cs="Arial" w:eastAsia="Arial" w:hAnsi="Arial"/>
          <w:sz w:val="20"/>
          <w:szCs w:val="20"/>
          <w:u w:val="single" w:color="auto"/>
          <w:color w:val="auto"/>
        </w:rPr>
        <w:t>Cybersecurity</w:t>
      </w:r>
      <w:r>
        <w:rPr>
          <w:sz w:val="20"/>
          <w:szCs w:val="20"/>
          <w:color w:val="auto"/>
        </w:rPr>
        <w:tab/>
      </w:r>
      <w:r>
        <w:rPr>
          <w:rFonts w:ascii="Arial" w:cs="Arial" w:eastAsia="Arial" w:hAnsi="Arial"/>
          <w:sz w:val="16"/>
          <w:szCs w:val="16"/>
          <w:color w:val="auto"/>
        </w:rPr>
        <w:t>21</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20"/>
          <w:szCs w:val="20"/>
          <w:u w:val="single" w:color="auto"/>
          <w:color w:val="auto"/>
        </w:rPr>
        <w:t>Properties</w:t>
      </w:r>
      <w:r>
        <w:rPr>
          <w:sz w:val="20"/>
          <w:szCs w:val="20"/>
          <w:color w:val="auto"/>
        </w:rPr>
        <w:tab/>
      </w:r>
      <w:r>
        <w:rPr>
          <w:rFonts w:ascii="Arial" w:cs="Arial" w:eastAsia="Arial" w:hAnsi="Arial"/>
          <w:sz w:val="16"/>
          <w:szCs w:val="16"/>
          <w:color w:val="auto"/>
        </w:rPr>
        <w:t>22</w:t>
      </w:r>
    </w:p>
    <w:p>
      <w:pPr>
        <w:spacing w:after="0" w:line="137"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20"/>
          <w:szCs w:val="20"/>
          <w:u w:val="single" w:color="auto"/>
          <w:color w:val="auto"/>
        </w:rPr>
        <w:t>Legal Proceedings</w:t>
      </w:r>
      <w:r>
        <w:rPr>
          <w:sz w:val="20"/>
          <w:szCs w:val="20"/>
          <w:color w:val="auto"/>
        </w:rPr>
        <w:tab/>
      </w:r>
      <w:r>
        <w:rPr>
          <w:rFonts w:ascii="Arial" w:cs="Arial" w:eastAsia="Arial" w:hAnsi="Arial"/>
          <w:sz w:val="16"/>
          <w:szCs w:val="16"/>
          <w:color w:val="auto"/>
        </w:rPr>
        <w:t>22</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20"/>
          <w:szCs w:val="20"/>
          <w:u w:val="single" w:color="auto"/>
          <w:color w:val="auto"/>
        </w:rPr>
        <w:t>Mine Safety Disclosures</w:t>
      </w:r>
      <w:r>
        <w:rPr>
          <w:sz w:val="20"/>
          <w:szCs w:val="20"/>
          <w:color w:val="auto"/>
        </w:rPr>
        <w:tab/>
      </w:r>
      <w:r>
        <w:rPr>
          <w:rFonts w:ascii="Arial" w:cs="Arial" w:eastAsia="Arial" w:hAnsi="Arial"/>
          <w:sz w:val="16"/>
          <w:szCs w:val="16"/>
          <w:color w:val="auto"/>
        </w:rPr>
        <w:t>22</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PART II.</w:t>
      </w:r>
    </w:p>
    <w:p>
      <w:pPr>
        <w:spacing w:after="0" w:line="134"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u w:val="single" w:color="auto"/>
          <w:color w:val="auto"/>
        </w:rPr>
        <w:t>Market for the Registrant’s Common Equity, Related Stockholder Matters and Issuer Purchases of</w:t>
      </w:r>
    </w:p>
    <w:p>
      <w:pPr>
        <w:jc w:val="right"/>
        <w:spacing w:after="0"/>
        <w:tabs>
          <w:tab w:leader="dot" w:pos="160" w:val="left"/>
        </w:tabs>
        <w:rPr>
          <w:sz w:val="20"/>
          <w:szCs w:val="20"/>
          <w:color w:val="auto"/>
        </w:rPr>
      </w:pPr>
      <w:r>
        <w:rPr>
          <w:rFonts w:ascii="Arial" w:cs="Arial" w:eastAsia="Arial" w:hAnsi="Arial"/>
          <w:sz w:val="20"/>
          <w:szCs w:val="20"/>
          <w:u w:val="single" w:color="auto"/>
          <w:color w:val="auto"/>
        </w:rPr>
        <w:t>Equity Securities</w:t>
      </w:r>
      <w:r>
        <w:rPr>
          <w:sz w:val="20"/>
          <w:szCs w:val="20"/>
          <w:color w:val="auto"/>
        </w:rPr>
        <w:tab/>
      </w:r>
      <w:r>
        <w:rPr>
          <w:rFonts w:ascii="Arial" w:cs="Arial" w:eastAsia="Arial" w:hAnsi="Arial"/>
          <w:sz w:val="16"/>
          <w:szCs w:val="16"/>
          <w:color w:val="auto"/>
        </w:rPr>
        <w:t>23</w:t>
      </w:r>
    </w:p>
    <w:p>
      <w:pPr>
        <w:spacing w:after="0" w:line="136"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20"/>
          <w:szCs w:val="20"/>
          <w:u w:val="single" w:color="auto"/>
          <w:color w:val="auto"/>
        </w:rPr>
        <w:t>[Reserved]</w:t>
      </w:r>
      <w:r>
        <w:rPr>
          <w:sz w:val="20"/>
          <w:szCs w:val="20"/>
          <w:color w:val="auto"/>
        </w:rPr>
        <w:tab/>
      </w:r>
      <w:r>
        <w:rPr>
          <w:rFonts w:ascii="Arial" w:cs="Arial" w:eastAsia="Arial" w:hAnsi="Arial"/>
          <w:sz w:val="16"/>
          <w:szCs w:val="16"/>
          <w:color w:val="auto"/>
        </w:rPr>
        <w:t>24</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u w:val="single" w:color="auto"/>
          <w:color w:val="auto"/>
        </w:rPr>
        <w:t>Management’s Discussion and Analysis of Financial Condition and Results of Operations</w:t>
      </w:r>
      <w:r>
        <w:rPr>
          <w:sz w:val="20"/>
          <w:szCs w:val="20"/>
          <w:color w:val="auto"/>
        </w:rPr>
        <w:tab/>
      </w:r>
      <w:r>
        <w:rPr>
          <w:rFonts w:ascii="Arial" w:cs="Arial" w:eastAsia="Arial" w:hAnsi="Arial"/>
          <w:sz w:val="16"/>
          <w:szCs w:val="16"/>
          <w:color w:val="auto"/>
        </w:rPr>
        <w:t>25</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20"/>
          <w:szCs w:val="20"/>
          <w:u w:val="single" w:color="auto"/>
          <w:color w:val="auto"/>
        </w:rPr>
        <w:t>Quantitative and Qualitative Disclosures About Market Risk</w:t>
      </w:r>
      <w:r>
        <w:rPr>
          <w:sz w:val="20"/>
          <w:szCs w:val="20"/>
          <w:color w:val="auto"/>
        </w:rPr>
        <w:tab/>
      </w:r>
      <w:r>
        <w:rPr>
          <w:rFonts w:ascii="Arial" w:cs="Arial" w:eastAsia="Arial" w:hAnsi="Arial"/>
          <w:sz w:val="16"/>
          <w:szCs w:val="16"/>
          <w:color w:val="auto"/>
        </w:rPr>
        <w:t>36</w:t>
      </w:r>
    </w:p>
    <w:p>
      <w:pPr>
        <w:spacing w:after="0" w:line="136"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20"/>
          <w:szCs w:val="20"/>
          <w:u w:val="single" w:color="auto"/>
          <w:color w:val="auto"/>
        </w:rPr>
        <w:t>Financial Statements and Supplementary Data</w:t>
      </w:r>
      <w:r>
        <w:rPr>
          <w:sz w:val="20"/>
          <w:szCs w:val="20"/>
          <w:color w:val="auto"/>
        </w:rPr>
        <w:tab/>
      </w:r>
      <w:r>
        <w:rPr>
          <w:rFonts w:ascii="Arial" w:cs="Arial" w:eastAsia="Arial" w:hAnsi="Arial"/>
          <w:sz w:val="16"/>
          <w:szCs w:val="16"/>
          <w:color w:val="auto"/>
        </w:rPr>
        <w:t>37</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20"/>
          <w:szCs w:val="20"/>
          <w:u w:val="single" w:color="auto"/>
          <w:color w:val="auto"/>
        </w:rPr>
        <w:t>Changes in and Disagreements with Accountants on Accounting and Financial Disclosure</w:t>
      </w:r>
      <w:r>
        <w:rPr>
          <w:sz w:val="20"/>
          <w:szCs w:val="20"/>
          <w:color w:val="auto"/>
        </w:rPr>
        <w:tab/>
      </w:r>
      <w:r>
        <w:rPr>
          <w:rFonts w:ascii="Arial" w:cs="Arial" w:eastAsia="Arial" w:hAnsi="Arial"/>
          <w:sz w:val="16"/>
          <w:szCs w:val="16"/>
          <w:color w:val="auto"/>
        </w:rPr>
        <w:t>37</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20"/>
          <w:szCs w:val="20"/>
          <w:u w:val="single" w:color="auto"/>
          <w:color w:val="auto"/>
        </w:rPr>
        <w:t>Controls and Procedures</w:t>
      </w:r>
      <w:r>
        <w:rPr>
          <w:sz w:val="20"/>
          <w:szCs w:val="20"/>
          <w:color w:val="auto"/>
        </w:rPr>
        <w:tab/>
      </w:r>
      <w:r>
        <w:rPr>
          <w:rFonts w:ascii="Arial" w:cs="Arial" w:eastAsia="Arial" w:hAnsi="Arial"/>
          <w:sz w:val="16"/>
          <w:szCs w:val="16"/>
          <w:color w:val="auto"/>
        </w:rPr>
        <w:t>37</w:t>
      </w:r>
    </w:p>
    <w:p>
      <w:pPr>
        <w:spacing w:after="0" w:line="136"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20"/>
          <w:szCs w:val="20"/>
          <w:u w:val="single" w:color="auto"/>
          <w:color w:val="auto"/>
        </w:rPr>
        <w:t>Other Information</w:t>
      </w:r>
      <w:r>
        <w:rPr>
          <w:sz w:val="20"/>
          <w:szCs w:val="20"/>
          <w:color w:val="auto"/>
        </w:rPr>
        <w:tab/>
      </w:r>
      <w:r>
        <w:rPr>
          <w:rFonts w:ascii="Arial" w:cs="Arial" w:eastAsia="Arial" w:hAnsi="Arial"/>
          <w:sz w:val="16"/>
          <w:szCs w:val="16"/>
          <w:color w:val="auto"/>
        </w:rPr>
        <w:t>41</w:t>
      </w:r>
    </w:p>
    <w:p>
      <w:pPr>
        <w:spacing w:after="0" w:line="134" w:lineRule="exact"/>
        <w:rPr>
          <w:sz w:val="20"/>
          <w:szCs w:val="20"/>
          <w:color w:val="auto"/>
        </w:rPr>
      </w:pPr>
    </w:p>
    <w:p>
      <w:pPr>
        <w:spacing w:after="0"/>
        <w:tabs>
          <w:tab w:leader="none" w:pos="2260" w:val="left"/>
          <w:tab w:leader="none" w:pos="10480" w:val="left"/>
        </w:tabs>
        <w:rPr>
          <w:sz w:val="20"/>
          <w:szCs w:val="20"/>
          <w:color w:val="auto"/>
        </w:rPr>
      </w:pPr>
      <w:r>
        <w:rPr>
          <w:rFonts w:ascii="Arial" w:cs="Arial" w:eastAsia="Arial" w:hAnsi="Arial"/>
          <w:sz w:val="20"/>
          <w:szCs w:val="20"/>
          <w:color w:val="auto"/>
        </w:rPr>
        <w:t>Item 9C</w:t>
      </w:r>
      <w:r>
        <w:rPr>
          <w:sz w:val="20"/>
          <w:szCs w:val="20"/>
          <w:color w:val="auto"/>
        </w:rPr>
        <w:tab/>
      </w:r>
      <w:r>
        <w:rPr>
          <w:rFonts w:ascii="Arial" w:cs="Arial" w:eastAsia="Arial" w:hAnsi="Arial"/>
          <w:sz w:val="20"/>
          <w:szCs w:val="20"/>
          <w:u w:val="single" w:color="auto"/>
          <w:color w:val="auto"/>
        </w:rPr>
        <w:t>Disclosure Regarding Foreign Jurisdictions that Prevent Inspections</w:t>
      </w:r>
      <w:r>
        <w:rPr>
          <w:sz w:val="20"/>
          <w:szCs w:val="20"/>
          <w:color w:val="auto"/>
        </w:rPr>
        <w:tab/>
      </w:r>
      <w:r>
        <w:rPr>
          <w:rFonts w:ascii="Arial" w:cs="Arial" w:eastAsia="Arial" w:hAnsi="Arial"/>
          <w:sz w:val="16"/>
          <w:szCs w:val="16"/>
          <w:color w:val="auto"/>
        </w:rPr>
        <w:t>41</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PART III.</w:t>
      </w:r>
    </w:p>
    <w:p>
      <w:pPr>
        <w:spacing w:after="0" w:line="136"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20"/>
          <w:szCs w:val="20"/>
          <w:u w:val="single" w:color="auto"/>
          <w:color w:val="auto"/>
        </w:rPr>
        <w:t>Directors, Executive Officers and Corporate Governance</w:t>
      </w:r>
      <w:r>
        <w:rPr>
          <w:sz w:val="20"/>
          <w:szCs w:val="20"/>
          <w:color w:val="auto"/>
        </w:rPr>
        <w:tab/>
      </w:r>
      <w:r>
        <w:rPr>
          <w:rFonts w:ascii="Arial" w:cs="Arial" w:eastAsia="Arial" w:hAnsi="Arial"/>
          <w:sz w:val="16"/>
          <w:szCs w:val="16"/>
          <w:color w:val="auto"/>
        </w:rPr>
        <w:t>42</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20"/>
          <w:szCs w:val="20"/>
          <w:u w:val="single" w:color="auto"/>
          <w:color w:val="auto"/>
        </w:rPr>
        <w:t>Executive Compensation</w:t>
      </w:r>
      <w:r>
        <w:rPr>
          <w:sz w:val="20"/>
          <w:szCs w:val="20"/>
          <w:color w:val="auto"/>
        </w:rPr>
        <w:tab/>
      </w:r>
      <w:r>
        <w:rPr>
          <w:rFonts w:ascii="Arial" w:cs="Arial" w:eastAsia="Arial" w:hAnsi="Arial"/>
          <w:sz w:val="16"/>
          <w:szCs w:val="16"/>
          <w:color w:val="auto"/>
        </w:rPr>
        <w:t>42</w:t>
      </w:r>
    </w:p>
    <w:p>
      <w:pPr>
        <w:spacing w:after="0" w:line="134"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6"/>
          <w:szCs w:val="16"/>
          <w:u w:val="single" w:color="auto"/>
          <w:color w:val="auto"/>
        </w:rPr>
        <w:t>Security Ownership of Certain Beneficial Owners and Management and Related Stockholder</w:t>
      </w:r>
    </w:p>
    <w:p>
      <w:pPr>
        <w:jc w:val="right"/>
        <w:spacing w:after="0"/>
        <w:tabs>
          <w:tab w:leader="dot" w:pos="160" w:val="left"/>
        </w:tabs>
        <w:rPr>
          <w:sz w:val="20"/>
          <w:szCs w:val="20"/>
          <w:color w:val="auto"/>
        </w:rPr>
      </w:pPr>
      <w:r>
        <w:rPr>
          <w:rFonts w:ascii="Arial" w:cs="Arial" w:eastAsia="Arial" w:hAnsi="Arial"/>
          <w:sz w:val="20"/>
          <w:szCs w:val="20"/>
          <w:u w:val="single" w:color="auto"/>
          <w:color w:val="auto"/>
        </w:rPr>
        <w:t>Matters</w:t>
      </w:r>
      <w:r>
        <w:rPr>
          <w:sz w:val="20"/>
          <w:szCs w:val="20"/>
          <w:color w:val="auto"/>
        </w:rPr>
        <w:tab/>
      </w:r>
      <w:r>
        <w:rPr>
          <w:rFonts w:ascii="Arial" w:cs="Arial" w:eastAsia="Arial" w:hAnsi="Arial"/>
          <w:sz w:val="16"/>
          <w:szCs w:val="16"/>
          <w:color w:val="auto"/>
        </w:rPr>
        <w:t>42</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20"/>
          <w:szCs w:val="20"/>
          <w:u w:val="single" w:color="auto"/>
          <w:color w:val="auto"/>
        </w:rPr>
        <w:t>Certain Relationships and Related Transactions, and Director Independence</w:t>
      </w:r>
      <w:r>
        <w:rPr>
          <w:sz w:val="20"/>
          <w:szCs w:val="20"/>
          <w:color w:val="auto"/>
        </w:rPr>
        <w:tab/>
      </w:r>
      <w:r>
        <w:rPr>
          <w:rFonts w:ascii="Arial" w:cs="Arial" w:eastAsia="Arial" w:hAnsi="Arial"/>
          <w:sz w:val="16"/>
          <w:szCs w:val="16"/>
          <w:color w:val="auto"/>
        </w:rPr>
        <w:t>43</w:t>
      </w:r>
    </w:p>
    <w:p>
      <w:pPr>
        <w:spacing w:after="0" w:line="137"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20"/>
          <w:szCs w:val="20"/>
          <w:u w:val="single" w:color="auto"/>
          <w:color w:val="auto"/>
        </w:rPr>
        <w:t>Principal Accounting Fees and Services</w:t>
      </w:r>
      <w:r>
        <w:rPr>
          <w:sz w:val="20"/>
          <w:szCs w:val="20"/>
          <w:color w:val="auto"/>
        </w:rPr>
        <w:tab/>
      </w:r>
      <w:r>
        <w:rPr>
          <w:rFonts w:ascii="Arial" w:cs="Arial" w:eastAsia="Arial" w:hAnsi="Arial"/>
          <w:sz w:val="16"/>
          <w:szCs w:val="16"/>
          <w:color w:val="auto"/>
        </w:rPr>
        <w:t>43</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PART IV.</w:t>
      </w:r>
    </w:p>
    <w:p>
      <w:pPr>
        <w:spacing w:after="0" w:line="134"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20"/>
          <w:szCs w:val="20"/>
          <w:u w:val="single" w:color="auto"/>
          <w:color w:val="auto"/>
        </w:rPr>
        <w:t>Exhibits and Financial Statement Schedules</w:t>
      </w:r>
      <w:r>
        <w:rPr>
          <w:sz w:val="20"/>
          <w:szCs w:val="20"/>
          <w:color w:val="auto"/>
        </w:rPr>
        <w:tab/>
      </w:r>
      <w:r>
        <w:rPr>
          <w:rFonts w:ascii="Arial" w:cs="Arial" w:eastAsia="Arial" w:hAnsi="Arial"/>
          <w:sz w:val="16"/>
          <w:szCs w:val="16"/>
          <w:color w:val="auto"/>
        </w:rPr>
        <w:t>44</w:t>
      </w:r>
    </w:p>
    <w:p>
      <w:pPr>
        <w:spacing w:after="0" w:line="136" w:lineRule="exact"/>
        <w:rPr>
          <w:sz w:val="20"/>
          <w:szCs w:val="20"/>
          <w:color w:val="auto"/>
        </w:rPr>
      </w:pPr>
    </w:p>
    <w:p>
      <w:pPr>
        <w:spacing w:after="0"/>
        <w:tabs>
          <w:tab w:leader="none" w:pos="2260" w:val="left"/>
          <w:tab w:leader="dot" w:pos="1048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20"/>
          <w:szCs w:val="20"/>
          <w:u w:val="single" w:color="auto"/>
          <w:color w:val="auto"/>
        </w:rPr>
        <w:t>Form 10-K Summary</w:t>
      </w:r>
      <w:r>
        <w:rPr>
          <w:sz w:val="20"/>
          <w:szCs w:val="20"/>
          <w:color w:val="auto"/>
        </w:rPr>
        <w:tab/>
      </w:r>
      <w:r>
        <w:rPr>
          <w:rFonts w:ascii="Arial" w:cs="Arial" w:eastAsia="Arial" w:hAnsi="Arial"/>
          <w:sz w:val="16"/>
          <w:szCs w:val="16"/>
          <w:color w:val="auto"/>
        </w:rPr>
        <w:t>46</w:t>
      </w:r>
    </w:p>
    <w:p>
      <w:pPr>
        <w:spacing w:after="0" w:line="134" w:lineRule="exact"/>
        <w:rPr>
          <w:sz w:val="20"/>
          <w:szCs w:val="20"/>
          <w:color w:val="auto"/>
        </w:rPr>
      </w:pPr>
    </w:p>
    <w:p>
      <w:pPr>
        <w:spacing w:after="0"/>
        <w:tabs>
          <w:tab w:leader="dot" w:pos="10480" w:val="left"/>
        </w:tabs>
        <w:rPr>
          <w:sz w:val="20"/>
          <w:szCs w:val="20"/>
          <w:color w:val="auto"/>
        </w:rPr>
      </w:pPr>
      <w:r>
        <w:rPr>
          <w:rFonts w:ascii="Arial" w:cs="Arial" w:eastAsia="Arial" w:hAnsi="Arial"/>
          <w:sz w:val="20"/>
          <w:szCs w:val="20"/>
          <w:u w:val="single" w:color="auto"/>
          <w:color w:val="auto"/>
        </w:rPr>
        <w:t>SIGNATURES</w:t>
      </w:r>
      <w:r>
        <w:rPr>
          <w:sz w:val="20"/>
          <w:szCs w:val="20"/>
          <w:color w:val="auto"/>
        </w:rPr>
        <w:tab/>
      </w:r>
      <w:r>
        <w:rPr>
          <w:rFonts w:ascii="Arial" w:cs="Arial" w:eastAsia="Arial" w:hAnsi="Arial"/>
          <w:sz w:val="16"/>
          <w:szCs w:val="16"/>
          <w:color w:val="auto"/>
        </w:rPr>
        <w:t>47</w:t>
      </w:r>
    </w:p>
    <w:p>
      <w:pPr>
        <w:sectPr>
          <w:pgSz w:w="11880" w:h="15480" w:orient="portrait"/>
          <w:cols w:equalWidth="0" w:num="1">
            <w:col w:w="10680"/>
          </w:cols>
          <w:pgMar w:left="600" w:top="837" w:right="60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255" w:lineRule="exact"/>
        <w:rPr>
          <w:sz w:val="20"/>
          <w:szCs w:val="20"/>
          <w:color w:val="auto"/>
        </w:rPr>
      </w:pPr>
    </w:p>
    <w:p>
      <w:pPr>
        <w:ind w:left="700" w:right="300" w:hanging="350"/>
        <w:spacing w:after="0" w:line="232"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sensitivity of our business to economic and financial market conditions generally and economic conditions in CECO’s service areas;</w:t>
      </w:r>
    </w:p>
    <w:p>
      <w:pPr>
        <w:spacing w:after="0" w:line="142" w:lineRule="exact"/>
        <w:rPr>
          <w:rFonts w:ascii="Arial" w:cs="Arial" w:eastAsia="Arial" w:hAnsi="Arial"/>
          <w:sz w:val="20"/>
          <w:szCs w:val="20"/>
          <w:color w:val="auto"/>
        </w:rPr>
      </w:pPr>
    </w:p>
    <w:p>
      <w:pPr>
        <w:ind w:left="700" w:right="620" w:hanging="350"/>
        <w:spacing w:after="0" w:line="232"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dependence on fixed price contracts and the risks associated therewith, including actual costs exceeding estimates and method of accounting for revenue;</w:t>
      </w:r>
    </w:p>
    <w:p>
      <w:pPr>
        <w:spacing w:after="0" w:line="132"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effect of growth on CECO’s infrastructure, resources and existing sales;</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ability to expand operations in both new and existing markets;</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potential for contract delay or cancellation as a result of on-going or worsening supply chain challenges;</w:t>
      </w:r>
    </w:p>
    <w:p>
      <w:pPr>
        <w:spacing w:after="0" w:line="141" w:lineRule="exact"/>
        <w:rPr>
          <w:rFonts w:ascii="Arial" w:cs="Arial" w:eastAsia="Arial" w:hAnsi="Arial"/>
          <w:sz w:val="20"/>
          <w:szCs w:val="20"/>
          <w:color w:val="auto"/>
        </w:rPr>
      </w:pPr>
    </w:p>
    <w:p>
      <w:pPr>
        <w:ind w:left="700" w:right="60" w:hanging="350"/>
        <w:spacing w:after="0" w:line="232"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liabilities arising from faulty services or products that could result in significant professional or product liability, warranty or other claims;</w:t>
      </w:r>
    </w:p>
    <w:p>
      <w:pPr>
        <w:spacing w:after="0" w:line="132"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changes in or developments with respect to any litigation or investigation;</w:t>
      </w:r>
    </w:p>
    <w:p>
      <w:pPr>
        <w:spacing w:after="0" w:line="143" w:lineRule="exact"/>
        <w:rPr>
          <w:rFonts w:ascii="Arial" w:cs="Arial" w:eastAsia="Arial" w:hAnsi="Arial"/>
          <w:sz w:val="20"/>
          <w:szCs w:val="20"/>
          <w:color w:val="auto"/>
        </w:rPr>
      </w:pPr>
    </w:p>
    <w:p>
      <w:pPr>
        <w:ind w:left="700" w:right="280" w:hanging="350"/>
        <w:spacing w:after="0" w:line="232"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failure to meet timely completion or performance standards that could result in higher cost and reduced profits or, in some cases, losses on projects;</w:t>
      </w:r>
    </w:p>
    <w:p>
      <w:pPr>
        <w:spacing w:after="0" w:line="142" w:lineRule="exact"/>
        <w:rPr>
          <w:rFonts w:ascii="Arial" w:cs="Arial" w:eastAsia="Arial" w:hAnsi="Arial"/>
          <w:sz w:val="20"/>
          <w:szCs w:val="20"/>
          <w:color w:val="auto"/>
        </w:rPr>
      </w:pPr>
    </w:p>
    <w:p>
      <w:pPr>
        <w:ind w:left="700" w:right="340" w:hanging="350"/>
        <w:spacing w:after="0" w:line="232"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potential for fluctuations in prices for manufactured components and raw materials, including as a result of tariffs and surcharges, and rising energy costs;</w:t>
      </w:r>
    </w:p>
    <w:p>
      <w:pPr>
        <w:spacing w:after="0" w:line="132"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inflationary pressures relating to raw material costs and the cost of labor;</w:t>
      </w:r>
    </w:p>
    <w:p>
      <w:pPr>
        <w:spacing w:after="0" w:line="143" w:lineRule="exact"/>
        <w:rPr>
          <w:rFonts w:ascii="Arial" w:cs="Arial" w:eastAsia="Arial" w:hAnsi="Arial"/>
          <w:sz w:val="20"/>
          <w:szCs w:val="20"/>
          <w:color w:val="auto"/>
        </w:rPr>
      </w:pPr>
    </w:p>
    <w:p>
      <w:pPr>
        <w:ind w:left="700" w:right="20" w:hanging="350"/>
        <w:spacing w:after="0" w:line="232"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substantial amount of debt incurred in connection with our strategic transactions and our ability to repay or refinance it or incur additional debt in the future;</w:t>
      </w:r>
    </w:p>
    <w:p>
      <w:pPr>
        <w:spacing w:after="0" w:line="132"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impact of federal, state or local government regulations;</w:t>
      </w:r>
    </w:p>
    <w:p>
      <w:pPr>
        <w:spacing w:after="0" w:line="128"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repurchase shares of our common stock and the amounts and timing of repurchases, if any;</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economic and political conditions generally;</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successfully realize the expected benefits of our restructuring programs;</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successfully integrate acquired businesses and realize the synergies from strategic transactions;</w:t>
      </w:r>
    </w:p>
    <w:p>
      <w:pPr>
        <w:spacing w:after="0" w:line="141" w:lineRule="exact"/>
        <w:rPr>
          <w:rFonts w:ascii="Arial" w:cs="Arial" w:eastAsia="Arial" w:hAnsi="Arial"/>
          <w:sz w:val="20"/>
          <w:szCs w:val="20"/>
          <w:color w:val="auto"/>
        </w:rPr>
      </w:pPr>
    </w:p>
    <w:p>
      <w:pPr>
        <w:ind w:left="700" w:right="240" w:hanging="350"/>
        <w:spacing w:after="0" w:line="27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unpredictability and severity of catastrophic events, including cybersecurity threats, acts of terrorism or outbreak of war or hostilities or public health crises, as well as management’s response to any of the aforementioned factors; and</w:t>
      </w:r>
    </w:p>
    <w:p>
      <w:pPr>
        <w:spacing w:after="0" w:line="113" w:lineRule="exact"/>
        <w:rPr>
          <w:rFonts w:ascii="Arial" w:cs="Arial" w:eastAsia="Arial" w:hAnsi="Arial"/>
          <w:sz w:val="18"/>
          <w:szCs w:val="18"/>
          <w:color w:val="auto"/>
        </w:rPr>
      </w:pPr>
    </w:p>
    <w:p>
      <w:pPr>
        <w:ind w:left="700" w:right="460" w:hanging="350"/>
        <w:spacing w:after="0" w:line="232"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remediate our material weaknesses, or any other material weakness that we may identify in the future, that could result in material misstatements in our financial statements.</w:t>
      </w:r>
    </w:p>
    <w:p>
      <w:pPr>
        <w:spacing w:after="0" w:line="249"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880" w:h="15480" w:orient="portrait"/>
          <w:cols w:equalWidth="0" w:num="1">
            <w:col w:w="10660"/>
          </w:cols>
          <w:pgMar w:left="600" w:top="837" w:right="620" w:bottom="46" w:gutter="0" w:footer="0" w:header="0"/>
        </w:sectPr>
      </w:pPr>
    </w:p>
    <w:bookmarkStart w:id="13" w:name="page14"/>
    <w:bookmarkEnd w:id="13"/>
    <w:p>
      <w:pPr>
        <w:jc w:val="center"/>
        <w:ind w:right="-59"/>
        <w:spacing w:after="0"/>
        <w:rPr>
          <w:sz w:val="20"/>
          <w:szCs w:val="20"/>
          <w:color w:val="auto"/>
        </w:rPr>
      </w:pPr>
      <w:r>
        <w:rPr>
          <w:rFonts w:ascii="Arial" w:cs="Arial" w:eastAsia="Arial" w:hAnsi="Arial"/>
          <w:sz w:val="20"/>
          <w:szCs w:val="20"/>
          <w:b w:val="1"/>
          <w:bCs w:val="1"/>
          <w:color w:val="auto"/>
        </w:rPr>
        <w:t>PART I</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w:t>
      </w:r>
    </w:p>
    <w:p>
      <w:pPr>
        <w:spacing w:after="0" w:line="248"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CECO Environmental Corp. (“CECO”, “we”, “us”, "our" or the “Company”) is a leading environmentally focused, diversified industrial company, serving the broad landscape of industrial air, industrial water and energy transition markets globally by providing innovative technology and application expertise. We help companies grow their businesses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240"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224" w:lineRule="exact"/>
        <w:rPr>
          <w:sz w:val="20"/>
          <w:szCs w:val="20"/>
          <w:color w:val="auto"/>
        </w:rPr>
      </w:pPr>
    </w:p>
    <w:p>
      <w:pPr>
        <w:ind w:right="220"/>
        <w:spacing w:after="0" w:line="235" w:lineRule="auto"/>
        <w:rPr>
          <w:sz w:val="20"/>
          <w:szCs w:val="20"/>
          <w:color w:val="auto"/>
        </w:rPr>
      </w:pPr>
      <w:r>
        <w:rPr>
          <w:rFonts w:ascii="Arial" w:cs="Arial" w:eastAsia="Arial" w:hAnsi="Arial"/>
          <w:sz w:val="20"/>
          <w:szCs w:val="20"/>
          <w:color w:val="auto"/>
        </w:rPr>
        <w:t>We believe our value differentiators include, but are not limited to, our product and solutions performance quality, reliability, durability, on-time delivery and safety, all of which are underpinned by our core capabilities in advanced design and systems engineering, commercial excellence, and operational excellence. We believe these differentiators and core capabilities are critical to maintaining our competitive position. Additionally, we have built a spirit of continuous improvement to ensure we maintain our market leadership position.</w:t>
      </w:r>
    </w:p>
    <w:p>
      <w:pPr>
        <w:spacing w:after="0" w:line="25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With an installed base of operating systems and equipment in excess of $6 billion, we are targeting to grow a higher share of recurring revenue from aftermarket products and installed base value-added services, which we believe will provide a greater customer retention and loyalty, and increased business resiliency.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Industry Overview</w:t>
      </w:r>
    </w:p>
    <w:p>
      <w:pPr>
        <w:spacing w:after="0" w:line="246"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We serve a growing multi-billion dollar global industrial market that is highly fragmented and comprised of many industrial sectors and niche applications. Our legacy sectors include industrial wastewater treatment, industrial ventilation systems and contamination controls and filtration, semiconductor fabrication, electronics manufacturing, baseload and backup power generation, hydrocarbon processing, chemical processing, natural gas processing and transport, automobile and aircraft production, polysilicon production, battery recycling, metals processing and production, and produced water treatment. Emerging sectors and applications include electric vehicle and battery production, desalination water transport, ultra-high purity water treatment for electrolysis and electronics production, naval/marine vessel oily water treatment, aluminum beverage can production, and lightweight, high-strength metals production.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We believe demand for our products and services will continue to be driven by the following factors:</w:t>
      </w:r>
    </w:p>
    <w:p>
      <w:pPr>
        <w:spacing w:after="0" w:line="263" w:lineRule="exact"/>
        <w:rPr>
          <w:sz w:val="20"/>
          <w:szCs w:val="20"/>
          <w:color w:val="auto"/>
        </w:rPr>
      </w:pPr>
    </w:p>
    <w:p>
      <w:pPr>
        <w:ind w:left="960" w:right="80" w:hanging="481"/>
        <w:spacing w:after="0" w:line="26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Global Focus on the Environment: </w:t>
      </w:r>
      <w:r>
        <w:rPr>
          <w:rFonts w:ascii="Arial" w:cs="Arial" w:eastAsia="Arial" w:hAnsi="Arial"/>
          <w:sz w:val="18"/>
          <w:szCs w:val="18"/>
          <w:color w:val="auto"/>
        </w:rPr>
        <w:t>Increased demand for efficient solutions and reduced air and water emissions remains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forefront of sustainable production. As our customers and end markets navigate this changing landscape, we are making production and power generation cleaner, more efficient and flexible, and workplaces safer. Increasingly, society, along with government regulation, is calling for companies to commit to the preservation and protection of the environment. We believe that through our air and water quality and emissions control offerings, companies want to work with us to protect people and our planet from the harmful effects of industrial processes.</w:t>
      </w:r>
    </w:p>
    <w:p>
      <w:pPr>
        <w:spacing w:after="0" w:line="123" w:lineRule="exact"/>
        <w:rPr>
          <w:rFonts w:ascii="Arial" w:cs="Arial" w:eastAsia="Arial" w:hAnsi="Arial"/>
          <w:sz w:val="18"/>
          <w:szCs w:val="18"/>
          <w:color w:val="auto"/>
        </w:rPr>
      </w:pPr>
    </w:p>
    <w:p>
      <w:pPr>
        <w:ind w:left="960" w:right="360" w:hanging="481"/>
        <w:spacing w:after="0" w:line="235"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Increasingly Stringent Regulatory Environment: </w:t>
      </w:r>
      <w:r>
        <w:rPr>
          <w:rFonts w:ascii="Arial" w:cs="Arial" w:eastAsia="Arial" w:hAnsi="Arial"/>
          <w:sz w:val="20"/>
          <w:szCs w:val="20"/>
          <w:color w:val="auto"/>
        </w:rPr>
        <w:t>The adoption of increasingly stringent environmental regulations</w:t>
      </w:r>
      <w:r>
        <w:rPr>
          <w:rFonts w:ascii="Arial" w:cs="Arial" w:eastAsia="Arial" w:hAnsi="Arial"/>
          <w:sz w:val="20"/>
          <w:szCs w:val="20"/>
          <w:i w:val="1"/>
          <w:iCs w:val="1"/>
          <w:color w:val="auto"/>
        </w:rPr>
        <w:t xml:space="preserve"> </w:t>
      </w:r>
      <w:r>
        <w:rPr>
          <w:rFonts w:ascii="Arial" w:cs="Arial" w:eastAsia="Arial" w:hAnsi="Arial"/>
          <w:sz w:val="20"/>
          <w:szCs w:val="20"/>
          <w:color w:val="auto"/>
        </w:rPr>
        <w:t>globally requires businesses to pay strict attention to environmental protection and efficient production processes. The businesses and industries we serve must comply with these various international, federal, state and local government regulations or potentially face substantial fines or be forced to suspend production or alter their production processes. Providing assistance in meeting or exceeding stringent environmental regulations are a principal factor that drives our business.</w:t>
      </w:r>
    </w:p>
    <w:p>
      <w:pPr>
        <w:spacing w:after="0" w:line="148" w:lineRule="exact"/>
        <w:rPr>
          <w:rFonts w:ascii="Arial" w:cs="Arial" w:eastAsia="Arial" w:hAnsi="Arial"/>
          <w:sz w:val="20"/>
          <w:szCs w:val="20"/>
          <w:color w:val="auto"/>
        </w:rPr>
      </w:pPr>
    </w:p>
    <w:p>
      <w:pPr>
        <w:ind w:left="960" w:right="100" w:hanging="481"/>
        <w:spacing w:after="0" w:line="232"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Favorable Investment Climate for Net-zero Technologies: </w:t>
      </w:r>
      <w:r>
        <w:rPr>
          <w:rFonts w:ascii="Arial" w:cs="Arial" w:eastAsia="Arial" w:hAnsi="Arial"/>
          <w:sz w:val="20"/>
          <w:szCs w:val="20"/>
          <w:color w:val="auto"/>
        </w:rPr>
        <w:t>Our businesses are positively impacted by capital expenditures</w:t>
      </w:r>
      <w:r>
        <w:rPr>
          <w:rFonts w:ascii="Arial" w:cs="Arial" w:eastAsia="Arial" w:hAnsi="Arial"/>
          <w:sz w:val="20"/>
          <w:szCs w:val="20"/>
          <w:i w:val="1"/>
          <w:iCs w:val="1"/>
          <w:color w:val="auto"/>
        </w:rPr>
        <w:t xml:space="preserve"> </w:t>
      </w:r>
      <w:r>
        <w:rPr>
          <w:rFonts w:ascii="Arial" w:cs="Arial" w:eastAsia="Arial" w:hAnsi="Arial"/>
          <w:sz w:val="20"/>
          <w:szCs w:val="20"/>
          <w:color w:val="auto"/>
        </w:rPr>
        <w:t>on technologies to address climate change and improve environmental outcomes.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10680"/>
          </w:cols>
          <w:pgMar w:left="600" w:top="837" w:right="600" w:bottom="46" w:gutter="0" w:footer="0" w:header="0"/>
        </w:sectPr>
      </w:pPr>
    </w:p>
    <w:bookmarkStart w:id="14" w:name="page15"/>
    <w:bookmarkEnd w:id="14"/>
    <w:p>
      <w:pPr>
        <w:ind w:left="960" w:right="100" w:hanging="481"/>
        <w:spacing w:after="0" w:line="235"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Emerging Market Industrialization: </w:t>
      </w:r>
      <w:r>
        <w:rPr>
          <w:rFonts w:ascii="Arial" w:cs="Arial" w:eastAsia="Arial" w:hAnsi="Arial"/>
          <w:sz w:val="20"/>
          <w:szCs w:val="20"/>
          <w:color w:val="auto"/>
        </w:rPr>
        <w:t>The rapid expansion of manufacturing in emerging economies, and the growing</w:t>
      </w:r>
      <w:r>
        <w:rPr>
          <w:rFonts w:ascii="Arial" w:cs="Arial" w:eastAsia="Arial" w:hAnsi="Arial"/>
          <w:sz w:val="20"/>
          <w:szCs w:val="20"/>
          <w:i w:val="1"/>
          <w:iCs w:val="1"/>
          <w:color w:val="auto"/>
        </w:rPr>
        <w:t xml:space="preserve"> </w:t>
      </w:r>
      <w:r>
        <w:rPr>
          <w:rFonts w:ascii="Arial" w:cs="Arial" w:eastAsia="Arial" w:hAnsi="Arial"/>
          <w:sz w:val="20"/>
          <w:szCs w:val="20"/>
          <w:color w:val="auto"/>
        </w:rPr>
        <w:t>environmental focus in such emerging economies, increases the demand for our industrial air treatment and pollution controls for newly constructed and upgraded facilities. For investments in semiconductor and electronics production, sources of ultra-pure water are required as are emission controls and scrubbers. We expect that more rigorous regulations being introduced to protect the workforce, the environment, and the operating equipment will favorably impact demand for our products and solutions.</w:t>
      </w:r>
    </w:p>
    <w:p>
      <w:pPr>
        <w:spacing w:after="0" w:line="148" w:lineRule="exact"/>
        <w:rPr>
          <w:rFonts w:ascii="Arial" w:cs="Arial" w:eastAsia="Arial" w:hAnsi="Arial"/>
          <w:sz w:val="20"/>
          <w:szCs w:val="20"/>
          <w:color w:val="auto"/>
        </w:rPr>
      </w:pPr>
    </w:p>
    <w:p>
      <w:pPr>
        <w:ind w:left="960" w:right="140" w:hanging="481"/>
        <w:spacing w:after="0" w:line="234"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Developed Market Industrial Re-shoring: </w:t>
      </w:r>
      <w:r>
        <w:rPr>
          <w:rFonts w:ascii="Arial" w:cs="Arial" w:eastAsia="Arial" w:hAnsi="Arial"/>
          <w:sz w:val="20"/>
          <w:szCs w:val="20"/>
          <w:color w:val="auto"/>
        </w:rPr>
        <w:t>The industries in which we operate have historically embraced a global supply</w:t>
      </w:r>
      <w:r>
        <w:rPr>
          <w:rFonts w:ascii="Arial" w:cs="Arial" w:eastAsia="Arial" w:hAnsi="Arial"/>
          <w:sz w:val="20"/>
          <w:szCs w:val="20"/>
          <w:i w:val="1"/>
          <w:iCs w:val="1"/>
          <w:color w:val="auto"/>
        </w:rPr>
        <w:t xml:space="preserve"> </w:t>
      </w:r>
      <w:r>
        <w:rPr>
          <w:rFonts w:ascii="Arial" w:cs="Arial" w:eastAsia="Arial" w:hAnsi="Arial"/>
          <w:sz w:val="20"/>
          <w:szCs w:val="20"/>
          <w:color w:val="auto"/>
        </w:rPr>
        <w:t>chain which has provided certain advantages by offshoring select production and services. Today many companies are relocating their global supply chains to resume in-region. We believe the re-shoring of manufacturing operations is a driver of business growth.</w:t>
      </w:r>
    </w:p>
    <w:p>
      <w:pPr>
        <w:spacing w:after="0" w:line="146" w:lineRule="exact"/>
        <w:rPr>
          <w:rFonts w:ascii="Arial" w:cs="Arial" w:eastAsia="Arial" w:hAnsi="Arial"/>
          <w:sz w:val="20"/>
          <w:szCs w:val="20"/>
          <w:color w:val="auto"/>
        </w:rPr>
      </w:pPr>
    </w:p>
    <w:p>
      <w:pPr>
        <w:ind w:left="960" w:right="20" w:hanging="481"/>
        <w:spacing w:after="0" w:line="266"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Expansion and Renewal of Infrastructure: </w:t>
      </w:r>
      <w:r>
        <w:rPr>
          <w:rFonts w:ascii="Arial" w:cs="Arial" w:eastAsia="Arial" w:hAnsi="Arial"/>
          <w:sz w:val="18"/>
          <w:szCs w:val="18"/>
          <w:color w:val="auto"/>
        </w:rPr>
        <w:t>There is a growing trend to better manage and reduce air and water emissions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our products and solutions equipment will serve. Recent legislation, including the 2022 Creating Helpful Incentives to Produce Semiconductors (CHIPS) and Science Act, 2022 Inflation Reduction Act, and 2021 Infrastructure Investment and Jobs Act in the United States, as well as the 2020 European Green Deal, 2021 Fit for 55 package, and 2022 REPowerEU, have dedicated government funds to improving environmental outcomes. As industrial capital expenditures grow, corporations are seeking to make these investments while minimizing environmental impact. This spending serves as a driver of increased interest for our portfolio of products and solutions.</w:t>
      </w:r>
    </w:p>
    <w:p>
      <w:pPr>
        <w:spacing w:after="0" w:line="122" w:lineRule="exact"/>
        <w:rPr>
          <w:rFonts w:ascii="Arial" w:cs="Arial" w:eastAsia="Arial" w:hAnsi="Arial"/>
          <w:sz w:val="18"/>
          <w:szCs w:val="18"/>
          <w:color w:val="auto"/>
        </w:rPr>
      </w:pPr>
    </w:p>
    <w:p>
      <w:pPr>
        <w:ind w:left="960" w:right="40" w:hanging="481"/>
        <w:spacing w:after="0" w:line="234"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Water Scarcity: </w:t>
      </w:r>
      <w:r>
        <w:rPr>
          <w:rFonts w:ascii="Arial" w:cs="Arial" w:eastAsia="Arial" w:hAnsi="Arial"/>
          <w:sz w:val="20"/>
          <w:szCs w:val="20"/>
          <w:color w:val="auto"/>
        </w:rPr>
        <w:t>There are increasing risks associated with water quality and water access around the globe. Protecting</w:t>
      </w:r>
      <w:r>
        <w:rPr>
          <w:rFonts w:ascii="Arial" w:cs="Arial" w:eastAsia="Arial" w:hAnsi="Arial"/>
          <w:sz w:val="20"/>
          <w:szCs w:val="20"/>
          <w:i w:val="1"/>
          <w:iCs w:val="1"/>
          <w:color w:val="auto"/>
        </w:rPr>
        <w:t xml:space="preserve"> </w:t>
      </w:r>
      <w:r>
        <w:rPr>
          <w:rFonts w:ascii="Arial" w:cs="Arial" w:eastAsia="Arial" w:hAnsi="Arial"/>
          <w:sz w:val="20"/>
          <w:szCs w:val="20"/>
          <w:color w:val="auto"/>
        </w:rPr>
        <w:t>water resources is crucial for the health and resiliency of our communities, ecosystems and our customers. We expect that more rigorous regulations are being, and will be introduced, to protect water as a natural resource. We are well-positioned to deliver solutions to our customers to meet this growing need.</w:t>
      </w:r>
    </w:p>
    <w:p>
      <w:pPr>
        <w:spacing w:after="0" w:line="146" w:lineRule="exact"/>
        <w:rPr>
          <w:rFonts w:ascii="Arial" w:cs="Arial" w:eastAsia="Arial" w:hAnsi="Arial"/>
          <w:sz w:val="20"/>
          <w:szCs w:val="20"/>
          <w:color w:val="auto"/>
        </w:rPr>
      </w:pPr>
    </w:p>
    <w:p>
      <w:pPr>
        <w:ind w:left="960" w:right="480" w:hanging="481"/>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Increased Demand for Electrical Power Generation: </w:t>
      </w:r>
      <w:r>
        <w:rPr>
          <w:rFonts w:ascii="Arial" w:cs="Arial" w:eastAsia="Arial" w:hAnsi="Arial"/>
          <w:sz w:val="18"/>
          <w:szCs w:val="18"/>
          <w:color w:val="auto"/>
        </w:rPr>
        <w:t>An accelerating shift away from traditional fossil fuel powered</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electricity generation and transportation towards cleaner and sustainable forms of power generation and mass</w:t>
      </w:r>
    </w:p>
    <w:p>
      <w:pPr>
        <w:ind w:left="960" w:right="60"/>
        <w:spacing w:after="0" w:line="249" w:lineRule="auto"/>
        <w:rPr>
          <w:rFonts w:ascii="Arial" w:cs="Arial" w:eastAsia="Arial" w:hAnsi="Arial"/>
          <w:sz w:val="18"/>
          <w:szCs w:val="18"/>
          <w:color w:val="auto"/>
        </w:rPr>
      </w:pPr>
      <w:r>
        <w:rPr>
          <w:rFonts w:ascii="Arial" w:cs="Arial" w:eastAsia="Arial" w:hAnsi="Arial"/>
          <w:sz w:val="19"/>
          <w:szCs w:val="19"/>
          <w:color w:val="auto"/>
        </w:rPr>
        <w:t>“electrification” of transportation is underway. Demand for cleaner burning natural gas, renewable natural gas, hydrogen and its derivatives, renewables including solar and wind, and a resurgence in interest in nuclear is growing. In addition, the planned retirements of the coal- and oil-fired plants require greater investments in natural gas-fired and renewables generation. Natural gas-fired power plants have lower initial capital requirements and are more flexible in terms of operations. The transition to hydrogen and other “green” fuels (such as HVO’s, biogas, and green ammonia) are in their infancy but will be part of the energy transition over the next decade. Even though considered “green” fuels, power plants using these fuels will continue to require exhaust emissions control solutions which we provide, as will the production facilities and producers of the lightweight materials, batteries, and electronics required to build and operate the new vehicles being deployed.</w:t>
      </w:r>
    </w:p>
    <w:p>
      <w:pPr>
        <w:spacing w:after="0" w:line="141" w:lineRule="exact"/>
        <w:rPr>
          <w:rFonts w:ascii="Arial" w:cs="Arial" w:eastAsia="Arial" w:hAnsi="Arial"/>
          <w:sz w:val="18"/>
          <w:szCs w:val="18"/>
          <w:color w:val="auto"/>
        </w:rPr>
      </w:pPr>
    </w:p>
    <w:p>
      <w:pPr>
        <w:ind w:left="960" w:hanging="481"/>
        <w:spacing w:after="0" w:line="266"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Expanding Natural Gas Infrastructure: </w:t>
      </w:r>
      <w:r>
        <w:rPr>
          <w:rFonts w:ascii="Arial" w:cs="Arial" w:eastAsia="Arial" w:hAnsi="Arial"/>
          <w:sz w:val="18"/>
          <w:szCs w:val="18"/>
          <w:color w:val="auto"/>
        </w:rPr>
        <w:t>The International Energy Association projects a pronounced shift in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Economic Cooperation and Development countries for electricity generation away from oil and coal towards natural gas, including liquified natural gas (“LNG”), and renewables. Natural gas, including LNG, continues to be the growth fuel of choice for the electrical power and industrial sectors in many of the world’s regions in primary power generation, and as a complement to renewables as a source of backup and standby power. The pipeline and storage infrastructure required to supply these new users creates increased interest in our products and services.</w:t>
      </w:r>
    </w:p>
    <w:p>
      <w:pPr>
        <w:spacing w:after="0" w:line="122" w:lineRule="exact"/>
        <w:rPr>
          <w:rFonts w:ascii="Arial" w:cs="Arial" w:eastAsia="Arial" w:hAnsi="Arial"/>
          <w:sz w:val="18"/>
          <w:szCs w:val="18"/>
          <w:color w:val="auto"/>
        </w:rPr>
      </w:pPr>
    </w:p>
    <w:p>
      <w:pPr>
        <w:ind w:left="960" w:right="40" w:hanging="481"/>
        <w:spacing w:after="0" w:line="265"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Hydrocarbon Processing: </w:t>
      </w:r>
      <w:r>
        <w:rPr>
          <w:rFonts w:ascii="Arial" w:cs="Arial" w:eastAsia="Arial" w:hAnsi="Arial"/>
          <w:sz w:val="18"/>
          <w:szCs w:val="18"/>
          <w:color w:val="auto"/>
        </w:rPr>
        <w:t>Hydrocarbon processing involves the production, refining, and processing of hydrocarbons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organic chemicals (petrochemicals) for use in a variety of downstream applications, such as gasoline, aviation fuel, fertilizers, lubricants, polymers, plastics, paints and coatings, and additives that keep industry and our economies operating. In response to increasing global demand for petrochemicals and refined products, companies are producing a wider range of intermediate and final products from new sources, upgrading and expanding existing facilities and process lines, and constructing new production and processing. These new and expanded facilities must comply with stricter environmental regulations, wastewater discharge, and emission controls requirements, and the adaptation of production processes will require new or modified catalyst recovery and regeneration systems which we provide.</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auto"/>
        </w:rPr>
        <w:t>These factors, individually or collectively, tend to drive increases in industrial capital spending that are not directly impacted by general economic conditions. In contrast, favorable conditions in the economy generally lead to plant expansions and the construction of new industrial sites. However, in a weak economy, customers tend to lengthen the time from initial inquiry to the purchase order or may elect to defer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10660"/>
          </w:cols>
          <w:pgMar w:left="600" w:top="864" w:right="620" w:bottom="46"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i w:val="1"/>
          <w:iCs w:val="1"/>
          <w:color w:val="auto"/>
        </w:rPr>
        <w:t>Mission and Strategy</w:t>
      </w:r>
    </w:p>
    <w:p>
      <w:pPr>
        <w:spacing w:after="0" w:line="246"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auto"/>
        </w:rPr>
        <w:t>Our mission is to help companies grow their business with safe, clean and more efficient solutions that help protect their people, the environment and their industrial equipment and facilities.</w:t>
      </w:r>
    </w:p>
    <w:p>
      <w:pPr>
        <w:spacing w:after="0" w:line="249" w:lineRule="exact"/>
        <w:rPr>
          <w:sz w:val="20"/>
          <w:szCs w:val="20"/>
          <w:color w:val="auto"/>
        </w:rPr>
      </w:pPr>
    </w:p>
    <w:p>
      <w:pPr>
        <w:ind w:right="460"/>
        <w:spacing w:after="0" w:line="234" w:lineRule="auto"/>
        <w:rPr>
          <w:sz w:val="20"/>
          <w:szCs w:val="20"/>
          <w:color w:val="auto"/>
        </w:rPr>
      </w:pPr>
      <w:r>
        <w:rPr>
          <w:rFonts w:ascii="Arial" w:cs="Arial" w:eastAsia="Arial" w:hAnsi="Arial"/>
          <w:sz w:val="20"/>
          <w:szCs w:val="20"/>
          <w:color w:val="auto"/>
        </w:rPr>
        <w:t>We seek to fulfill this mission by providing leading solutions for niche, engineered applications in industrial air treatment and management, industrial water treatment, and the energy transition. We will continue to leverage our technologies and application expertise for customers around the world.</w:t>
      </w:r>
    </w:p>
    <w:p>
      <w:pPr>
        <w:spacing w:after="0" w:line="249"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Our strategy to become a global leader in niche applications in industrial air treatment and management, industrial water treatment, and the energy transition is supported by an operating environment of performance excellence across the Company.</w:t>
      </w:r>
    </w:p>
    <w:p>
      <w:pPr>
        <w:spacing w:after="0" w:line="215" w:lineRule="exact"/>
        <w:rPr>
          <w:sz w:val="20"/>
          <w:szCs w:val="20"/>
          <w:color w:val="auto"/>
        </w:rPr>
      </w:pPr>
    </w:p>
    <w:p>
      <w:pPr>
        <w:ind w:right="180"/>
        <w:spacing w:after="0" w:line="235" w:lineRule="auto"/>
        <w:rPr>
          <w:sz w:val="20"/>
          <w:szCs w:val="20"/>
          <w:color w:val="auto"/>
        </w:rPr>
      </w:pPr>
      <w:r>
        <w:rPr>
          <w:rFonts w:ascii="Arial" w:cs="Arial" w:eastAsia="Arial" w:hAnsi="Arial"/>
          <w:sz w:val="20"/>
          <w:szCs w:val="20"/>
          <w:color w:val="auto"/>
        </w:rPr>
        <w:t>We constantly look for opportunities to apply our technology and expertise to new customers and in new geographies in our existing end markets, and to enter new end markets with our existing set of products and solutions. Acquisitions are a key part of our growth model and we constantly are seeking out value-added, accretive additions to the CECO portfolio aligned with our strategic focus in industrial air, industrial water and the energy transition.</w:t>
      </w:r>
    </w:p>
    <w:p>
      <w:pPr>
        <w:spacing w:after="0" w:line="250" w:lineRule="exact"/>
        <w:rPr>
          <w:sz w:val="20"/>
          <w:szCs w:val="20"/>
          <w:color w:val="auto"/>
        </w:rPr>
      </w:pPr>
    </w:p>
    <w:p>
      <w:pPr>
        <w:ind w:right="780"/>
        <w:spacing w:after="0" w:line="231" w:lineRule="auto"/>
        <w:rPr>
          <w:sz w:val="20"/>
          <w:szCs w:val="20"/>
          <w:color w:val="auto"/>
        </w:rPr>
      </w:pPr>
      <w:r>
        <w:rPr>
          <w:rFonts w:ascii="Arial" w:cs="Arial" w:eastAsia="Arial" w:hAnsi="Arial"/>
          <w:sz w:val="20"/>
          <w:szCs w:val="20"/>
          <w:color w:val="auto"/>
        </w:rPr>
        <w:t>We intend to continue to expand our customer base and end markets and have continued to pursue potential attractive growth opportunities both domestically and internationally.</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Segments</w:t>
      </w:r>
    </w:p>
    <w:p>
      <w:pPr>
        <w:spacing w:after="0" w:line="248"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auto"/>
        </w:rPr>
        <w:t>Our reportable segments continue to be focused on attractive end markets and each segment is aligned to generate profitable growth for the Company with a compelling technology and solution set to benefit customers.</w:t>
      </w:r>
    </w:p>
    <w:p>
      <w:pPr>
        <w:spacing w:after="0" w:line="263" w:lineRule="exact"/>
        <w:rPr>
          <w:sz w:val="20"/>
          <w:szCs w:val="20"/>
          <w:color w:val="auto"/>
        </w:rPr>
      </w:pPr>
    </w:p>
    <w:p>
      <w:pPr>
        <w:ind w:left="700" w:hanging="350"/>
        <w:spacing w:after="0" w:line="235" w:lineRule="auto"/>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 xml:space="preserve">Engineered Systems segment: </w:t>
      </w:r>
      <w:r>
        <w:rPr>
          <w:rFonts w:ascii="Arial" w:cs="Arial" w:eastAsia="Arial" w:hAnsi="Arial"/>
          <w:sz w:val="20"/>
          <w:szCs w:val="20"/>
          <w:color w:val="auto"/>
        </w:rPr>
        <w:t>Our Engineered Systems segment serves the power generation, hydrocarbon processing,</w:t>
      </w:r>
      <w:r>
        <w:rPr>
          <w:rFonts w:ascii="Arial" w:cs="Arial" w:eastAsia="Arial" w:hAnsi="Arial"/>
          <w:sz w:val="20"/>
          <w:szCs w:val="20"/>
          <w:i w:val="1"/>
          <w:iCs w:val="1"/>
          <w:color w:val="auto"/>
        </w:rPr>
        <w:t xml:space="preserve"> </w:t>
      </w:r>
      <w:r>
        <w:rPr>
          <w:rFonts w:ascii="Arial" w:cs="Arial" w:eastAsia="Arial" w:hAnsi="Arial"/>
          <w:sz w:val="20"/>
          <w:szCs w:val="20"/>
          <w:color w:val="auto"/>
        </w:rPr>
        <w:t>water/wastewater 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264" w:lineRule="exact"/>
        <w:rPr>
          <w:rFonts w:ascii="Arial" w:cs="Arial" w:eastAsia="Arial" w:hAnsi="Arial"/>
          <w:sz w:val="20"/>
          <w:szCs w:val="20"/>
          <w:color w:val="auto"/>
        </w:rPr>
      </w:pPr>
    </w:p>
    <w:p>
      <w:pPr>
        <w:ind w:left="700" w:right="140" w:hanging="350"/>
        <w:spacing w:after="0" w:line="266"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Industrial Process Solutions segment: </w:t>
      </w:r>
      <w:r>
        <w:rPr>
          <w:rFonts w:ascii="Arial" w:cs="Arial" w:eastAsia="Arial" w:hAnsi="Arial"/>
          <w:sz w:val="18"/>
          <w:szCs w:val="18"/>
          <w:color w:val="auto"/>
        </w:rPr>
        <w:t>Our Industrial Process Solutions segment serves the broad industrial sector with</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Competitive Strengths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Leading market position as a complete solution provider</w:t>
      </w:r>
    </w:p>
    <w:p>
      <w:pPr>
        <w:spacing w:after="0" w:line="246"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color w:val="auto"/>
        </w:rPr>
        <w:t>We believe we are a leading provider of critical solutions in industrial air quality, industrial water treatment, and energy transition solutions.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Long-standing experience and customer relationships in growing industry</w:t>
      </w:r>
    </w:p>
    <w:p>
      <w:pPr>
        <w:spacing w:after="0" w:line="248" w:lineRule="exact"/>
        <w:rPr>
          <w:sz w:val="20"/>
          <w:szCs w:val="20"/>
          <w:color w:val="auto"/>
        </w:rPr>
      </w:pPr>
    </w:p>
    <w:p>
      <w:pPr>
        <w:ind w:right="200"/>
        <w:spacing w:after="0" w:line="249" w:lineRule="auto"/>
        <w:rPr>
          <w:sz w:val="20"/>
          <w:szCs w:val="20"/>
          <w:color w:val="auto"/>
        </w:rPr>
      </w:pPr>
      <w:r>
        <w:rPr>
          <w:rFonts w:ascii="Arial" w:cs="Arial" w:eastAsia="Arial" w:hAnsi="Arial"/>
          <w:sz w:val="19"/>
          <w:szCs w:val="19"/>
          <w:color w:val="auto"/>
        </w:rPr>
        <w:t>We have serviced the needs of our target markets for over 50 years. Our 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10680"/>
          </w:cols>
          <w:pgMar w:left="600" w:top="837" w:right="600" w:bottom="46"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Diversified equipment and solution portfolio and broad customer base</w:t>
      </w:r>
    </w:p>
    <w:p>
      <w:pPr>
        <w:spacing w:after="0" w:line="24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global diversity of our offering and footprint and customer base provides us with multiple growth opportunities. We have a diversified customer base across a range of industries. We believe that the diversity of our customers, solutions,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Experienced management and engineering team</w:t>
      </w:r>
    </w:p>
    <w:p>
      <w:pPr>
        <w:spacing w:after="0" w:line="24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Our business management team has substantial experience in delivering highly-engineered solutions for industrial air quality, industrial water treatment, and energy transition applications. The collective experience of our teams enables us to pursue our strategy, and to successfully execute on our strategic and growth priorities. Our team includes approximately 400 engineers, designers, solution experts, and project managers whose industry experience and technical expertise enables them to have a deep understanding of the solutions that will best suit the needs of our customers. The experience and stability of our senior management, operating and engineering teams have been crucial to our recent growth and to developing and maintaining customer relationships, and increasing our market position.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Innovative solutions</w:t>
      </w:r>
    </w:p>
    <w:p>
      <w:pPr>
        <w:spacing w:after="0" w:line="248" w:lineRule="exact"/>
        <w:rPr>
          <w:sz w:val="20"/>
          <w:szCs w:val="20"/>
          <w:color w:val="auto"/>
        </w:rPr>
      </w:pPr>
    </w:p>
    <w:p>
      <w:pPr>
        <w:ind w:right="140"/>
        <w:spacing w:after="0" w:line="235" w:lineRule="auto"/>
        <w:rPr>
          <w:sz w:val="20"/>
          <w:szCs w:val="20"/>
          <w:color w:val="auto"/>
        </w:rPr>
      </w:pPr>
      <w:r>
        <w:rPr>
          <w:rFonts w:ascii="Arial" w:cs="Arial" w:eastAsia="Arial" w:hAnsi="Arial"/>
          <w:sz w:val="20"/>
          <w:szCs w:val="20"/>
          <w:color w:val="auto"/>
        </w:rPr>
        <w:t>We leverage our engineering and manufacturing expertise, fabrication partner network, and strong customer relationships to develop and deliver new products and solutions to address the identified needs of our customers or a particular end market. We thoroughly analyze each new opportunity by considering projected demand, pricing, and cost to deliver, and only pursue those opportunities that we believe will contribute to sustainable earnings growth. In addition, we seek to continually improve our legacy technologies, solutions, and applications with the aim to maintain competitiveness in our existing customer segments, and to adapt them to new industries and customers.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Disciplined acquisition program with successful integration</w:t>
      </w:r>
    </w:p>
    <w:p>
      <w:pPr>
        <w:spacing w:after="0" w:line="246"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We believe that we have demonstrated an ability to successfully acquire and integrate companies with complementary product or service offerings. We will continue to seek and execute additional strategic acquisitions and focus on expanding our solution and product breadth and reach, as well as entering into adjacent customer segments and applications. We believe that the breadth and diversity of our products and services and our ability to deliver full solutions to various end markets provides us with multiple sources of stable growth, relative scale benefits, and a competitive advantage relative to other players in the industry, and we will continue to reinforce this advantage.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Products and Services</w:t>
      </w:r>
    </w:p>
    <w:p>
      <w:pPr>
        <w:spacing w:after="0" w:line="24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provide a wide range of engineered and configured products and solutions including dampers and diverters, expansion joints, selective catalytic reduction systems, severe-service and industrial cyclones, dust collectors, thermal oxidizers, filtration systems, wet and dry scrubbers, separators and coalescers, water treatment packages, metallic and non-metallic pumps, industrial silencers and fluid handling equipment, and plant engineering services and engineered design build fabrication. Our products and solutions primarily compete on the basis of performance, track record, speed of delivery, quality, price and customer service.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Design and Research and Development</w:t>
      </w:r>
    </w:p>
    <w:p>
      <w:pPr>
        <w:spacing w:after="0" w:line="24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strategy is to produce and supply differentiated, specialized or configured products and solutions that are often tailored to the specifications of a customer or application. We start by understanding our customers’ needs, then by focusing our new product development efforts on those criteria that help protect our shared environment while improving a variety of operational outcomes including, but not limited to, facility uptime, production quality, employee safety, equipment protection and process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10680"/>
          </w:cols>
          <w:pgMar w:left="600" w:top="837" w:right="600" w:bottom="46" w:gutter="0" w:footer="0" w:header="0"/>
        </w:sectPr>
      </w:pPr>
    </w:p>
    <w:bookmarkStart w:id="17" w:name="page18"/>
    <w:bookmarkEnd w:id="17"/>
    <w:p>
      <w:pPr>
        <w:spacing w:after="0" w:line="235" w:lineRule="auto"/>
        <w:rPr>
          <w:sz w:val="20"/>
          <w:szCs w:val="20"/>
          <w:color w:val="auto"/>
        </w:rPr>
      </w:pPr>
      <w:r>
        <w:rPr>
          <w:rFonts w:ascii="Arial" w:cs="Arial" w:eastAsia="Arial" w:hAnsi="Arial"/>
          <w:sz w:val="20"/>
          <w:szCs w:val="20"/>
          <w:color w:val="auto"/>
        </w:rPr>
        <w:t>We continually collaborate with our customers on projects to ensure the proper solution and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Marketing and Support</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Our global commercial strategy is to provide a solutions-based approach for our customers, which may take on the role of single source provider of technology, products and equipment for a particular project. When called upon, this strategy involves expanding our scope of supply by utilizing our portfolio of in-house technologies and those of third-party equipment suppliers, many of which have been long-standing partners evolved from pure supplier roles to value-added business partners. Where we identify a technology that is a critical element or commonly required for a solution, we will consider acquiring such technology to ensure we have the appropriate degree of strategic control. This enables us to leverage existing business with selective alliances of suppliers and application specific engineering expertise. Our value proposition to our customers is to provide competitively priced, customized solutions that leverage our vast project experience base and design library. Our industry-specific knowledge, accompanied by our product and service offerings, provides valuable benefits for our customers and synergies across our network of partners.</w:t>
      </w:r>
    </w:p>
    <w:p>
      <w:pPr>
        <w:spacing w:after="0" w:line="229"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sell and market our products and services with our own direct sales force in key regions including the United States, the Netherlands, United Kingdom, Canada, United Arab Emirates, India, China, Korea, and Singapore. Our direct sales and business development teams will work in conjunction with outside sales representatives in the North America, South America, Europe, Middle East, Southeast and East Asia, and India regions, when appropriate. We expect to continue expanding our sales and support capabilities and our network of outside sales representatives in key regions domestically and internationally.</w:t>
      </w:r>
    </w:p>
    <w:p>
      <w:pPr>
        <w:spacing w:after="0" w:line="224" w:lineRule="exact"/>
        <w:rPr>
          <w:sz w:val="20"/>
          <w:szCs w:val="20"/>
          <w:color w:val="auto"/>
        </w:rPr>
      </w:pPr>
    </w:p>
    <w:p>
      <w:pPr>
        <w:ind w:right="80"/>
        <w:spacing w:after="0" w:line="235" w:lineRule="auto"/>
        <w:rPr>
          <w:sz w:val="20"/>
          <w:szCs w:val="20"/>
          <w:color w:val="auto"/>
        </w:rPr>
      </w:pPr>
      <w:r>
        <w:rPr>
          <w:rFonts w:ascii="Arial" w:cs="Arial" w:eastAsia="Arial" w:hAnsi="Arial"/>
          <w:sz w:val="20"/>
          <w:szCs w:val="20"/>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247"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Our customer service organization and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Quality Assurance</w:t>
      </w:r>
    </w:p>
    <w:p>
      <w:pPr>
        <w:spacing w:after="0" w:line="248"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Customers</w:t>
      </w:r>
    </w:p>
    <w:p>
      <w:pPr>
        <w:spacing w:after="0" w:line="248"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We are not dependent upon any single customer, and no customer contributed 10% or more of our consolidated revenues for the years ended December 31, 2023, 2022, or 2021.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Suppliers and Subcontractors</w:t>
      </w:r>
    </w:p>
    <w:p>
      <w:pPr>
        <w:spacing w:after="0" w:line="246"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We purchase our raw materials and supplies from a variety of global sources. When possible, we directly secure iron and steel sheet and plate products from steel mills, whereas other materials are purchased from a variety of steel service centers. Steel prices have traditionally been volatile, but we typically mitigate the risk of higher prices by including a “surcharge” on our standard products and tracking major materials industry indices and projections. On contract work, we try to mitigate the risk of higher prices by including the current price in our estimate and generally include price inflation clauses for protection.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10680"/>
          </w:cols>
          <w:pgMar w:left="600" w:top="849" w:right="600" w:bottom="46" w:gutter="0" w:footer="0" w:header="0"/>
        </w:sectPr>
      </w:pPr>
    </w:p>
    <w:bookmarkStart w:id="18" w:name="page19"/>
    <w:bookmarkEnd w:id="18"/>
    <w:p>
      <w:pPr>
        <w:ind w:right="40"/>
        <w:spacing w:after="0" w:line="249" w:lineRule="auto"/>
        <w:rPr>
          <w:sz w:val="20"/>
          <w:szCs w:val="20"/>
          <w:color w:val="auto"/>
        </w:rPr>
      </w:pPr>
      <w:r>
        <w:rPr>
          <w:rFonts w:ascii="Arial" w:cs="Arial" w:eastAsia="Arial" w:hAnsi="Arial"/>
          <w:sz w:val="19"/>
          <w:szCs w:val="19"/>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Our business model focuses on effective management of subcontractors and flow of raw and finished materials, which allows us to optimize working capital levels through reduction in certain assets and reduce capital expenditures.</w:t>
      </w:r>
    </w:p>
    <w:p>
      <w:pPr>
        <w:spacing w:after="0" w:line="244"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auto"/>
        </w:rPr>
        <w:t>While we believe we have a good relationship with our suppliers and subcontractors, we are currently experiencing shortages of raw materials and inflationary pressures for certain materials and labor. We expect these supply chain challenges and cost impacts to continue for the foreseeable future as markets continue to recover and supply chains further normalize. Although we have secured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Backlog</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Backlog (i.e., unfulfilled or remaining performance obligations) represents the sales we expect to recognize for our products and services for which control has not yet transferred to the customer. Backlog was $370.9 million as of December 31, 2023 as compared to $311.7 million as of December 31, 2022, an increase of $59.2 million or 19.0%. Backlog is adjusted on a quarterly basis for fluctuations in foreign currency exchange rates. Substantially all backlog is expected to be delivered within 18 months, with a majority within 12 months. Backlog is not defined by United States generally accepted accounting principles ("GAAP") and our methodology for calculating backlog may not be consistent with methodologies used by other companies.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46" w:lineRule="exact"/>
        <w:rPr>
          <w:sz w:val="20"/>
          <w:szCs w:val="20"/>
          <w:color w:val="auto"/>
        </w:rPr>
      </w:pPr>
    </w:p>
    <w:p>
      <w:pPr>
        <w:ind w:right="100"/>
        <w:spacing w:after="0" w:line="249" w:lineRule="auto"/>
        <w:rPr>
          <w:sz w:val="20"/>
          <w:szCs w:val="20"/>
          <w:color w:val="auto"/>
        </w:rPr>
      </w:pPr>
      <w:r>
        <w:rPr>
          <w:rFonts w:ascii="Arial" w:cs="Arial" w:eastAsia="Arial" w:hAnsi="Arial"/>
          <w:sz w:val="19"/>
          <w:szCs w:val="19"/>
          <w:color w:val="auto"/>
        </w:rPr>
        <w:t>The markets we serve are highly fragmented with numerous small and regional participants. We believe no single company competes with us across the full range of our solutions and products. Competition in the markets we serve is based on a number of considerations, including past performance, track record, customer approvals, lead times, technology, applications experience, know-how, reputation, product warranties, service and price. Demand for our product can vary period over period depending on conditions in the markets we serve. We believe our product performance and quality, reliability, durability, on-time delivery, and safety supported by advanced engineering and operational excellence differentiate us from many of our competitors, including those competitors who often offer products at a lower price.</w:t>
      </w:r>
    </w:p>
    <w:p>
      <w:pPr>
        <w:spacing w:after="0" w:line="246"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stability, continuously evolving environmental regulations, and increasing customer requirements. We believe that the additional competitive factors in our markets include:</w:t>
      </w:r>
    </w:p>
    <w:p>
      <w:pPr>
        <w:spacing w:after="0" w:line="124" w:lineRule="exact"/>
        <w:rPr>
          <w:sz w:val="20"/>
          <w:szCs w:val="20"/>
          <w:color w:val="auto"/>
        </w:rPr>
      </w:pPr>
    </w:p>
    <w:p>
      <w:pPr>
        <w:ind w:left="960" w:hanging="481"/>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performance track record and reputation;</w:t>
      </w:r>
    </w:p>
    <w:p>
      <w:pPr>
        <w:spacing w:after="0" w:line="131" w:lineRule="exact"/>
        <w:rPr>
          <w:rFonts w:ascii="Arial" w:cs="Arial" w:eastAsia="Arial" w:hAnsi="Arial"/>
          <w:sz w:val="20"/>
          <w:szCs w:val="20"/>
          <w:color w:val="auto"/>
        </w:rPr>
      </w:pPr>
    </w:p>
    <w:p>
      <w:pPr>
        <w:ind w:left="960" w:hanging="481"/>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comprehensive portfolio of solutions;</w:t>
      </w:r>
    </w:p>
    <w:p>
      <w:pPr>
        <w:spacing w:after="0" w:line="131" w:lineRule="exact"/>
        <w:rPr>
          <w:rFonts w:ascii="Arial" w:cs="Arial" w:eastAsia="Arial" w:hAnsi="Arial"/>
          <w:sz w:val="20"/>
          <w:szCs w:val="20"/>
          <w:color w:val="auto"/>
        </w:rPr>
      </w:pPr>
    </w:p>
    <w:p>
      <w:pPr>
        <w:ind w:left="960" w:hanging="481"/>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brand recognition;</w:t>
      </w:r>
    </w:p>
    <w:p>
      <w:pPr>
        <w:spacing w:after="0" w:line="131" w:lineRule="exact"/>
        <w:rPr>
          <w:rFonts w:ascii="Arial" w:cs="Arial" w:eastAsia="Arial" w:hAnsi="Arial"/>
          <w:sz w:val="20"/>
          <w:szCs w:val="20"/>
          <w:color w:val="auto"/>
        </w:rPr>
      </w:pPr>
    </w:p>
    <w:p>
      <w:pPr>
        <w:ind w:left="960" w:hanging="481"/>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high design standard;</w:t>
      </w:r>
    </w:p>
    <w:p>
      <w:pPr>
        <w:spacing w:after="0" w:line="128" w:lineRule="exact"/>
        <w:rPr>
          <w:rFonts w:ascii="Arial" w:cs="Arial" w:eastAsia="Arial" w:hAnsi="Arial"/>
          <w:sz w:val="20"/>
          <w:szCs w:val="20"/>
          <w:color w:val="auto"/>
        </w:rPr>
      </w:pPr>
    </w:p>
    <w:p>
      <w:pPr>
        <w:ind w:left="960" w:hanging="481"/>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quality customer service and support; and</w:t>
      </w:r>
    </w:p>
    <w:p>
      <w:pPr>
        <w:spacing w:after="0" w:line="131" w:lineRule="exact"/>
        <w:rPr>
          <w:rFonts w:ascii="Arial" w:cs="Arial" w:eastAsia="Arial" w:hAnsi="Arial"/>
          <w:sz w:val="20"/>
          <w:szCs w:val="20"/>
          <w:color w:val="auto"/>
        </w:rPr>
      </w:pPr>
    </w:p>
    <w:p>
      <w:pPr>
        <w:ind w:left="960" w:hanging="481"/>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financial and operational stability.</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We believe we compete favorably with respect to these factors.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Regulations</w:t>
      </w:r>
    </w:p>
    <w:p>
      <w:pPr>
        <w:spacing w:after="0" w:line="248" w:lineRule="exact"/>
        <w:rPr>
          <w:sz w:val="20"/>
          <w:szCs w:val="20"/>
          <w:color w:val="auto"/>
        </w:rPr>
      </w:pPr>
    </w:p>
    <w:p>
      <w:pPr>
        <w:ind w:right="800"/>
        <w:spacing w:after="0" w:line="232" w:lineRule="auto"/>
        <w:rPr>
          <w:sz w:val="20"/>
          <w:szCs w:val="20"/>
          <w:color w:val="auto"/>
        </w:rPr>
      </w:pPr>
      <w:r>
        <w:rPr>
          <w:rFonts w:ascii="Arial" w:cs="Arial" w:eastAsia="Arial" w:hAnsi="Arial"/>
          <w:sz w:val="20"/>
          <w:szCs w:val="20"/>
          <w:color w:val="auto"/>
        </w:rPr>
        <w:t>We believe our operations are in compliance with applicable environmental laws and regulations. We believe that changes in environmental laws and regulations create opportunity given the nature of our business.</w:t>
      </w:r>
    </w:p>
    <w:p>
      <w:pPr>
        <w:spacing w:after="0" w:line="247"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Our business is subject to numerous evolving laws and regulations. While there are not currently regulations proposed or pending that we believe will result in material capital, operating or other costs to the business at this time, such regulations could be proposed and/or passed into law in 2024 or beyond. Other regulations currently in place could be withdrawn and replaced with more stringent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10680"/>
          </w:cols>
          <w:pgMar w:left="600" w:top="849" w:right="600" w:bottom="46" w:gutter="0" w:footer="0" w:header="0"/>
        </w:sectPr>
      </w:pPr>
    </w:p>
    <w:bookmarkStart w:id="19" w:name="page20"/>
    <w:bookmarkEnd w:id="19"/>
    <w:p>
      <w:pPr>
        <w:ind w:right="160"/>
        <w:spacing w:after="0" w:line="273" w:lineRule="auto"/>
        <w:rPr>
          <w:sz w:val="20"/>
          <w:szCs w:val="20"/>
          <w:color w:val="auto"/>
        </w:rPr>
      </w:pPr>
      <w:r>
        <w:rPr>
          <w:rFonts w:ascii="Arial" w:cs="Arial" w:eastAsia="Arial" w:hAnsi="Arial"/>
          <w:sz w:val="18"/>
          <w:szCs w:val="18"/>
          <w:color w:val="auto"/>
        </w:rPr>
        <w:t>requirements in 2024 or beyond. New laws and regulations and the costs of compliance with such new laws and regulations can only be broadly appraised until their implementation becomes more defined through regulatory guidance and enforcement.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w:t>
      </w:r>
    </w:p>
    <w:p>
      <w:pPr>
        <w:spacing w:after="0" w:line="248"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Human Capital Management</w:t>
      </w:r>
    </w:p>
    <w:p>
      <w:pPr>
        <w:spacing w:after="0" w:line="239"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We have employees located throughout the globe. As of December 31, 2023, CECO had approximately 1,200 employees, across nine countries. Of our US employees, 131 are unionized in our Pennsylvania, Tennessee and North Carolina facilities. Outside the United States, we enter into employment contracts and agreements in those countries in which such relationships are mandatory or customary. The provisions of these agreements correspond in each case with the required or customary terms in the subject jurisdiction. We have historically maintained good employee relations and have successfully concluded all of our recent negotiations without a work stoppage. However, we cannot predict the outcome of future contract negotiations.</w:t>
      </w:r>
    </w:p>
    <w:p>
      <w:pPr>
        <w:spacing w:after="0" w:line="23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Our strong employee base, along with our uncompromising commitment to our values of customer first, accountability, relentless execution, respect, integrity and teamwork, provide the foundation of our company’s success. Employee safety and managing the risks associated with our workplace, is of paramount importance to CECO.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 CECO’s foundational commitment to safety is demonstrated by our world-class recordable and loss time rates. We currently share scorecard information monthly with our team members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2023, CECO’s domestic Total Recordable Incident Rate (“TRIR”) was 1.5% as compared to our benchmark industry average TRIR of 4.3%.</w:t>
      </w:r>
    </w:p>
    <w:p>
      <w:pPr>
        <w:spacing w:after="0" w:line="218"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As part of our efforts to expand CECO’s diverse workforce, we:</w:t>
      </w:r>
    </w:p>
    <w:p>
      <w:pPr>
        <w:spacing w:after="0" w:line="144" w:lineRule="exact"/>
        <w:rPr>
          <w:sz w:val="20"/>
          <w:szCs w:val="20"/>
          <w:color w:val="auto"/>
        </w:rPr>
      </w:pPr>
    </w:p>
    <w:p>
      <w:pPr>
        <w:ind w:left="900" w:right="320" w:hanging="478"/>
        <w:spacing w:after="0" w:line="248" w:lineRule="auto"/>
        <w:tabs>
          <w:tab w:leader="none" w:pos="9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initiated and implemented recruitment efforts to attract and build a more diverse workforce, including expanding career opportunity postings on career websites to diverse job boards, as well as search engines that aggregate and display job openings by employers, including those dedicated to diverse candidates; and</w:t>
      </w:r>
    </w:p>
    <w:p>
      <w:pPr>
        <w:spacing w:after="0" w:line="136" w:lineRule="exact"/>
        <w:rPr>
          <w:rFonts w:ascii="Arial" w:cs="Arial" w:eastAsia="Arial" w:hAnsi="Arial"/>
          <w:sz w:val="19"/>
          <w:szCs w:val="19"/>
          <w:color w:val="auto"/>
        </w:rPr>
      </w:pPr>
    </w:p>
    <w:p>
      <w:pPr>
        <w:ind w:left="900" w:hanging="478"/>
        <w:spacing w:after="0"/>
        <w:tabs>
          <w:tab w:leader="none" w:pos="9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are developing a comprehensive Diversity, Equity and Inclusive roadmap to align with our operational structure.</w:t>
      </w:r>
    </w:p>
    <w:p>
      <w:pPr>
        <w:spacing w:after="0" w:line="248"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leads to problem solving, development, performance, and profitable business success.</w:t>
      </w:r>
    </w:p>
    <w:p>
      <w:pPr>
        <w:spacing w:after="0" w:line="247"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We invest in programs and processes that develop our employees’ capabilities to ensure that we have the talent we need to execute our strategic business plans. Our Performance Management Program ensures that all leaders have clear priorities, and that their performance relative to these priorities is linked to their total rewards package. We conduct an annual code of conduct training that includes subject matter areas of: anti-corruption, discrimination, harassment, data privacy, appropriate use of company assets, protecting confidential information and how to report code violations. Each employee takes this annual training and follow up communications are conducted to ensure completion of the course by all employees. We also timely completed our mandated sexual harassment training courses with the specified employees.</w:t>
      </w:r>
    </w:p>
    <w:p>
      <w:pPr>
        <w:spacing w:after="0" w:line="245"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We believe our management team has the experience necessary to effectively execute our strategy. Our platform leaders have significant industry experience and are supported by an experienced and talented management team who is dedicated to maintaining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10680"/>
          </w:cols>
          <w:pgMar w:left="600" w:top="849" w:right="600" w:bottom="46" w:gutter="0" w:footer="0" w:header="0"/>
        </w:sectPr>
      </w:pPr>
    </w:p>
    <w:bookmarkStart w:id="20" w:name="page21"/>
    <w:bookmarkEnd w:id="20"/>
    <w:p>
      <w:pPr>
        <w:ind w:right="780"/>
        <w:spacing w:after="0" w:line="276" w:lineRule="auto"/>
        <w:rPr>
          <w:sz w:val="20"/>
          <w:szCs w:val="20"/>
          <w:color w:val="auto"/>
        </w:rPr>
      </w:pPr>
      <w:r>
        <w:rPr>
          <w:rFonts w:ascii="Arial" w:cs="Arial" w:eastAsia="Arial" w:hAnsi="Arial"/>
          <w:sz w:val="18"/>
          <w:szCs w:val="18"/>
          <w:color w:val="auto"/>
        </w:rPr>
        <w:t>and expanding our position as a global leader in our markets. For discussion of the risks related to attracting and retention of management and executive employees, refer to “Part I, Item 1A. Risk Factors” of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Officers of CECO</w:t>
      </w:r>
    </w:p>
    <w:p>
      <w:pPr>
        <w:spacing w:after="0" w:line="248"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 following are the executive officers of the Company as of February 26, 2024. All officers serve for a one year term and until their successors are elected and qualified.</w:t>
      </w:r>
    </w:p>
    <w:p>
      <w:pPr>
        <w:spacing w:after="0" w:line="249"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i w:val="1"/>
          <w:iCs w:val="1"/>
          <w:color w:val="auto"/>
        </w:rPr>
        <w:t xml:space="preserve">Todd Gleason </w:t>
      </w:r>
      <w:r>
        <w:rPr>
          <w:rFonts w:ascii="Arial" w:cs="Arial" w:eastAsia="Arial" w:hAnsi="Arial"/>
          <w:sz w:val="18"/>
          <w:szCs w:val="18"/>
          <w:color w:val="auto"/>
        </w:rPr>
        <w:t>(53) has served as a director and Chief Executive Officer since July 2020, and is responsible for driving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vision and aligning the organization for optimal value creation. Prior to joining the Company, Mr. Gleason most recently served, 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 holds a Masters of Science degrees in Management and Public Policy from Carnegie Mellon University and a Bachelors of Arts in International Studies and History from Wesleyan University. Mr. Gleason currently serves on the board of directors of NSF, whose stated mission is to protect human and planet health through their leading test and measurement, consulting, training and certification and development of industry leading standards. Previously, Mr. Gleason served on the board of Faradyne, a strategic joint venture between Pentair and Xylem.</w:t>
      </w:r>
    </w:p>
    <w:p>
      <w:pPr>
        <w:spacing w:after="0" w:line="224"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i w:val="1"/>
          <w:iCs w:val="1"/>
          <w:color w:val="auto"/>
        </w:rPr>
        <w:t xml:space="preserve">Peter Johansson </w:t>
      </w:r>
      <w:r>
        <w:rPr>
          <w:rFonts w:ascii="Arial" w:cs="Arial" w:eastAsia="Arial" w:hAnsi="Arial"/>
          <w:sz w:val="18"/>
          <w:szCs w:val="18"/>
          <w:color w:val="auto"/>
        </w:rPr>
        <w:t>(59) has served as SVP, Chief Financial and Strategy Officer since August 2022. From April 2020 to August 2022,</w:t>
      </w:r>
      <w:r>
        <w:rPr>
          <w:rFonts w:ascii="Arial" w:cs="Arial" w:eastAsia="Arial" w:hAnsi="Arial"/>
          <w:sz w:val="18"/>
          <w:szCs w:val="18"/>
          <w:i w:val="1"/>
          <w:iCs w:val="1"/>
          <w:color w:val="auto"/>
        </w:rPr>
        <w:t xml:space="preserve"> </w:t>
      </w:r>
      <w:r>
        <w:rPr>
          <w:rFonts w:ascii="Arial" w:cs="Arial" w:eastAsia="Arial" w:hAnsi="Arial"/>
          <w:sz w:val="18"/>
          <w:szCs w:val="18"/>
          <w:color w:val="auto"/>
        </w:rPr>
        <w:t>Mr. Johansson had been an independent strategy and business development consultant and joined CECO as a consultant in October 2021. From June 2014 through March 2020, he was EVP, Strategy, Corporate Development &amp; Marketing for Accudyne Industries, LLC (“Accudyne”), where he was responsible for the formulation and execution of growth, value creation, business development, product line, and M&amp;A strategies, and deployment of a product-line based operating model for an industry-leading portfolio of industrial air and gas compressors, broad pump solutions, rotary mixers, and valves. Prior to joining Accudyne, Mr. Johansson led the corporate, product-line, and M&amp;A growth strategy and implementation of a differentiated business line operating model for IDEX Corporation. He has also held senior business, strategic business development, commercial and engineering leadership roles with ITT Inc., Trane Technologies PLC, WABCO Holdings, Inc., and Honeywell International, Inc. and its predecessor AlliedSignal Inc. Mr. Johansson earned a Bachelor of Science degree in Mechanical Engineering from Southern Methodist University of Dallas, Texas. He received his Master of Science degree in Mechanical Engineering from California State University at Fullerton, and his MBA from UCLA’s Anderson Graduate School of Management.</w:t>
      </w:r>
    </w:p>
    <w:p>
      <w:pPr>
        <w:spacing w:after="0" w:line="228" w:lineRule="exact"/>
        <w:rPr>
          <w:sz w:val="20"/>
          <w:szCs w:val="20"/>
          <w:color w:val="auto"/>
        </w:rPr>
      </w:pPr>
    </w:p>
    <w:p>
      <w:pPr>
        <w:spacing w:after="0" w:line="265" w:lineRule="auto"/>
        <w:rPr>
          <w:sz w:val="20"/>
          <w:szCs w:val="20"/>
          <w:color w:val="auto"/>
        </w:rPr>
      </w:pPr>
      <w:r>
        <w:rPr>
          <w:rFonts w:ascii="Arial" w:cs="Arial" w:eastAsia="Arial" w:hAnsi="Arial"/>
          <w:sz w:val="18"/>
          <w:szCs w:val="18"/>
          <w:i w:val="1"/>
          <w:iCs w:val="1"/>
          <w:color w:val="auto"/>
        </w:rPr>
        <w:t xml:space="preserve">Lynn Watkins-Asiyanbi </w:t>
      </w:r>
      <w:r>
        <w:rPr>
          <w:rFonts w:ascii="Arial" w:cs="Arial" w:eastAsia="Arial" w:hAnsi="Arial"/>
          <w:sz w:val="18"/>
          <w:szCs w:val="18"/>
          <w:color w:val="auto"/>
        </w:rPr>
        <w:t>(49) has served as SVP, Chief Administrative and Legal Officer, and Corporate Secretary since August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from June 2022 to August 2022, Ms. Watkins-Asiyanbi served as Senior Vice President, General Counsel and Corporate Secretary. From June 2016 to June 2022, Ms. Watkins-Asiyanbi served in various roles of increasing responsibility within John Bean Technologies Corporation (“JBTC”), a publicly traded global food processing machinery and airport equipment company, most recently as its Deputy General Counsel (2018-2022), Chief Ethics/Compliance Officer (2020-2022), Global DEI Council Chair (2021-2022) and prior to that as Associate General Counsel at JBTC (from 2016 to 2018). Ms. Watkins-Asiyanbi has also served as a part of the W.W. Grainger, U.S. Foods, Mars, Inc. and General Mills, Inc. legal teams during her career, in addition to her significant legal experience at DLA Piper and Baker and McKenzie, both global law firms. Ms. Watkins-Asiyanbi holds a joint Juris Doctor and Master of Business Administration from Northwestern University’s Pritzker School of Law and the Kellogg School of Management and a Bachelor’s degree in Chemical Engineering and Economics from the University of Wisconsin-Madison.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24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 xml:space="preserve">We use the Investor Relations section of our website, </w:t>
      </w:r>
      <w:r>
        <w:rPr>
          <w:rFonts w:ascii="Arial" w:cs="Arial" w:eastAsia="Arial" w:hAnsi="Arial"/>
          <w:sz w:val="16"/>
          <w:szCs w:val="16"/>
          <w:u w:val="single" w:color="auto"/>
          <w:color w:val="auto"/>
        </w:rPr>
        <w:t>www.cecoenviro.com</w:t>
      </w:r>
      <w:r>
        <w:rPr>
          <w:rFonts w:ascii="Arial" w:cs="Arial" w:eastAsia="Arial" w:hAnsi="Arial"/>
          <w:sz w:val="16"/>
          <w:szCs w:val="16"/>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10640"/>
          </w:cols>
          <w:pgMar w:left="600" w:top="849" w:right="640" w:bottom="46"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Item 1A. Risk Factors</w:t>
      </w:r>
    </w:p>
    <w:p>
      <w:pPr>
        <w:spacing w:after="0" w:line="12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business may be adversely affected by global economic conditions.</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220" w:lineRule="exact"/>
        <w:rPr>
          <w:sz w:val="20"/>
          <w:szCs w:val="20"/>
          <w:color w:val="auto"/>
        </w:rPr>
      </w:pPr>
    </w:p>
    <w:p>
      <w:pPr>
        <w:ind w:left="700" w:hanging="350"/>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customers or potential customers may reduce or delay their procurement or new product development;</w:t>
      </w:r>
    </w:p>
    <w:p>
      <w:pPr>
        <w:spacing w:after="0" w:line="128" w:lineRule="exact"/>
        <w:rPr>
          <w:rFonts w:ascii="Arial" w:cs="Arial" w:eastAsia="Arial" w:hAnsi="Arial"/>
          <w:sz w:val="20"/>
          <w:szCs w:val="20"/>
          <w:color w:val="auto"/>
        </w:rPr>
      </w:pPr>
    </w:p>
    <w:p>
      <w:pPr>
        <w:ind w:left="700" w:hanging="350"/>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key suppliers may have difficulties resulting in delays for our material purchases;</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vendors, suppliers and other third parties may fail to perform their contractual obligations; and</w:t>
      </w:r>
    </w:p>
    <w:p>
      <w:pPr>
        <w:spacing w:after="0" w:line="142" w:lineRule="exact"/>
        <w:rPr>
          <w:rFonts w:ascii="Arial" w:cs="Arial" w:eastAsia="Arial" w:hAnsi="Arial"/>
          <w:sz w:val="20"/>
          <w:szCs w:val="20"/>
          <w:color w:val="auto"/>
        </w:rPr>
      </w:pPr>
    </w:p>
    <w:p>
      <w:pPr>
        <w:ind w:left="700" w:hanging="350"/>
        <w:spacing w:after="0"/>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customers may become insolvent and/or unable to obtain credit to finance purchases of our products and services.</w:t>
      </w:r>
    </w:p>
    <w:p>
      <w:pPr>
        <w:spacing w:after="0" w:line="248"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dependence upon fixed-price contracts could adversely affect our operating results.</w:t>
      </w:r>
    </w:p>
    <w:p>
      <w:pPr>
        <w:spacing w:after="0" w:line="2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237"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i w:val="1"/>
          <w:iCs w:val="1"/>
          <w:color w:val="auto"/>
        </w:rPr>
        <w:t>Accounting for contract revenue may result in material adjustments that would adversely affect our financial condition and results of operations.</w:t>
      </w:r>
    </w:p>
    <w:p>
      <w:pPr>
        <w:spacing w:after="0" w:line="249"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245"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10680"/>
          </w:cols>
          <w:pgMar w:left="600" w:top="837" w:right="600" w:bottom="46" w:gutter="0" w:footer="0" w:header="0"/>
        </w:sectPr>
      </w:pPr>
    </w:p>
    <w:bookmarkStart w:id="22" w:name="page23"/>
    <w:bookmarkEnd w:id="22"/>
    <w:p>
      <w:pPr>
        <w:ind w:right="100"/>
        <w:spacing w:after="0" w:line="249" w:lineRule="auto"/>
        <w:rPr>
          <w:sz w:val="20"/>
          <w:szCs w:val="20"/>
          <w:color w:val="auto"/>
        </w:rPr>
      </w:pPr>
      <w:r>
        <w:rPr>
          <w:rFonts w:ascii="Arial" w:cs="Arial" w:eastAsia="Arial" w:hAnsi="Arial"/>
          <w:sz w:val="19"/>
          <w:szCs w:val="19"/>
          <w:color w:val="auto"/>
        </w:rPr>
        <w:t>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deliver our backlog on time could affect our future sales and profitability, and our relationships with our customers.</w:t>
      </w:r>
    </w:p>
    <w:p>
      <w:pPr>
        <w:spacing w:after="0" w:line="259"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Our backlog was $370.9 million at December 31, 2023 and $311.7 million at December 31, 2022.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oil and natural gas prices can adversely affect demand for our products and services.</w:t>
      </w:r>
    </w:p>
    <w:p>
      <w:pPr>
        <w:spacing w:after="0" w:line="24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Volatility in oil and natural gas prices can impact our customers’ activity levels and spending for our products and services. Current energy prices are important contributors to cash flow for our customers and their ability to fund capital expenditures.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226"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i w:val="1"/>
          <w:iCs w:val="1"/>
          <w:color w:val="auto"/>
        </w:rPr>
        <w:t>Increasing costs for manufactured components, raw materials, transportation, health care and energy prices may adversely affect our profitability.</w:t>
      </w:r>
    </w:p>
    <w:p>
      <w:pPr>
        <w:spacing w:after="0" w:line="24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and increases in the price of these items could materially increase our operating costs and materially adversely affect our profit margins. Similarly, transportation, steel and health care costs have risen steadily over the past few years and could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financial performance may vary significantly from period to period.</w:t>
      </w:r>
    </w:p>
    <w:p>
      <w:pPr>
        <w:spacing w:after="0" w:line="246"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 may cancel or delay projects. As a result, our backlog may not be indicative of our future revenue.</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 example, in a year-long project as opposed to a three-month project, more time is available for the customer to experience a softening in its business, which may cause the customer to cancel a project.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880" w:h="15480" w:orient="portrait"/>
          <w:cols w:equalWidth="0" w:num="1">
            <w:col w:w="10680"/>
          </w:cols>
          <w:pgMar w:left="600" w:top="849" w:right="600" w:bottom="46" w:gutter="0" w:footer="0" w:header="0"/>
        </w:sectPr>
      </w:pPr>
    </w:p>
    <w:bookmarkStart w:id="23" w:name="page24"/>
    <w:bookmarkEnd w:id="23"/>
    <w:p>
      <w:pPr>
        <w:spacing w:after="0"/>
        <w:rPr>
          <w:sz w:val="20"/>
          <w:szCs w:val="20"/>
          <w:color w:val="auto"/>
        </w:rPr>
      </w:pPr>
      <w:r>
        <w:rPr>
          <w:rFonts w:ascii="Arial" w:cs="Arial" w:eastAsia="Arial" w:hAnsi="Arial"/>
          <w:sz w:val="20"/>
          <w:szCs w:val="20"/>
          <w:i w:val="1"/>
          <w:iCs w:val="1"/>
          <w:color w:val="auto"/>
        </w:rPr>
        <w:t>We face significant competition in the markets we serve.</w:t>
      </w:r>
    </w:p>
    <w:p>
      <w:pPr>
        <w:spacing w:after="0" w:line="24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All of the product and solution categories in which we compete are highly fragmented and competitive. We compete in industrial markets against a number of local, regional and national manufacturers and suppliers in each of our product or service lines. Our products primarily compete on the basis of performance, quality, reliability, lead time, on-time delivery, and safety supported by advanced engineering and operational excellence. We must also be responsive to any technological developments, including expanded use of data analytics, artificial intelligence, and machine learning, and related changing customer requirements. Any failure by us to compete effectively in the markets we serve could have a material adverse effect on our financial condition, results of operations and cash flows.</w:t>
      </w:r>
    </w:p>
    <w:p>
      <w:pPr>
        <w:spacing w:after="0" w:line="249"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249"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238"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250"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i w:val="1"/>
          <w:iCs w:val="1"/>
          <w:color w:val="auto"/>
        </w:rPr>
        <w:t>Liability to customers under warranties may adversely affect our reputation, our ability to obtain future business and our results of operations.</w:t>
      </w:r>
    </w:p>
    <w:p>
      <w:pPr>
        <w:spacing w:after="0" w:line="250"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Model and Capital Structure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gross profit may be affected by shifts in our product mix.</w:t>
      </w:r>
    </w:p>
    <w:p>
      <w:pPr>
        <w:spacing w:after="0" w:line="248"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manufacturing operations are dependent on third-party suppliers.</w:t>
      </w:r>
    </w:p>
    <w:p>
      <w:pPr>
        <w:spacing w:after="0" w:line="24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Although we are not dependent on any one supplier, we are dependent on the ability of our third-party suppliers to supply our raw materials, as well as certain specific component parts and sub-assemblies. The third-party suppliers upon which we depend may default on their obligations to us due to bankruptcy, insolvency, lack of liquidity, adverse economic conditions, operational failure, fraud, loss of key personnel, health-related shutdowns, or other reasons. We cannot ensure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fires or other natural disasters could</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10680"/>
          </w:cols>
          <w:pgMar w:left="600" w:top="837" w:right="600" w:bottom="46" w:gutter="0" w:footer="0" w:header="0"/>
        </w:sectPr>
      </w:pPr>
    </w:p>
    <w:bookmarkStart w:id="24" w:name="page25"/>
    <w:bookmarkEnd w:id="24"/>
    <w:p>
      <w:pPr>
        <w:ind w:right="120"/>
        <w:spacing w:after="0" w:line="248" w:lineRule="auto"/>
        <w:rPr>
          <w:sz w:val="20"/>
          <w:szCs w:val="20"/>
          <w:color w:val="auto"/>
        </w:rPr>
      </w:pPr>
      <w:r>
        <w:rPr>
          <w:rFonts w:ascii="Arial" w:cs="Arial" w:eastAsia="Arial" w:hAnsi="Arial"/>
          <w:sz w:val="19"/>
          <w:szCs w:val="19"/>
          <w:color w:val="auto"/>
        </w:rPr>
        <w:t>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use of subcontractors could potentially harm our profitability and business reputation.</w:t>
      </w:r>
    </w:p>
    <w:p>
      <w:pPr>
        <w:spacing w:after="0" w:line="24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Occasionally we act as a prime contractor in some of the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219"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We employ subcontractors at various locations around the world to meet our customers’ needs in a timely manner, meet local co ntent requirements and reduce costs. Subcontractors generally perform the majority of our manufacturing for international customers .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use the same subcontractors that we use and could potentially influence our ability to hire these subcontractors. If we were to lose relationships with key subcontractors, our business could be adversely impacted.</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 significant portion of our accounts receivable are related to larger contracts, which increases our exposure to credit risk.</w:t>
      </w:r>
    </w:p>
    <w:p>
      <w:pPr>
        <w:spacing w:after="0" w:line="248"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color w:val="auto"/>
        </w:rPr>
        <w:t>Significant portions of our sales are to customers who place large orders for custom products and whose activities are related to the power generation and oil and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billing terms can increase our exposure to working capital and credit risk.</w:t>
      </w:r>
    </w:p>
    <w:p>
      <w:pPr>
        <w:spacing w:after="0" w:line="246"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252" w:lineRule="exact"/>
        <w:rPr>
          <w:sz w:val="20"/>
          <w:szCs w:val="20"/>
          <w:color w:val="auto"/>
        </w:rPr>
      </w:pPr>
    </w:p>
    <w:p>
      <w:pPr>
        <w:ind w:right="660"/>
        <w:spacing w:after="0" w:line="232" w:lineRule="auto"/>
        <w:rPr>
          <w:sz w:val="20"/>
          <w:szCs w:val="20"/>
          <w:color w:val="auto"/>
        </w:rPr>
      </w:pPr>
      <w:r>
        <w:rPr>
          <w:rFonts w:ascii="Arial" w:cs="Arial" w:eastAsia="Arial" w:hAnsi="Arial"/>
          <w:sz w:val="20"/>
          <w:szCs w:val="20"/>
          <w:i w:val="1"/>
          <w:iCs w:val="1"/>
          <w:color w:val="auto"/>
        </w:rPr>
        <w:t>Currency fluctuations may reduce profits on our foreign sales or increase our costs, either of which could adversely affect our financial results.</w:t>
      </w:r>
    </w:p>
    <w:p>
      <w:pPr>
        <w:spacing w:after="0" w:line="247"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Given that approximately 33% of our 2023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238"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i w:val="1"/>
          <w:iCs w:val="1"/>
          <w:color w:val="auto"/>
        </w:rPr>
        <w:t>If our goodwill or indefinite lived intangibles become impaired, we may be required to recognize charges that would adversely impact our results of operations.</w:t>
      </w:r>
    </w:p>
    <w:p>
      <w:pPr>
        <w:spacing w:after="0" w:line="2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December 31, 2023, goodwill and indefinite lived intangibles were $220.9 million, or 36.8%,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10680"/>
          </w:cols>
          <w:pgMar w:left="600" w:top="849" w:right="600" w:bottom="46" w:gutter="0" w:footer="0" w:header="0"/>
        </w:sectPr>
      </w:pPr>
    </w:p>
    <w:bookmarkStart w:id="25" w:name="page26"/>
    <w:bookmarkEnd w:id="25"/>
    <w:p>
      <w:pPr>
        <w:ind w:right="40"/>
        <w:spacing w:after="0" w:line="232" w:lineRule="auto"/>
        <w:rPr>
          <w:sz w:val="20"/>
          <w:szCs w:val="20"/>
          <w:color w:val="auto"/>
        </w:rPr>
      </w:pPr>
      <w:r>
        <w:rPr>
          <w:rFonts w:ascii="Arial" w:cs="Arial" w:eastAsia="Arial" w:hAnsi="Arial"/>
          <w:sz w:val="20"/>
          <w:szCs w:val="20"/>
          <w:color w:val="auto"/>
        </w:rPr>
        <w:t>write-down of goodwill or intangible assets resulting from future periodic evaluations could adversely materially impact our results of operations.</w:t>
      </w:r>
    </w:p>
    <w:p>
      <w:pPr>
        <w:spacing w:after="0" w:line="247"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249"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250" w:lineRule="exact"/>
        <w:rPr>
          <w:sz w:val="20"/>
          <w:szCs w:val="20"/>
          <w:color w:val="auto"/>
        </w:rPr>
      </w:pPr>
    </w:p>
    <w:p>
      <w:pPr>
        <w:ind w:right="260"/>
        <w:spacing w:after="0" w:line="232" w:lineRule="auto"/>
        <w:rPr>
          <w:sz w:val="20"/>
          <w:szCs w:val="20"/>
          <w:color w:val="auto"/>
        </w:rPr>
      </w:pPr>
      <w:r>
        <w:rPr>
          <w:rFonts w:ascii="Arial" w:cs="Arial" w:eastAsia="Arial" w:hAnsi="Arial"/>
          <w:sz w:val="20"/>
          <w:szCs w:val="20"/>
          <w:i w:val="1"/>
          <w:iCs w:val="1"/>
          <w:color w:val="auto"/>
        </w:rPr>
        <w:t>We are party to asbestos-containing product litigation that could adversely affect our financial condition, results of operations and cash flows.</w:t>
      </w:r>
    </w:p>
    <w:p>
      <w:pPr>
        <w:spacing w:after="0" w:line="249"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29"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See Note 12 to the Consolidated Financial Statements contained in Part II, Item 8 of this Annual Report on Form 10-K for information regarding the asbestos-related litigation in which we are involved.</w:t>
      </w:r>
    </w:p>
    <w:p>
      <w:pPr>
        <w:spacing w:after="0" w:line="249" w:lineRule="exact"/>
        <w:rPr>
          <w:sz w:val="20"/>
          <w:szCs w:val="20"/>
          <w:color w:val="auto"/>
        </w:rPr>
      </w:pPr>
    </w:p>
    <w:p>
      <w:pPr>
        <w:ind w:right="240"/>
        <w:spacing w:after="0" w:line="341" w:lineRule="auto"/>
        <w:rPr>
          <w:sz w:val="20"/>
          <w:szCs w:val="20"/>
          <w:color w:val="auto"/>
        </w:rPr>
      </w:pPr>
      <w:r>
        <w:rPr>
          <w:rFonts w:ascii="Arial" w:cs="Arial" w:eastAsia="Arial" w:hAnsi="Arial"/>
          <w:sz w:val="16"/>
          <w:szCs w:val="16"/>
          <w:i w:val="1"/>
          <w:iCs w:val="1"/>
          <w:color w:val="auto"/>
        </w:rPr>
        <w:t>We have $138.6 million of indebtedness as of December 31, 2023, and incurrence of additional indebtedness could adversely affect our ability to operate our business, remain in compliance with debt covenants, make payments on our debt and limit our growth.</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Our outstanding indebtedness could have important consequences for investors, including the following:</w:t>
      </w:r>
    </w:p>
    <w:p>
      <w:pPr>
        <w:spacing w:after="0" w:line="263" w:lineRule="exact"/>
        <w:rPr>
          <w:sz w:val="20"/>
          <w:szCs w:val="20"/>
          <w:color w:val="auto"/>
        </w:rPr>
      </w:pPr>
    </w:p>
    <w:p>
      <w:pPr>
        <w:ind w:left="700" w:right="20" w:hanging="350"/>
        <w:spacing w:after="0" w:line="250" w:lineRule="auto"/>
        <w:tabs>
          <w:tab w:leader="none" w:pos="7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it may be more difficult for us to satisfy our obligations with respect to the agreement governing our Credit Facility (as defined in Note 8 to the Consolidated Financial Statements contained in Part II, Item 8 of this Annual Report on Form 10-K), and any failure to comply with the obligations of any of the agreements governing any additional indebtedness, including financial and other restrictive covenants, could result in an event of default under such agreements;</w:t>
      </w:r>
    </w:p>
    <w:p>
      <w:pPr>
        <w:spacing w:after="0" w:line="132" w:lineRule="exact"/>
        <w:rPr>
          <w:rFonts w:ascii="Arial" w:cs="Arial" w:eastAsia="Arial" w:hAnsi="Arial"/>
          <w:sz w:val="19"/>
          <w:szCs w:val="19"/>
          <w:color w:val="auto"/>
        </w:rPr>
      </w:pPr>
    </w:p>
    <w:p>
      <w:pPr>
        <w:ind w:left="700" w:right="60" w:hanging="350"/>
        <w:spacing w:after="0" w:line="249" w:lineRule="auto"/>
        <w:tabs>
          <w:tab w:leader="none" w:pos="7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135" w:lineRule="exact"/>
        <w:rPr>
          <w:rFonts w:ascii="Arial" w:cs="Arial" w:eastAsia="Arial" w:hAnsi="Arial"/>
          <w:sz w:val="19"/>
          <w:szCs w:val="19"/>
          <w:color w:val="auto"/>
        </w:rPr>
      </w:pPr>
    </w:p>
    <w:p>
      <w:pPr>
        <w:ind w:left="700" w:right="640" w:hanging="350"/>
        <w:spacing w:after="0" w:line="232" w:lineRule="auto"/>
        <w:tabs>
          <w:tab w:leader="none" w:pos="7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amount of our interest expense may increase because a substantial portion of our borrowings is at variable rates of interest, which, if interest rates increase, could result in higher interest expense;</w:t>
      </w:r>
    </w:p>
    <w:p>
      <w:pPr>
        <w:spacing w:after="0" w:line="144" w:lineRule="exact"/>
        <w:rPr>
          <w:rFonts w:ascii="Arial" w:cs="Arial" w:eastAsia="Arial" w:hAnsi="Arial"/>
          <w:sz w:val="20"/>
          <w:szCs w:val="20"/>
          <w:color w:val="auto"/>
        </w:rPr>
      </w:pPr>
    </w:p>
    <w:p>
      <w:pPr>
        <w:ind w:left="700" w:right="20" w:hanging="350"/>
        <w:spacing w:after="0" w:line="341"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63" w:lineRule="exact"/>
        <w:rPr>
          <w:rFonts w:ascii="Arial" w:cs="Arial" w:eastAsia="Arial" w:hAnsi="Arial"/>
          <w:sz w:val="16"/>
          <w:szCs w:val="16"/>
          <w:color w:val="auto"/>
        </w:rPr>
      </w:pPr>
    </w:p>
    <w:p>
      <w:pPr>
        <w:ind w:left="700" w:hanging="350"/>
        <w:spacing w:after="0"/>
        <w:tabs>
          <w:tab w:leader="none" w:pos="7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we may have a higher level of debt than some of our competitors, which could put us at a competitive disadvantage;</w:t>
      </w:r>
    </w:p>
    <w:p>
      <w:pPr>
        <w:spacing w:after="0" w:line="143" w:lineRule="exact"/>
        <w:rPr>
          <w:rFonts w:ascii="Arial" w:cs="Arial" w:eastAsia="Arial" w:hAnsi="Arial"/>
          <w:sz w:val="19"/>
          <w:szCs w:val="19"/>
          <w:color w:val="auto"/>
        </w:rPr>
      </w:pPr>
    </w:p>
    <w:p>
      <w:pPr>
        <w:ind w:left="700" w:hanging="350"/>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more vulnerable to economic downturns and adverse developments in our industry or the economy in general; and</w:t>
      </w:r>
    </w:p>
    <w:p>
      <w:pPr>
        <w:spacing w:after="0" w:line="177" w:lineRule="exact"/>
        <w:rPr>
          <w:rFonts w:ascii="Arial" w:cs="Arial" w:eastAsia="Arial" w:hAnsi="Arial"/>
          <w:sz w:val="16"/>
          <w:szCs w:val="16"/>
          <w:color w:val="auto"/>
        </w:rPr>
      </w:pPr>
    </w:p>
    <w:p>
      <w:pPr>
        <w:ind w:left="700" w:right="100" w:hanging="350"/>
        <w:spacing w:after="0" w:line="232" w:lineRule="auto"/>
        <w:tabs>
          <w:tab w:leader="none" w:pos="7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our debt level could limit our flexibility in planning for, or reacting to, changes in our business and the industry in which we operate.</w:t>
      </w:r>
    </w:p>
    <w:p>
      <w:pPr>
        <w:spacing w:after="0" w:line="249"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10660"/>
          </w:cols>
          <w:pgMar w:left="600" w:top="849" w:right="620" w:bottom="46" w:gutter="0" w:footer="0" w:header="0"/>
        </w:sectPr>
      </w:pPr>
    </w:p>
    <w:bookmarkStart w:id="26" w:name="page27"/>
    <w:bookmarkEnd w:id="26"/>
    <w:p>
      <w:pPr>
        <w:ind w:right="20"/>
        <w:spacing w:after="0" w:line="233" w:lineRule="auto"/>
        <w:rPr>
          <w:sz w:val="20"/>
          <w:szCs w:val="20"/>
          <w:color w:val="auto"/>
        </w:rPr>
      </w:pPr>
      <w:r>
        <w:rPr>
          <w:rFonts w:ascii="Arial" w:cs="Arial" w:eastAsia="Arial" w:hAnsi="Arial"/>
          <w:sz w:val="20"/>
          <w:szCs w:val="20"/>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250" w:lineRule="exact"/>
        <w:rPr>
          <w:sz w:val="20"/>
          <w:szCs w:val="20"/>
          <w:color w:val="auto"/>
        </w:rPr>
      </w:pPr>
    </w:p>
    <w:p>
      <w:pPr>
        <w:ind w:right="520"/>
        <w:spacing w:after="0" w:line="232" w:lineRule="auto"/>
        <w:rPr>
          <w:sz w:val="20"/>
          <w:szCs w:val="20"/>
          <w:color w:val="auto"/>
        </w:rPr>
      </w:pPr>
      <w:r>
        <w:rPr>
          <w:rFonts w:ascii="Arial" w:cs="Arial" w:eastAsia="Arial" w:hAnsi="Arial"/>
          <w:sz w:val="20"/>
          <w:szCs w:val="20"/>
          <w:i w:val="1"/>
          <w:iCs w:val="1"/>
          <w:color w:val="auto"/>
        </w:rPr>
        <w:t>We might be unable to protect our intellectual property rights and our products could infringe the intellectual property rights of others, which could expose us to costly disputes.</w:t>
      </w:r>
    </w:p>
    <w:p>
      <w:pPr>
        <w:spacing w:after="0" w:line="249"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our pension plan may adversely impact our results of operations and cash flow.</w:t>
      </w:r>
    </w:p>
    <w:p>
      <w:pPr>
        <w:spacing w:after="0" w:line="246"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w:t>
      </w:r>
    </w:p>
    <w:p>
      <w:pPr>
        <w:spacing w:after="0" w:line="232" w:lineRule="exact"/>
        <w:rPr>
          <w:sz w:val="20"/>
          <w:szCs w:val="20"/>
          <w:color w:val="auto"/>
        </w:rPr>
      </w:pPr>
    </w:p>
    <w:p>
      <w:pPr>
        <w:ind w:right="560"/>
        <w:spacing w:after="0" w:line="232" w:lineRule="auto"/>
        <w:rPr>
          <w:sz w:val="20"/>
          <w:szCs w:val="20"/>
          <w:color w:val="auto"/>
        </w:rPr>
      </w:pPr>
      <w:r>
        <w:rPr>
          <w:rFonts w:ascii="Arial" w:cs="Arial" w:eastAsia="Arial" w:hAnsi="Arial"/>
          <w:sz w:val="20"/>
          <w:szCs w:val="20"/>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229" w:lineRule="exact"/>
        <w:rPr>
          <w:sz w:val="20"/>
          <w:szCs w:val="20"/>
          <w:color w:val="auto"/>
        </w:rPr>
      </w:pPr>
    </w:p>
    <w:p>
      <w:pPr>
        <w:ind w:right="660"/>
        <w:spacing w:after="0" w:line="232" w:lineRule="auto"/>
        <w:rPr>
          <w:sz w:val="20"/>
          <w:szCs w:val="20"/>
          <w:color w:val="auto"/>
        </w:rPr>
      </w:pPr>
      <w:r>
        <w:rPr>
          <w:rFonts w:ascii="Arial" w:cs="Arial" w:eastAsia="Arial" w:hAnsi="Arial"/>
          <w:sz w:val="20"/>
          <w:szCs w:val="20"/>
          <w:i w:val="1"/>
          <w:iCs w:val="1"/>
          <w:color w:val="auto"/>
        </w:rPr>
        <w:t>We have made and may make future acquisitions or divestitures, which involve numerous risks that could impact our financial condition, results of operations and cash flows.</w:t>
      </w:r>
    </w:p>
    <w:p>
      <w:pPr>
        <w:spacing w:after="0" w:line="247"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240"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238" w:lineRule="exact"/>
        <w:rPr>
          <w:sz w:val="20"/>
          <w:szCs w:val="20"/>
          <w:color w:val="auto"/>
        </w:rPr>
      </w:pPr>
    </w:p>
    <w:p>
      <w:pPr>
        <w:ind w:right="240"/>
        <w:spacing w:after="0" w:line="249" w:lineRule="auto"/>
        <w:rPr>
          <w:sz w:val="20"/>
          <w:szCs w:val="20"/>
          <w:color w:val="auto"/>
        </w:rPr>
      </w:pPr>
      <w:r>
        <w:rPr>
          <w:rFonts w:ascii="Arial" w:cs="Arial" w:eastAsia="Arial" w:hAnsi="Arial"/>
          <w:sz w:val="19"/>
          <w:szCs w:val="19"/>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232"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i w:val="1"/>
          <w:iCs w:val="1"/>
          <w:color w:val="auto"/>
        </w:rPr>
        <w:t>Societal responses to climate change could adversely affect our business and performance, including indirectly through impacts on our customers.</w:t>
      </w:r>
    </w:p>
    <w:p>
      <w:pPr>
        <w:spacing w:after="0" w:line="247"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10680"/>
          </w:cols>
          <w:pgMar w:left="600" w:top="849" w:right="600" w:bottom="46" w:gutter="0" w:footer="0" w:header="0"/>
        </w:sectPr>
      </w:pPr>
    </w:p>
    <w:bookmarkStart w:id="27" w:name="page28"/>
    <w:bookmarkEnd w:id="27"/>
    <w:p>
      <w:pPr>
        <w:ind w:right="100"/>
        <w:spacing w:after="0" w:line="266" w:lineRule="auto"/>
        <w:rPr>
          <w:sz w:val="20"/>
          <w:szCs w:val="20"/>
          <w:color w:val="auto"/>
        </w:rPr>
      </w:pPr>
      <w:r>
        <w:rPr>
          <w:rFonts w:ascii="Arial" w:cs="Arial" w:eastAsia="Arial" w:hAnsi="Arial"/>
          <w:sz w:val="18"/>
          <w:szCs w:val="18"/>
          <w:color w:val="auto"/>
        </w:rPr>
        <w:t>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oil and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22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i w:val="1"/>
          <w:iCs w:val="1"/>
          <w:color w:val="auto"/>
        </w:rPr>
        <w:t>Global climate change and related emphasis on environmental, social and governance ("ESG") matters by various stakeholders could negatively affect our business.</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Customer, investor and employee expectations relating to ESG have been rapidly evolving and increasing. In addition, government organizations are enhancing or advancing legal and regulatory requirements specific to ESG matters. The heightened stakeholder focus on ESG issues related to our business requires the continuous monitoring of various and evolving laws, regulations, standards and expectations and the associated reporting requirements. A failure to adequately meet stakeholder expectations may result in noncompliance, the loss of business, reputational impacts, diluted market valuation, an inability to attract customers and an inability to attract and retain top talent. In addition, our adoption of certain standards or mandated compliance to certain requirements could necessitate additional investments that could impact our profitability.</w:t>
      </w:r>
    </w:p>
    <w:p>
      <w:pPr>
        <w:spacing w:after="0" w:line="227"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Climate changes, such as extreme weather conditions, create financial risk to our business. Global physical climate changes, including unseasonable weather conditions, could result in reduced demand or product obsolescence for certain of our customers’ pro ducts and/or price modifications for our customers’ products and the resources needed to produce them. This could in turn put pressure on our manufacturing costs and result in reduced profit margin associated with certain of our customer programs, or loss of customer programs that we may not be able to replace.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Human Capital Management</w:t>
      </w:r>
    </w:p>
    <w:p>
      <w:pPr>
        <w:spacing w:after="0" w:line="248" w:lineRule="exact"/>
        <w:rPr>
          <w:sz w:val="20"/>
          <w:szCs w:val="20"/>
          <w:color w:val="auto"/>
        </w:rPr>
      </w:pPr>
    </w:p>
    <w:p>
      <w:pPr>
        <w:ind w:right="540"/>
        <w:spacing w:after="0" w:line="232" w:lineRule="auto"/>
        <w:rPr>
          <w:sz w:val="20"/>
          <w:szCs w:val="20"/>
          <w:color w:val="auto"/>
        </w:rPr>
      </w:pPr>
      <w:r>
        <w:rPr>
          <w:rFonts w:ascii="Arial" w:cs="Arial" w:eastAsia="Arial" w:hAnsi="Arial"/>
          <w:sz w:val="20"/>
          <w:szCs w:val="20"/>
          <w:i w:val="1"/>
          <w:iCs w:val="1"/>
          <w:color w:val="auto"/>
        </w:rPr>
        <w:t>The loss of key personnel or inability to attract and retain additional personnel could affect our ability to successfully grow our business.</w:t>
      </w: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Our future success depends upon the continued service of our executive officers and other key management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competitors for talent, particularly engineering talent, increasingly attempt to hire, and to varying degrees have been successful in hiring, our employees. If we are unable to attract and retain qualified employees, our business may be harmed.</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Work stoppages or similar difficulties could significantly disrupt our operations.</w:t>
      </w:r>
    </w:p>
    <w:p>
      <w:pPr>
        <w:spacing w:after="0" w:line="246"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As of December 31, 2023, approximately 200 of our approximately 1,200 employees are represented by international or independent labor unions under various union contracts, which, for our covered employees in the United States, expire between November 12, 2025 and May 1, 2026. It is possible that our workforce will become more unionized in the future. Although we consider our employee relations to generally be good, our existing labor agreements may not prevent a strike or work stoppage at one or more of our facilities, which may have a material adverse effect on our business. Unionization activities could also increase our costs, which could have an adverse effect on our profitability.</w:t>
      </w:r>
    </w:p>
    <w:p>
      <w:pPr>
        <w:spacing w:after="0" w:line="24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Additionally, a work stoppage at one of our suppliers could adversely affect our operations if an alternative source of supply were not readily available. Work stoppages by employees of our customers also could result in reduced demand for our products.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Technology and Cybersecurity Risks</w:t>
      </w:r>
    </w:p>
    <w:p>
      <w:pPr>
        <w:spacing w:after="0" w:line="248"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i w:val="1"/>
          <w:iCs w:val="1"/>
          <w:color w:val="auto"/>
        </w:rPr>
        <w:t>Our dependence on information systems and the failure of such systems, could significantly disrupt our business and negatively affect our financial condition, results of operations and cash flows.</w:t>
      </w:r>
    </w:p>
    <w:p>
      <w:pPr>
        <w:spacing w:after="0" w:line="2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including those related to force majeure, telecommunications failures, criminal acts, including hardware or software break-ins or extortion attempts, or viruses, or other cybersecurity incidents, we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10660"/>
          </w:cols>
          <w:pgMar w:left="600" w:top="849" w:right="620" w:bottom="46" w:gutter="0" w:footer="0" w:header="0"/>
        </w:sectPr>
      </w:pPr>
    </w:p>
    <w:bookmarkStart w:id="28" w:name="page29"/>
    <w:bookmarkEnd w:id="28"/>
    <w:p>
      <w:pPr>
        <w:ind w:right="100"/>
        <w:spacing w:after="0" w:line="231" w:lineRule="auto"/>
        <w:rPr>
          <w:sz w:val="20"/>
          <w:szCs w:val="20"/>
          <w:color w:val="auto"/>
        </w:rPr>
      </w:pPr>
      <w:r>
        <w:rPr>
          <w:rFonts w:ascii="Arial" w:cs="Arial" w:eastAsia="Arial" w:hAnsi="Arial"/>
          <w:sz w:val="20"/>
          <w:szCs w:val="20"/>
          <w:color w:val="auto"/>
        </w:rPr>
        <w:t>will have limited ability to affect the timing and success of systems restoration and any resulting interruption in our ability to manage and operate our business could have a material adverse effect on our operating results.</w:t>
      </w:r>
    </w:p>
    <w:p>
      <w:pPr>
        <w:spacing w:after="0" w:line="249"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i w:val="1"/>
          <w:iCs w:val="1"/>
          <w:color w:val="auto"/>
        </w:rPr>
        <w:t>Increased information technology cybersecurity threats and more sophisticated and targeted computer crime could pose a risk to our systems, networks, and products.</w:t>
      </w:r>
    </w:p>
    <w:p>
      <w:pPr>
        <w:spacing w:after="0" w:line="2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Increased global information technology cybersecurity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an increased reliance on our information technology systems, we have taken proactive measures to strengthen our information technology systems, including completion of a National Institute of Standards and Technology ("NIST")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cybersecurity program updates including cybersecurity posture, risk management activities, and emerging risk.</w:t>
      </w:r>
    </w:p>
    <w:p>
      <w:pPr>
        <w:spacing w:after="0" w:line="228"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Compliance and International Operations Risks</w:t>
      </w:r>
    </w:p>
    <w:p>
      <w:pPr>
        <w:spacing w:after="0" w:line="249" w:lineRule="exact"/>
        <w:rPr>
          <w:sz w:val="20"/>
          <w:szCs w:val="20"/>
          <w:color w:val="auto"/>
        </w:rPr>
      </w:pPr>
    </w:p>
    <w:p>
      <w:pPr>
        <w:ind w:right="840"/>
        <w:spacing w:after="0" w:line="232" w:lineRule="auto"/>
        <w:rPr>
          <w:sz w:val="20"/>
          <w:szCs w:val="20"/>
          <w:color w:val="auto"/>
        </w:rPr>
      </w:pPr>
      <w:r>
        <w:rPr>
          <w:rFonts w:ascii="Arial" w:cs="Arial" w:eastAsia="Arial" w:hAnsi="Arial"/>
          <w:sz w:val="20"/>
          <w:szCs w:val="20"/>
          <w:i w:val="1"/>
          <w:iCs w:val="1"/>
          <w:color w:val="auto"/>
        </w:rPr>
        <w:t>Disruptions in the political, regulatory, economic and social conditions of the countries in which we conduct business could negatively impact our business, financial condition and profits.</w:t>
      </w: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We operate and do business in many countries in addition to the United States. For the year ended December 31, 2023, approximately 33%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a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and (ix) the results of new trade agreements and changes in membership to international coalitions or unions.</w:t>
      </w:r>
    </w:p>
    <w:p>
      <w:pPr>
        <w:spacing w:after="0" w:line="219"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222"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color w:val="auto"/>
        </w:rPr>
        <w:t>In addition, compliance with foreign and domestic legal and regulatory requirements, including import, export, defense regulations and foreign exchange controls and anti-corruption laws, as discussed below, such as the FCPA (as defined below), the U.K. Bribery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10660"/>
          </w:cols>
          <w:pgMar w:left="600" w:top="849" w:right="620" w:bottom="46" w:gutter="0" w:footer="0" w:header="0"/>
        </w:sectPr>
      </w:pPr>
    </w:p>
    <w:bookmarkStart w:id="29" w:name="page30"/>
    <w:bookmarkEnd w:id="29"/>
    <w:p>
      <w:pPr>
        <w:ind w:right="140"/>
        <w:spacing w:after="0" w:line="234" w:lineRule="auto"/>
        <w:rPr>
          <w:sz w:val="20"/>
          <w:szCs w:val="20"/>
          <w:color w:val="auto"/>
        </w:rPr>
      </w:pPr>
      <w:r>
        <w:rPr>
          <w:rFonts w:ascii="Arial" w:cs="Arial" w:eastAsia="Arial" w:hAnsi="Arial"/>
          <w:sz w:val="20"/>
          <w:szCs w:val="20"/>
          <w:color w:val="auto"/>
        </w:rPr>
        <w:t>Act (as defined below),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w:t>
      </w:r>
    </w:p>
    <w:p>
      <w:pPr>
        <w:spacing w:after="0" w:line="242"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color w:val="auto"/>
        </w:rPr>
        <w:t>The occurrence of one or more of the foregoing factors could have a material adverse effect on our international operations or upon our financial condition, results of operations and cash flows.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We could be adversely affected by violations of the U.S. Foreign Corrupt Practices Act and similar anti-bribery laws worldwide.</w:t>
      </w:r>
    </w:p>
    <w:p>
      <w:pPr>
        <w:spacing w:after="0" w:line="239"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The U.S. Foreign Corrupt Practices Act ("FCPA"), the U.K. Bribery Act of 2010 ("U.K. Bribery Act"), and similar anti-bribery laws in other jurisdictions generally prohibit companies and their intermediaries from making improper payments for the purpose of obtaining or retaining business. 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there is no assurance that our internal control policies and procedures will protect us from acts committed by our employees or agents. If we are found to be liable for FCPA, U.K. Bribery Act or other similar violations (either due to our own acts or due to the acts of others), we could be subject to civil and criminal penalties or other sanctions, which could have a material adverse impact on our business, financial condition, and profits.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business can be significantly affected by changes in regulatory standards.</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249"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249"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200" w:lineRule="exact"/>
        <w:rPr>
          <w:sz w:val="20"/>
          <w:szCs w:val="20"/>
          <w:color w:val="auto"/>
        </w:rPr>
      </w:pPr>
    </w:p>
    <w:p>
      <w:pPr>
        <w:spacing w:after="0" w:line="229" w:lineRule="exact"/>
        <w:rPr>
          <w:sz w:val="20"/>
          <w:szCs w:val="20"/>
          <w:color w:val="auto"/>
        </w:rPr>
      </w:pPr>
    </w:p>
    <w:p>
      <w:pPr>
        <w:ind w:right="1040"/>
        <w:spacing w:after="0" w:line="232" w:lineRule="auto"/>
        <w:rPr>
          <w:sz w:val="20"/>
          <w:szCs w:val="20"/>
          <w:color w:val="auto"/>
        </w:rPr>
      </w:pPr>
      <w:r>
        <w:rPr>
          <w:rFonts w:ascii="Arial" w:cs="Arial" w:eastAsia="Arial" w:hAnsi="Arial"/>
          <w:sz w:val="20"/>
          <w:szCs w:val="20"/>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24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Biden administration makes to United States administrative policy could result in changes to existing trade agreements, greater restrictions on free trade generally and significant increases in tariffs on goods imported into the United States, particularly tariffs on products manufactured in Mexico and China, among other possible changes. A trade war or other governmental action related to tariffs or international trade agreements, and any resulting negative sentiments towards the United States as a result thereof, would likely have an adverse effect on our international operations or upon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10680"/>
          </w:cols>
          <w:pgMar w:left="600" w:top="849" w:right="600" w:bottom="46"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46"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i w:val="1"/>
          <w:iCs w:val="1"/>
          <w:color w:val="auto"/>
        </w:rPr>
        <w:t>The market price of our common stock may be volatile or may decline regardless of our operating performance and investors may not be able to resell shares they purchase at their purchase price.</w:t>
      </w:r>
    </w:p>
    <w:p>
      <w:pPr>
        <w:spacing w:after="0" w:line="249"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2023, the sales price of our common stock on the NASDAQ ranged from $10.68 to $21.43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136" w:lineRule="exact"/>
        <w:rPr>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actual or anticipated variations in operating results;</w:t>
      </w:r>
    </w:p>
    <w:p>
      <w:pPr>
        <w:spacing w:after="0" w:line="143" w:lineRule="exact"/>
        <w:rPr>
          <w:rFonts w:ascii="Arial" w:cs="Arial" w:eastAsia="Arial" w:hAnsi="Arial"/>
          <w:sz w:val="20"/>
          <w:szCs w:val="20"/>
          <w:color w:val="auto"/>
        </w:rPr>
      </w:pPr>
    </w:p>
    <w:p>
      <w:pPr>
        <w:jc w:val="both"/>
        <w:ind w:left="700" w:right="40" w:hanging="350"/>
        <w:spacing w:after="0" w:line="234" w:lineRule="auto"/>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132"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other domestic and international macroeconomic factors unrelated to our performance;</w:t>
      </w:r>
    </w:p>
    <w:p>
      <w:pPr>
        <w:spacing w:after="0" w:line="128"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health epidemics and other outbreaks;</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failure to meet the expectations of the investment community;</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industry trends and the business success of our customers;</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loss of key customers;</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announcements of technological advances by us or our competitors;</w:t>
      </w:r>
    </w:p>
    <w:p>
      <w:pPr>
        <w:spacing w:after="0" w:line="128"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current events affecting the political and economic environment in the United States;</w:t>
      </w:r>
    </w:p>
    <w:p>
      <w:pPr>
        <w:spacing w:after="0" w:line="143" w:lineRule="exact"/>
        <w:rPr>
          <w:rFonts w:ascii="Arial" w:cs="Arial" w:eastAsia="Arial" w:hAnsi="Arial"/>
          <w:sz w:val="20"/>
          <w:szCs w:val="20"/>
          <w:color w:val="auto"/>
        </w:rPr>
      </w:pPr>
    </w:p>
    <w:p>
      <w:pPr>
        <w:ind w:left="700" w:right="1040" w:hanging="350"/>
        <w:spacing w:after="0" w:line="232" w:lineRule="auto"/>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conditions or trends in our industry, including demand for our products and services, technological advances and governmental regulations;</w:t>
      </w:r>
    </w:p>
    <w:p>
      <w:pPr>
        <w:spacing w:after="0" w:line="132"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litigation or other proceedings involving or affecting us; and</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additions or departures of our key personnel.</w:t>
      </w:r>
    </w:p>
    <w:p>
      <w:pPr>
        <w:spacing w:after="0" w:line="246"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 realization of any of these risks and other factors beyond our control could cause the market price of our common stock to decline significantly.</w:t>
      </w:r>
    </w:p>
    <w:p>
      <w:pPr>
        <w:spacing w:after="0" w:line="249" w:lineRule="exact"/>
        <w:rPr>
          <w:sz w:val="20"/>
          <w:szCs w:val="20"/>
          <w:color w:val="auto"/>
        </w:rPr>
      </w:pPr>
    </w:p>
    <w:p>
      <w:pPr>
        <w:ind w:right="780"/>
        <w:spacing w:after="0" w:line="232" w:lineRule="auto"/>
        <w:rPr>
          <w:sz w:val="20"/>
          <w:szCs w:val="20"/>
          <w:color w:val="auto"/>
        </w:rPr>
      </w:pPr>
      <w:r>
        <w:rPr>
          <w:rFonts w:ascii="Arial" w:cs="Arial" w:eastAsia="Arial" w:hAnsi="Arial"/>
          <w:sz w:val="20"/>
          <w:szCs w:val="20"/>
          <w:i w:val="1"/>
          <w:iCs w:val="1"/>
          <w:color w:val="auto"/>
        </w:rPr>
        <w:t>We are not currently paying dividends and cannot make assurances that we will pay dividends on our common stock and our indebtedness could limit our ability to pay dividends.</w:t>
      </w:r>
    </w:p>
    <w:p>
      <w:pPr>
        <w:spacing w:after="0" w:line="249"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ability to issue preferred stock could adversely affect the rights of holders of our common stock.</w:t>
      </w:r>
    </w:p>
    <w:p>
      <w:pPr>
        <w:spacing w:after="0" w:line="24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Certain provisions in our charter documents have anti-takeover effects.</w:t>
      </w:r>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10680"/>
          </w:cols>
          <w:pgMar w:left="600" w:top="837" w:right="600" w:bottom="46"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Risks Related to Internal Control over Financial Reporting</w:t>
      </w:r>
    </w:p>
    <w:p>
      <w:pPr>
        <w:spacing w:after="0" w:line="246" w:lineRule="exact"/>
        <w:rPr>
          <w:sz w:val="20"/>
          <w:szCs w:val="20"/>
          <w:color w:val="auto"/>
        </w:rPr>
      </w:pPr>
    </w:p>
    <w:p>
      <w:pPr>
        <w:jc w:val="both"/>
        <w:ind w:right="360"/>
        <w:spacing w:after="0" w:line="234" w:lineRule="auto"/>
        <w:rPr>
          <w:sz w:val="20"/>
          <w:szCs w:val="20"/>
          <w:color w:val="auto"/>
        </w:rPr>
      </w:pPr>
      <w:r>
        <w:rPr>
          <w:rFonts w:ascii="Arial" w:cs="Arial" w:eastAsia="Arial" w:hAnsi="Arial"/>
          <w:sz w:val="20"/>
          <w:szCs w:val="20"/>
          <w:i w:val="1"/>
          <w:iCs w:val="1"/>
          <w:color w:val="auto"/>
        </w:rPr>
        <w:t>We have identified material weaknesses in our internal control over financial reporting. If we are unable to develop and maintain adequate internal controls, we may not be able to accurately report our financial results in a timely manner, which may adversely affect investor confidence in us and materially and adversely affect our business.</w:t>
      </w:r>
    </w:p>
    <w:p>
      <w:pPr>
        <w:spacing w:after="0" w:line="240"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234" w:lineRule="exact"/>
        <w:rPr>
          <w:sz w:val="20"/>
          <w:szCs w:val="20"/>
          <w:color w:val="auto"/>
        </w:rPr>
      </w:pPr>
    </w:p>
    <w:p>
      <w:pPr>
        <w:ind w:right="720"/>
        <w:spacing w:after="0" w:line="231" w:lineRule="auto"/>
        <w:rPr>
          <w:sz w:val="20"/>
          <w:szCs w:val="20"/>
          <w:color w:val="auto"/>
        </w:rPr>
      </w:pPr>
      <w:r>
        <w:rPr>
          <w:rFonts w:ascii="Arial" w:cs="Arial" w:eastAsia="Arial" w:hAnsi="Arial"/>
          <w:sz w:val="20"/>
          <w:szCs w:val="20"/>
          <w:color w:val="auto"/>
        </w:rPr>
        <w:t>We continue to devote substantial time and resources to the documentation and testing of our controls, and to plan for and the implementation of remedial efforts in those instances where remediation is indicated.</w:t>
      </w:r>
    </w:p>
    <w:p>
      <w:pPr>
        <w:spacing w:after="0" w:line="240"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As disclosed in Item 9A. “Controls and Procedures” in this Annual Report on Form 10-K, we have material weaknesses in our control environment with regard to management’s review of revenue recognition for contracts and balance sheet reconciliations. These material weaknesses could result in a misstatement of account balances or disclosures that would result in a material misstatement to the annual or interim financial statements that would not be prevented or detected.</w:t>
      </w:r>
    </w:p>
    <w:p>
      <w:pPr>
        <w:spacing w:after="0" w:line="228"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color w:val="auto"/>
        </w:rPr>
        <w:t>To address these material weaknesses, we have developed a remediation plan that includes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 As of December 31, 2023, these remediation efforts are ongoing.</w:t>
      </w:r>
    </w:p>
    <w:p>
      <w:pPr>
        <w:spacing w:after="0" w:line="237"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 Until these material weaknesses are remediated, we plan to continue to perform additional analyses and other procedures to ensure that our consolidated financial statements are prepared in accordance with GAAP.</w:t>
      </w:r>
    </w:p>
    <w:p>
      <w:pPr>
        <w:spacing w:after="0" w:line="22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If we continue to have material weaknesses in our internal controls, or, if we fail to develop and maintain adequate internal controls in the future, including remediating any material weaknesses or deficiencies in our internal controls,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227"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i w:val="1"/>
          <w:iCs w:val="1"/>
          <w:color w:val="auto"/>
        </w:rPr>
        <w:t>There are inherent limitations in all internal control systems over financial reporting, and misstatements due to error or fraud may occur and not be detected.</w:t>
      </w:r>
    </w:p>
    <w:p>
      <w:pPr>
        <w:spacing w:after="0" w:line="249"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and Strategy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00" w:lineRule="exact"/>
        <w:rPr>
          <w:sz w:val="20"/>
          <w:szCs w:val="20"/>
          <w:color w:val="auto"/>
        </w:rPr>
      </w:pPr>
    </w:p>
    <w:p>
      <w:pPr>
        <w:spacing w:after="0" w:line="225"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If we are not able to establish and maintain effective internal control over financial reporting, including any failure to implement required new or improved controls, or if we experience difficulties in their implementation, our business, financial condition and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10680"/>
          </w:cols>
          <w:pgMar w:left="600" w:top="837" w:right="600" w:bottom="46" w:gutter="0" w:footer="0" w:header="0"/>
        </w:sectPr>
      </w:pPr>
    </w:p>
    <w:bookmarkStart w:id="32" w:name="page33"/>
    <w:bookmarkEnd w:id="32"/>
    <w:p>
      <w:pPr>
        <w:ind w:right="120"/>
        <w:spacing w:after="0" w:line="231" w:lineRule="auto"/>
        <w:rPr>
          <w:sz w:val="20"/>
          <w:szCs w:val="20"/>
          <w:color w:val="auto"/>
        </w:rPr>
      </w:pPr>
      <w:r>
        <w:rPr>
          <w:rFonts w:ascii="Arial" w:cs="Arial" w:eastAsia="Arial" w:hAnsi="Arial"/>
          <w:sz w:val="20"/>
          <w:szCs w:val="20"/>
          <w:color w:val="auto"/>
        </w:rPr>
        <w:t>operating results could be harmed. We can give no assurances that any additional material weaknesses will not arise in the future due to our failure to implement and maintain adequate internal control over financial reporting.</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The Company’s Board of Directors (the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 The Company’s cybersecurity policies, standards, and processes are being integrated into the Company’s ERM program and based on recognized frameworks and industry standards, including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Company and customer systems, information, and products.</w:t>
      </w:r>
    </w:p>
    <w:p>
      <w:pPr>
        <w:spacing w:after="0" w:line="230"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The Company has engaged third-party cybersecurity service providers and leverages leading technologies and expertise to monitor, maintain, and provide 24/7 managed detection and response capabilities for coordination, escalation and remediation of alerts associated with information technology systems utilized by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248"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results of such assessments, audits and reviews are reported to the Audit Committee and the Board, and the Company adjusts its cybersecurity program as necessary based on the information provided by these assessments, audits, and reviews.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24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Board, in coordination with the Audit Committee, oversees the Company’s ERM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and third-party and independent reviews.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the Company's Vice President of Information Technology (the "VP of IT").</w:t>
      </w:r>
    </w:p>
    <w:p>
      <w:pPr>
        <w:spacing w:after="0" w:line="226" w:lineRule="exact"/>
        <w:rPr>
          <w:sz w:val="20"/>
          <w:szCs w:val="20"/>
          <w:color w:val="auto"/>
        </w:rPr>
      </w:pPr>
    </w:p>
    <w:p>
      <w:pPr>
        <w:ind w:right="400"/>
        <w:spacing w:after="0" w:line="235" w:lineRule="auto"/>
        <w:rPr>
          <w:sz w:val="20"/>
          <w:szCs w:val="20"/>
          <w:color w:val="auto"/>
        </w:rPr>
      </w:pPr>
      <w:r>
        <w:rPr>
          <w:rFonts w:ascii="Arial" w:cs="Arial" w:eastAsia="Arial" w:hAnsi="Arial"/>
          <w:sz w:val="20"/>
          <w:szCs w:val="20"/>
          <w:color w:val="auto"/>
        </w:rPr>
        <w:t>The VP of IT reports to the Chief Financial and Strategy Officer and is the head of the Company’s cybersecurity team. Through ongoing communications, the VP of IT and the Executive Leadership Team, which includes our Chief Executive Officer, Chief Financial and Strategy Officer, and Chief Administrative and Legal Officer, monitor the prevention, detection, mitigation and remediation of cybersecurity threats and incidents in real time and report such threats and incidents to the Audit Committee when appropriate.</w:t>
      </w:r>
    </w:p>
    <w:p>
      <w:pPr>
        <w:spacing w:after="0" w:line="250" w:lineRule="exact"/>
        <w:rPr>
          <w:sz w:val="20"/>
          <w:szCs w:val="20"/>
          <w:color w:val="auto"/>
        </w:rPr>
      </w:pPr>
    </w:p>
    <w:p>
      <w:pPr>
        <w:ind w:right="180"/>
        <w:spacing w:after="0" w:line="249" w:lineRule="auto"/>
        <w:rPr>
          <w:sz w:val="20"/>
          <w:szCs w:val="20"/>
          <w:color w:val="auto"/>
        </w:rPr>
      </w:pPr>
      <w:r>
        <w:rPr>
          <w:rFonts w:ascii="Arial" w:cs="Arial" w:eastAsia="Arial" w:hAnsi="Arial"/>
          <w:sz w:val="19"/>
          <w:szCs w:val="19"/>
          <w:color w:val="auto"/>
        </w:rPr>
        <w:t>The VP of IT has served in various roles in information technology and information security for over 25 years, including leading the cybersecurity programs for three public companies. The VP of IT holds undergraduate and graduate degrees in business and has attained multiple cybersecurity certifications including Certified Information Security Manager.</w:t>
      </w:r>
    </w:p>
    <w:p>
      <w:pPr>
        <w:spacing w:after="0" w:line="242"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Cybersecurity threats, including those as a result of any previous cybersecurity incidents, have not materially affected or are reasonably likely to materially affect the Company, including its business strategy, results of operations or financial condition. For more information on our cybersecurity related risks, refer to "Part I, Item 1A. Risk Factors"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10660"/>
          </w:cols>
          <w:pgMar w:left="600" w:top="849" w:right="620" w:bottom="46"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Item 2. Properties</w:t>
      </w:r>
    </w:p>
    <w:p>
      <w:pPr>
        <w:spacing w:after="0" w:line="24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Company has 30 principal operating facilities across 12 states and nine countries. The Company’s executive offices are located in Dallas,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and location of principal operating facilities by segment was as follows as of December 31, 2023.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00" w:type="dxa"/>
            <w:vAlign w:val="bottom"/>
            <w:tcBorders>
              <w:bottom w:val="single" w:sz="8" w:color="auto"/>
            </w:tcBorders>
            <w:gridSpan w:val="3"/>
          </w:tcPr>
          <w:p>
            <w:pPr>
              <w:ind w:left="2080"/>
              <w:spacing w:after="0"/>
              <w:rPr>
                <w:sz w:val="20"/>
                <w:szCs w:val="20"/>
                <w:color w:val="auto"/>
              </w:rPr>
            </w:pPr>
            <w:r>
              <w:rPr>
                <w:rFonts w:ascii="Arial" w:cs="Arial" w:eastAsia="Arial" w:hAnsi="Arial"/>
                <w:sz w:val="20"/>
                <w:szCs w:val="20"/>
                <w:b w:val="1"/>
                <w:bCs w:val="1"/>
                <w:color w:val="auto"/>
              </w:rPr>
              <w:t>Location of Facilities</w:t>
            </w:r>
          </w:p>
        </w:tc>
      </w:tr>
      <w:tr>
        <w:trPr>
          <w:trHeight w:val="218"/>
        </w:trPr>
        <w:tc>
          <w:tcPr>
            <w:tcW w:w="2900" w:type="dxa"/>
            <w:vAlign w:val="bottom"/>
            <w:tcBorders>
              <w:bottom w:val="single" w:sz="8" w:color="auto"/>
            </w:tcBorders>
          </w:tcPr>
          <w:p>
            <w:pPr>
              <w:spacing w:after="0" w:line="217" w:lineRule="exact"/>
              <w:rPr>
                <w:sz w:val="20"/>
                <w:szCs w:val="20"/>
                <w:color w:val="auto"/>
              </w:rPr>
            </w:pPr>
            <w:r>
              <w:rPr>
                <w:rFonts w:ascii="Arial" w:cs="Arial" w:eastAsia="Arial" w:hAnsi="Arial"/>
                <w:sz w:val="20"/>
                <w:szCs w:val="20"/>
                <w:b w:val="1"/>
                <w:bCs w:val="1"/>
                <w:color w:val="auto"/>
              </w:rPr>
              <w:t>Segment</w:t>
            </w:r>
          </w:p>
        </w:tc>
        <w:tc>
          <w:tcPr>
            <w:tcW w:w="80" w:type="dxa"/>
            <w:vAlign w:val="bottom"/>
            <w:tcBorders>
              <w:bottom w:val="single" w:sz="8" w:color="E9E9E9"/>
            </w:tcBorders>
          </w:tcPr>
          <w:p>
            <w:pPr>
              <w:spacing w:after="0"/>
              <w:rPr>
                <w:sz w:val="18"/>
                <w:szCs w:val="18"/>
                <w:color w:val="auto"/>
              </w:rPr>
            </w:pPr>
          </w:p>
        </w:tc>
        <w:tc>
          <w:tcPr>
            <w:tcW w:w="20" w:type="dxa"/>
            <w:vAlign w:val="bottom"/>
            <w:tcBorders>
              <w:bottom w:val="single" w:sz="8" w:color="E9E9E9"/>
            </w:tcBorders>
          </w:tcPr>
          <w:p>
            <w:pPr>
              <w:spacing w:after="0"/>
              <w:rPr>
                <w:sz w:val="18"/>
                <w:szCs w:val="18"/>
                <w:color w:val="auto"/>
              </w:rPr>
            </w:pPr>
          </w:p>
        </w:tc>
        <w:tc>
          <w:tcPr>
            <w:tcW w:w="6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b w:val="1"/>
                <w:bCs w:val="1"/>
                <w:color w:val="auto"/>
                <w:w w:val="92"/>
              </w:rPr>
              <w:t>Owned</w:t>
            </w:r>
          </w:p>
        </w:tc>
        <w:tc>
          <w:tcPr>
            <w:tcW w:w="200" w:type="dxa"/>
            <w:vAlign w:val="bottom"/>
            <w:tcBorders>
              <w:bottom w:val="single" w:sz="8" w:color="E9E9E9"/>
            </w:tcBorders>
          </w:tcPr>
          <w:p>
            <w:pPr>
              <w:spacing w:after="0"/>
              <w:rPr>
                <w:sz w:val="18"/>
                <w:szCs w:val="18"/>
                <w:color w:val="auto"/>
              </w:rPr>
            </w:pPr>
          </w:p>
        </w:tc>
        <w:tc>
          <w:tcPr>
            <w:tcW w:w="20" w:type="dxa"/>
            <w:vAlign w:val="bottom"/>
            <w:tcBorders>
              <w:bottom w:val="single" w:sz="8" w:color="E9E9E9"/>
            </w:tcBorders>
          </w:tcPr>
          <w:p>
            <w:pPr>
              <w:spacing w:after="0"/>
              <w:rPr>
                <w:sz w:val="18"/>
                <w:szCs w:val="18"/>
                <w:color w:val="auto"/>
              </w:rPr>
            </w:pPr>
          </w:p>
        </w:tc>
        <w:tc>
          <w:tcPr>
            <w:tcW w:w="6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b w:val="1"/>
                <w:bCs w:val="1"/>
                <w:color w:val="auto"/>
                <w:w w:val="86"/>
              </w:rPr>
              <w:t>Leased</w:t>
            </w:r>
          </w:p>
        </w:tc>
        <w:tc>
          <w:tcPr>
            <w:tcW w:w="220" w:type="dxa"/>
            <w:vAlign w:val="bottom"/>
            <w:tcBorders>
              <w:bottom w:val="single" w:sz="8" w:color="E9E9E9"/>
            </w:tcBorders>
          </w:tcPr>
          <w:p>
            <w:pPr>
              <w:spacing w:after="0"/>
              <w:rPr>
                <w:sz w:val="18"/>
                <w:szCs w:val="18"/>
                <w:color w:val="auto"/>
              </w:rPr>
            </w:pPr>
          </w:p>
        </w:tc>
        <w:tc>
          <w:tcPr>
            <w:tcW w:w="2900" w:type="dxa"/>
            <w:vAlign w:val="bottom"/>
            <w:tcBorders>
              <w:bottom w:val="single" w:sz="8" w:color="auto"/>
            </w:tcBorders>
          </w:tcPr>
          <w:p>
            <w:pPr>
              <w:ind w:left="1200"/>
              <w:spacing w:after="0" w:line="217" w:lineRule="exact"/>
              <w:rPr>
                <w:sz w:val="20"/>
                <w:szCs w:val="20"/>
                <w:color w:val="auto"/>
              </w:rPr>
            </w:pPr>
            <w:r>
              <w:rPr>
                <w:rFonts w:ascii="Arial" w:cs="Arial" w:eastAsia="Arial" w:hAnsi="Arial"/>
                <w:sz w:val="20"/>
                <w:szCs w:val="20"/>
                <w:b w:val="1"/>
                <w:bCs w:val="1"/>
                <w:color w:val="auto"/>
              </w:rPr>
              <w:t>States</w:t>
            </w:r>
          </w:p>
        </w:tc>
        <w:tc>
          <w:tcPr>
            <w:tcW w:w="120" w:type="dxa"/>
            <w:vAlign w:val="bottom"/>
            <w:tcBorders>
              <w:bottom w:val="single" w:sz="8" w:color="E9E9E9"/>
            </w:tcBorders>
          </w:tcPr>
          <w:p>
            <w:pPr>
              <w:spacing w:after="0"/>
              <w:rPr>
                <w:sz w:val="18"/>
                <w:szCs w:val="18"/>
                <w:color w:val="auto"/>
              </w:rPr>
            </w:pPr>
          </w:p>
        </w:tc>
        <w:tc>
          <w:tcPr>
            <w:tcW w:w="2880" w:type="dxa"/>
            <w:vAlign w:val="bottom"/>
            <w:tcBorders>
              <w:bottom w:val="single" w:sz="8" w:color="auto"/>
            </w:tcBorders>
          </w:tcPr>
          <w:p>
            <w:pPr>
              <w:ind w:left="1020"/>
              <w:spacing w:after="0" w:line="217" w:lineRule="exact"/>
              <w:rPr>
                <w:sz w:val="20"/>
                <w:szCs w:val="20"/>
                <w:color w:val="auto"/>
              </w:rPr>
            </w:pPr>
            <w:r>
              <w:rPr>
                <w:rFonts w:ascii="Arial" w:cs="Arial" w:eastAsia="Arial" w:hAnsi="Arial"/>
                <w:sz w:val="20"/>
                <w:szCs w:val="20"/>
                <w:b w:val="1"/>
                <w:bCs w:val="1"/>
                <w:color w:val="auto"/>
              </w:rPr>
              <w:t>Countries</w:t>
            </w:r>
          </w:p>
        </w:tc>
      </w:tr>
      <w:tr>
        <w:trPr>
          <w:trHeight w:val="217"/>
        </w:trPr>
        <w:tc>
          <w:tcPr>
            <w:tcW w:w="290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Engineered Systems Segment</w:t>
            </w: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68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w:t>
            </w:r>
          </w:p>
        </w:tc>
        <w:tc>
          <w:tcPr>
            <w:tcW w:w="2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66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16</w:t>
            </w:r>
          </w:p>
        </w:tc>
        <w:tc>
          <w:tcPr>
            <w:tcW w:w="220" w:type="dxa"/>
            <w:vAlign w:val="bottom"/>
            <w:shd w:val="clear" w:color="auto" w:fill="E9E9E9"/>
          </w:tcPr>
          <w:p>
            <w:pPr>
              <w:spacing w:after="0"/>
              <w:rPr>
                <w:sz w:val="18"/>
                <w:szCs w:val="18"/>
                <w:color w:val="auto"/>
              </w:rPr>
            </w:pPr>
          </w:p>
        </w:tc>
        <w:tc>
          <w:tcPr>
            <w:tcW w:w="2900" w:type="dxa"/>
            <w:vAlign w:val="bottom"/>
            <w:shd w:val="clear" w:color="auto" w:fill="E9E9E9"/>
          </w:tcPr>
          <w:p>
            <w:pPr>
              <w:ind w:left="60"/>
              <w:spacing w:after="0" w:line="217" w:lineRule="exact"/>
              <w:rPr>
                <w:sz w:val="20"/>
                <w:szCs w:val="20"/>
                <w:color w:val="auto"/>
              </w:rPr>
            </w:pPr>
            <w:r>
              <w:rPr>
                <w:rFonts w:ascii="Arial" w:cs="Arial" w:eastAsia="Arial" w:hAnsi="Arial"/>
                <w:sz w:val="20"/>
                <w:szCs w:val="20"/>
                <w:color w:val="auto"/>
                <w:w w:val="98"/>
              </w:rPr>
              <w:t>Arizona, California, Connecticut,</w:t>
            </w:r>
          </w:p>
        </w:tc>
        <w:tc>
          <w:tcPr>
            <w:tcW w:w="120" w:type="dxa"/>
            <w:vAlign w:val="bottom"/>
            <w:shd w:val="clear" w:color="auto" w:fill="E9E9E9"/>
          </w:tcPr>
          <w:p>
            <w:pPr>
              <w:spacing w:after="0"/>
              <w:rPr>
                <w:sz w:val="18"/>
                <w:szCs w:val="18"/>
                <w:color w:val="auto"/>
              </w:rPr>
            </w:pPr>
          </w:p>
        </w:tc>
        <w:tc>
          <w:tcPr>
            <w:tcW w:w="2880" w:type="dxa"/>
            <w:vAlign w:val="bottom"/>
            <w:shd w:val="clear" w:color="auto" w:fill="E9E9E9"/>
          </w:tcPr>
          <w:p>
            <w:pPr>
              <w:ind w:left="40"/>
              <w:spacing w:after="0" w:line="217" w:lineRule="exact"/>
              <w:rPr>
                <w:sz w:val="20"/>
                <w:szCs w:val="20"/>
                <w:color w:val="auto"/>
              </w:rPr>
            </w:pPr>
            <w:r>
              <w:rPr>
                <w:rFonts w:ascii="Arial" w:cs="Arial" w:eastAsia="Arial" w:hAnsi="Arial"/>
                <w:sz w:val="20"/>
                <w:szCs w:val="20"/>
                <w:color w:val="auto"/>
                <w:w w:val="99"/>
              </w:rPr>
              <w:t>United States, The Netherlands,</w:t>
            </w:r>
          </w:p>
        </w:tc>
      </w:tr>
      <w:tr>
        <w:trPr>
          <w:trHeight w:val="228"/>
        </w:trPr>
        <w:tc>
          <w:tcPr>
            <w:tcW w:w="290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8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6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2900" w:type="dxa"/>
            <w:vAlign w:val="bottom"/>
            <w:shd w:val="clear" w:color="auto" w:fill="E9E9E9"/>
          </w:tcPr>
          <w:p>
            <w:pPr>
              <w:spacing w:after="0" w:line="229" w:lineRule="exact"/>
              <w:rPr>
                <w:sz w:val="20"/>
                <w:szCs w:val="20"/>
                <w:color w:val="auto"/>
              </w:rPr>
            </w:pPr>
            <w:r>
              <w:rPr>
                <w:rFonts w:ascii="Arial" w:cs="Arial" w:eastAsia="Arial" w:hAnsi="Arial"/>
                <w:sz w:val="20"/>
                <w:szCs w:val="20"/>
                <w:color w:val="auto"/>
              </w:rPr>
              <w:t>Florida, New York, Ohio, Texas</w:t>
            </w:r>
          </w:p>
        </w:tc>
        <w:tc>
          <w:tcPr>
            <w:tcW w:w="120" w:type="dxa"/>
            <w:vAlign w:val="bottom"/>
            <w:shd w:val="clear" w:color="auto" w:fill="E9E9E9"/>
          </w:tcPr>
          <w:p>
            <w:pPr>
              <w:spacing w:after="0"/>
              <w:rPr>
                <w:sz w:val="19"/>
                <w:szCs w:val="19"/>
                <w:color w:val="auto"/>
              </w:rPr>
            </w:pPr>
          </w:p>
        </w:tc>
        <w:tc>
          <w:tcPr>
            <w:tcW w:w="2880" w:type="dxa"/>
            <w:vAlign w:val="bottom"/>
            <w:shd w:val="clear" w:color="auto" w:fill="E9E9E9"/>
          </w:tcPr>
          <w:p>
            <w:pPr>
              <w:spacing w:after="0" w:line="229" w:lineRule="exact"/>
              <w:rPr>
                <w:sz w:val="20"/>
                <w:szCs w:val="20"/>
                <w:color w:val="auto"/>
              </w:rPr>
            </w:pPr>
            <w:r>
              <w:rPr>
                <w:rFonts w:ascii="Arial" w:cs="Arial" w:eastAsia="Arial" w:hAnsi="Arial"/>
                <w:sz w:val="20"/>
                <w:szCs w:val="20"/>
                <w:color w:val="auto"/>
              </w:rPr>
              <w:t>Canada, India, United Arab</w:t>
            </w:r>
          </w:p>
        </w:tc>
      </w:tr>
      <w:tr>
        <w:trPr>
          <w:trHeight w:val="228"/>
        </w:trPr>
        <w:tc>
          <w:tcPr>
            <w:tcW w:w="290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8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6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29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880" w:type="dxa"/>
            <w:vAlign w:val="bottom"/>
            <w:shd w:val="clear" w:color="auto" w:fill="E9E9E9"/>
          </w:tcPr>
          <w:p>
            <w:pPr>
              <w:spacing w:after="0" w:line="229" w:lineRule="exact"/>
              <w:rPr>
                <w:sz w:val="20"/>
                <w:szCs w:val="20"/>
                <w:color w:val="auto"/>
              </w:rPr>
            </w:pPr>
            <w:r>
              <w:rPr>
                <w:rFonts w:ascii="Arial" w:cs="Arial" w:eastAsia="Arial" w:hAnsi="Arial"/>
                <w:sz w:val="20"/>
                <w:szCs w:val="20"/>
                <w:color w:val="auto"/>
              </w:rPr>
              <w:t>Emirates, Singapore, United</w:t>
            </w:r>
          </w:p>
        </w:tc>
      </w:tr>
      <w:tr>
        <w:trPr>
          <w:trHeight w:val="228"/>
        </w:trPr>
        <w:tc>
          <w:tcPr>
            <w:tcW w:w="290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8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6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29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880" w:type="dxa"/>
            <w:vAlign w:val="bottom"/>
            <w:shd w:val="clear" w:color="auto" w:fill="E9E9E9"/>
          </w:tcPr>
          <w:p>
            <w:pPr>
              <w:spacing w:after="0" w:line="229" w:lineRule="exact"/>
              <w:rPr>
                <w:sz w:val="20"/>
                <w:szCs w:val="20"/>
                <w:color w:val="auto"/>
              </w:rPr>
            </w:pPr>
            <w:r>
              <w:rPr>
                <w:rFonts w:ascii="Arial" w:cs="Arial" w:eastAsia="Arial" w:hAnsi="Arial"/>
                <w:sz w:val="20"/>
                <w:szCs w:val="20"/>
                <w:color w:val="auto"/>
              </w:rPr>
              <w:t>Kingdom, People's Republic of</w:t>
            </w:r>
          </w:p>
        </w:tc>
      </w:tr>
      <w:tr>
        <w:trPr>
          <w:trHeight w:val="229"/>
        </w:trPr>
        <w:tc>
          <w:tcPr>
            <w:tcW w:w="290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8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6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29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880" w:type="dxa"/>
            <w:vAlign w:val="bottom"/>
            <w:shd w:val="clear" w:color="auto" w:fill="E9E9E9"/>
          </w:tcPr>
          <w:p>
            <w:pPr>
              <w:spacing w:after="0" w:line="229" w:lineRule="exact"/>
              <w:rPr>
                <w:sz w:val="20"/>
                <w:szCs w:val="20"/>
                <w:color w:val="auto"/>
              </w:rPr>
            </w:pPr>
            <w:r>
              <w:rPr>
                <w:rFonts w:ascii="Arial" w:cs="Arial" w:eastAsia="Arial" w:hAnsi="Arial"/>
                <w:sz w:val="20"/>
                <w:szCs w:val="20"/>
                <w:color w:val="auto"/>
              </w:rPr>
              <w:t>China, South Korea</w:t>
            </w:r>
          </w:p>
        </w:tc>
      </w:tr>
      <w:tr>
        <w:trPr>
          <w:trHeight w:val="226"/>
        </w:trPr>
        <w:tc>
          <w:tcPr>
            <w:tcW w:w="2900" w:type="dxa"/>
            <w:vAlign w:val="bottom"/>
          </w:tcPr>
          <w:p>
            <w:pPr>
              <w:spacing w:after="0" w:line="226" w:lineRule="exact"/>
              <w:rPr>
                <w:sz w:val="20"/>
                <w:szCs w:val="20"/>
                <w:color w:val="auto"/>
              </w:rPr>
            </w:pPr>
            <w:r>
              <w:rPr>
                <w:rFonts w:ascii="Arial" w:cs="Arial" w:eastAsia="Arial" w:hAnsi="Arial"/>
                <w:sz w:val="20"/>
                <w:szCs w:val="20"/>
                <w:color w:val="auto"/>
              </w:rPr>
              <w:t>Industrial Process Solutions</w:t>
            </w:r>
          </w:p>
        </w:tc>
        <w:tc>
          <w:tcPr>
            <w:tcW w:w="780" w:type="dxa"/>
            <w:vAlign w:val="bottom"/>
            <w:gridSpan w:val="3"/>
          </w:tcPr>
          <w:p>
            <w:pPr>
              <w:jc w:val="right"/>
              <w:spacing w:after="0" w:line="226" w:lineRule="exact"/>
              <w:rPr>
                <w:sz w:val="20"/>
                <w:szCs w:val="20"/>
                <w:color w:val="auto"/>
              </w:rPr>
            </w:pPr>
            <w:r>
              <w:rPr>
                <w:rFonts w:ascii="Arial" w:cs="Arial" w:eastAsia="Arial" w:hAnsi="Arial"/>
                <w:sz w:val="20"/>
                <w:szCs w:val="20"/>
                <w:color w:val="auto"/>
              </w:rPr>
              <w:t>1</w:t>
            </w:r>
          </w:p>
        </w:tc>
        <w:tc>
          <w:tcPr>
            <w:tcW w:w="880" w:type="dxa"/>
            <w:vAlign w:val="bottom"/>
            <w:gridSpan w:val="3"/>
          </w:tcPr>
          <w:p>
            <w:pPr>
              <w:jc w:val="right"/>
              <w:spacing w:after="0" w:line="226" w:lineRule="exact"/>
              <w:rPr>
                <w:sz w:val="20"/>
                <w:szCs w:val="20"/>
                <w:color w:val="auto"/>
              </w:rPr>
            </w:pPr>
            <w:r>
              <w:rPr>
                <w:rFonts w:ascii="Arial" w:cs="Arial" w:eastAsia="Arial" w:hAnsi="Arial"/>
                <w:sz w:val="20"/>
                <w:szCs w:val="20"/>
                <w:color w:val="auto"/>
              </w:rPr>
              <w:t>10</w:t>
            </w:r>
          </w:p>
        </w:tc>
        <w:tc>
          <w:tcPr>
            <w:tcW w:w="3120" w:type="dxa"/>
            <w:vAlign w:val="bottom"/>
            <w:gridSpan w:val="2"/>
          </w:tcPr>
          <w:p>
            <w:pPr>
              <w:ind w:left="220"/>
              <w:spacing w:after="0" w:line="226" w:lineRule="exact"/>
              <w:rPr>
                <w:sz w:val="20"/>
                <w:szCs w:val="20"/>
                <w:color w:val="auto"/>
              </w:rPr>
            </w:pPr>
            <w:r>
              <w:rPr>
                <w:rFonts w:ascii="Arial" w:cs="Arial" w:eastAsia="Arial" w:hAnsi="Arial"/>
                <w:sz w:val="20"/>
                <w:szCs w:val="20"/>
                <w:color w:val="auto"/>
              </w:rPr>
              <w:t>California, Indiana, Michigan,</w:t>
            </w:r>
          </w:p>
        </w:tc>
        <w:tc>
          <w:tcPr>
            <w:tcW w:w="3000" w:type="dxa"/>
            <w:vAlign w:val="bottom"/>
            <w:gridSpan w:val="2"/>
          </w:tcPr>
          <w:p>
            <w:pPr>
              <w:ind w:left="120"/>
              <w:spacing w:after="0" w:line="226" w:lineRule="exact"/>
              <w:rPr>
                <w:sz w:val="20"/>
                <w:szCs w:val="20"/>
                <w:color w:val="auto"/>
              </w:rPr>
            </w:pPr>
            <w:r>
              <w:rPr>
                <w:rFonts w:ascii="Arial" w:cs="Arial" w:eastAsia="Arial" w:hAnsi="Arial"/>
                <w:sz w:val="20"/>
                <w:szCs w:val="20"/>
                <w:color w:val="auto"/>
              </w:rPr>
              <w:t>United States, United Kingdom,</w:t>
            </w:r>
          </w:p>
        </w:tc>
      </w:tr>
      <w:tr>
        <w:trPr>
          <w:trHeight w:val="228"/>
        </w:trPr>
        <w:tc>
          <w:tcPr>
            <w:tcW w:w="2900" w:type="dxa"/>
            <w:vAlign w:val="bottom"/>
          </w:tcPr>
          <w:p>
            <w:pPr>
              <w:spacing w:after="0" w:line="229" w:lineRule="exact"/>
              <w:rPr>
                <w:sz w:val="20"/>
                <w:szCs w:val="20"/>
                <w:color w:val="auto"/>
              </w:rPr>
            </w:pPr>
            <w:r>
              <w:rPr>
                <w:rFonts w:ascii="Arial" w:cs="Arial" w:eastAsia="Arial" w:hAnsi="Arial"/>
                <w:sz w:val="20"/>
                <w:szCs w:val="20"/>
                <w:color w:val="auto"/>
              </w:rPr>
              <w:t>Segment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120" w:type="dxa"/>
            <w:vAlign w:val="bottom"/>
            <w:gridSpan w:val="2"/>
          </w:tcPr>
          <w:p>
            <w:pPr>
              <w:ind w:left="220"/>
              <w:spacing w:after="0" w:line="229" w:lineRule="exact"/>
              <w:rPr>
                <w:sz w:val="20"/>
                <w:szCs w:val="20"/>
                <w:color w:val="auto"/>
              </w:rPr>
            </w:pPr>
            <w:r>
              <w:rPr>
                <w:rFonts w:ascii="Arial" w:cs="Arial" w:eastAsia="Arial" w:hAnsi="Arial"/>
                <w:sz w:val="20"/>
                <w:szCs w:val="20"/>
                <w:color w:val="auto"/>
              </w:rPr>
              <w:t>North Carolina, Pennsylvania,</w:t>
            </w:r>
          </w:p>
        </w:tc>
        <w:tc>
          <w:tcPr>
            <w:tcW w:w="3000" w:type="dxa"/>
            <w:vAlign w:val="bottom"/>
            <w:gridSpan w:val="2"/>
          </w:tcPr>
          <w:p>
            <w:pPr>
              <w:ind w:left="120"/>
              <w:spacing w:after="0" w:line="229" w:lineRule="exact"/>
              <w:rPr>
                <w:sz w:val="20"/>
                <w:szCs w:val="20"/>
                <w:color w:val="auto"/>
              </w:rPr>
            </w:pPr>
            <w:r>
              <w:rPr>
                <w:rFonts w:ascii="Arial" w:cs="Arial" w:eastAsia="Arial" w:hAnsi="Arial"/>
                <w:sz w:val="20"/>
                <w:szCs w:val="20"/>
                <w:color w:val="auto"/>
                <w:w w:val="89"/>
              </w:rPr>
              <w:t>The Netherlands, People's Republic</w:t>
            </w:r>
          </w:p>
        </w:tc>
      </w:tr>
      <w:tr>
        <w:trPr>
          <w:trHeight w:val="228"/>
        </w:trPr>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120" w:type="dxa"/>
            <w:vAlign w:val="bottom"/>
            <w:gridSpan w:val="2"/>
          </w:tcPr>
          <w:p>
            <w:pPr>
              <w:ind w:left="220"/>
              <w:spacing w:after="0" w:line="229" w:lineRule="exact"/>
              <w:rPr>
                <w:sz w:val="20"/>
                <w:szCs w:val="20"/>
                <w:color w:val="auto"/>
              </w:rPr>
            </w:pPr>
            <w:r>
              <w:rPr>
                <w:rFonts w:ascii="Arial" w:cs="Arial" w:eastAsia="Arial" w:hAnsi="Arial"/>
                <w:sz w:val="20"/>
                <w:szCs w:val="20"/>
                <w:color w:val="auto"/>
              </w:rPr>
              <w:t>Tennessee</w:t>
            </w:r>
          </w:p>
        </w:tc>
        <w:tc>
          <w:tcPr>
            <w:tcW w:w="3000" w:type="dxa"/>
            <w:vAlign w:val="bottom"/>
            <w:gridSpan w:val="2"/>
          </w:tcPr>
          <w:p>
            <w:pPr>
              <w:ind w:left="120"/>
              <w:spacing w:after="0" w:line="229" w:lineRule="exact"/>
              <w:rPr>
                <w:sz w:val="20"/>
                <w:szCs w:val="20"/>
                <w:color w:val="auto"/>
              </w:rPr>
            </w:pPr>
            <w:r>
              <w:rPr>
                <w:rFonts w:ascii="Arial" w:cs="Arial" w:eastAsia="Arial" w:hAnsi="Arial"/>
                <w:sz w:val="20"/>
                <w:szCs w:val="20"/>
                <w:color w:val="auto"/>
              </w:rPr>
              <w:t>of China</w:t>
            </w:r>
          </w:p>
        </w:tc>
      </w:tr>
      <w:tr>
        <w:trPr>
          <w:trHeight w:val="228"/>
        </w:trPr>
        <w:tc>
          <w:tcPr>
            <w:tcW w:w="290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Corporate</w:t>
            </w: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8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6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w:t>
            </w:r>
          </w:p>
        </w:tc>
        <w:tc>
          <w:tcPr>
            <w:tcW w:w="220" w:type="dxa"/>
            <w:vAlign w:val="bottom"/>
            <w:shd w:val="clear" w:color="auto" w:fill="E9E9E9"/>
          </w:tcPr>
          <w:p>
            <w:pPr>
              <w:spacing w:after="0"/>
              <w:rPr>
                <w:sz w:val="19"/>
                <w:szCs w:val="19"/>
                <w:color w:val="auto"/>
              </w:rPr>
            </w:pPr>
          </w:p>
        </w:tc>
        <w:tc>
          <w:tcPr>
            <w:tcW w:w="2900" w:type="dxa"/>
            <w:vAlign w:val="bottom"/>
            <w:shd w:val="clear" w:color="auto" w:fill="E9E9E9"/>
          </w:tcPr>
          <w:p>
            <w:pPr>
              <w:ind w:left="60"/>
              <w:spacing w:after="0" w:line="228" w:lineRule="exact"/>
              <w:rPr>
                <w:sz w:val="20"/>
                <w:szCs w:val="20"/>
                <w:color w:val="auto"/>
              </w:rPr>
            </w:pPr>
            <w:r>
              <w:rPr>
                <w:rFonts w:ascii="Arial" w:cs="Arial" w:eastAsia="Arial" w:hAnsi="Arial"/>
                <w:sz w:val="20"/>
                <w:szCs w:val="20"/>
                <w:color w:val="auto"/>
              </w:rPr>
              <w:t>Ohio, Texas</w:t>
            </w:r>
          </w:p>
        </w:tc>
        <w:tc>
          <w:tcPr>
            <w:tcW w:w="120" w:type="dxa"/>
            <w:vAlign w:val="bottom"/>
            <w:shd w:val="clear" w:color="auto" w:fill="E9E9E9"/>
          </w:tcPr>
          <w:p>
            <w:pPr>
              <w:spacing w:after="0"/>
              <w:rPr>
                <w:sz w:val="19"/>
                <w:szCs w:val="19"/>
                <w:color w:val="auto"/>
              </w:rPr>
            </w:pPr>
          </w:p>
        </w:tc>
        <w:tc>
          <w:tcPr>
            <w:tcW w:w="2880" w:type="dxa"/>
            <w:vAlign w:val="bottom"/>
            <w:shd w:val="clear" w:color="auto" w:fill="E9E9E9"/>
          </w:tcPr>
          <w:p>
            <w:pPr>
              <w:ind w:left="40"/>
              <w:spacing w:after="0" w:line="228" w:lineRule="exact"/>
              <w:rPr>
                <w:sz w:val="20"/>
                <w:szCs w:val="20"/>
                <w:color w:val="auto"/>
              </w:rPr>
            </w:pPr>
            <w:r>
              <w:rPr>
                <w:rFonts w:ascii="Arial" w:cs="Arial" w:eastAsia="Arial" w:hAnsi="Arial"/>
                <w:sz w:val="20"/>
                <w:szCs w:val="20"/>
                <w:color w:val="auto"/>
              </w:rPr>
              <w:t>United States</w:t>
            </w:r>
          </w:p>
        </w:tc>
      </w:tr>
      <w:tr>
        <w:trPr>
          <w:trHeight w:val="219"/>
        </w:trPr>
        <w:tc>
          <w:tcPr>
            <w:tcW w:w="2900" w:type="dxa"/>
            <w:vAlign w:val="bottom"/>
          </w:tcPr>
          <w:p>
            <w:pPr>
              <w:spacing w:after="0"/>
              <w:rPr>
                <w:sz w:val="19"/>
                <w:szCs w:val="19"/>
                <w:color w:val="auto"/>
              </w:rPr>
            </w:pPr>
          </w:p>
        </w:tc>
        <w:tc>
          <w:tcPr>
            <w:tcW w:w="78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2</w:t>
            </w:r>
          </w:p>
        </w:tc>
        <w:tc>
          <w:tcPr>
            <w:tcW w:w="88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28</w:t>
            </w: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48"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See Note 12 to the Consolidated Financial Statements contained in Part II, Item 8 of this Annual Report on Form 10-K for information regarding legal proceedings in which we are involved.</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10680"/>
          </w:cols>
          <w:pgMar w:left="600" w:top="837" w:right="600" w:bottom="46" w:gutter="0" w:footer="0" w:header="0"/>
        </w:sectPr>
      </w:pPr>
    </w:p>
    <w:bookmarkStart w:id="34" w:name="page35"/>
    <w:bookmarkEnd w:id="34"/>
    <w:p>
      <w:pPr>
        <w:jc w:val="center"/>
        <w:ind w:right="-19"/>
        <w:spacing w:after="0"/>
        <w:rPr>
          <w:sz w:val="20"/>
          <w:szCs w:val="20"/>
          <w:color w:val="auto"/>
        </w:rPr>
      </w:pPr>
      <w:r>
        <w:rPr>
          <w:rFonts w:ascii="Arial" w:cs="Arial" w:eastAsia="Arial" w:hAnsi="Arial"/>
          <w:sz w:val="20"/>
          <w:szCs w:val="20"/>
          <w:b w:val="1"/>
          <w:bCs w:val="1"/>
          <w:color w:val="auto"/>
        </w:rPr>
        <w:t>PART II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traded on The Nasdaq Global Select Market under the symbol “CECO.”</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48"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The following graph sets forth the cumulative total return to CECO’s stockholders during the five years ended December 31, 20 23, as well as the following indices: Russell 2000 Index, Standard and Poor’s (“S&amp;P”) 600 Small Cap Industrial Machinery Index, and S&amp;P 500 Index. The following graph assumes $100 was invested on December 31, 2018,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6789420" cy="3602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4">
                      <a:extLst>
                        <a:ext uri="{28A0092B-C50C-407E-A947-70E740481C1C}"/>
                      </a:extLst>
                    </a:blip>
                    <a:srcRect/>
                    <a:stretch>
                      <a:fillRect/>
                    </a:stretch>
                  </pic:blipFill>
                  <pic:spPr bwMode="auto">
                    <a:xfrm>
                      <a:off x="0" y="0"/>
                      <a:ext cx="6789420" cy="360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4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 or for other uses such as the continuation of our share repurchase program. Payment of dividends is also subject to the continuing compliance with our financial covenants under our Credit Facility.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48"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approximate number of registered stockholders of record of our common stock as of February 26, 2024 was 248, although there is a larger number of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10660"/>
          </w:cols>
          <w:pgMar w:left="600" w:top="837" w:right="620" w:bottom="46" w:gutter="0" w:footer="0" w:header="0"/>
        </w:sectPr>
      </w:pPr>
    </w:p>
    <w:bookmarkStart w:id="35" w:name="page36"/>
    <w:bookmarkEnd w:id="35"/>
    <w:p>
      <w:pPr>
        <w:ind w:left="6"/>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following table provides information about our purchases of our equity securities for the quarter ended December 31, 2023 .</w:t>
      </w:r>
    </w:p>
    <w:p>
      <w:pPr>
        <w:spacing w:after="0" w:line="24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6"/>
              </w:rPr>
              <w:t>Issuer's Purchases of Equity Securities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tcPr>
          <w:p>
            <w:pPr>
              <w:jc w:val="center"/>
              <w:ind w:right="240"/>
              <w:spacing w:after="0" w:line="173" w:lineRule="exact"/>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line="173" w:lineRule="exact"/>
              <w:rPr>
                <w:sz w:val="20"/>
                <w:szCs w:val="20"/>
                <w:color w:val="auto"/>
              </w:rPr>
            </w:pPr>
            <w:r>
              <w:rPr>
                <w:rFonts w:ascii="Arial" w:cs="Arial" w:eastAsia="Arial" w:hAnsi="Arial"/>
                <w:sz w:val="16"/>
                <w:szCs w:val="16"/>
                <w:b w:val="1"/>
                <w:bCs w:val="1"/>
                <w:color w:val="auto"/>
                <w:w w:val="91"/>
              </w:rPr>
              <w:t>Approximate</w:t>
            </w:r>
          </w:p>
        </w:tc>
      </w:tr>
      <w:tr>
        <w:trPr>
          <w:trHeight w:val="183"/>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right="200"/>
              <w:spacing w:after="0" w:line="183" w:lineRule="exact"/>
              <w:rPr>
                <w:sz w:val="20"/>
                <w:szCs w:val="20"/>
                <w:color w:val="auto"/>
              </w:rPr>
            </w:pPr>
            <w:r>
              <w:rPr>
                <w:rFonts w:ascii="Arial" w:cs="Arial" w:eastAsia="Arial" w:hAnsi="Arial"/>
                <w:sz w:val="16"/>
                <w:szCs w:val="16"/>
                <w:b w:val="1"/>
                <w:bCs w:val="1"/>
                <w:color w:val="auto"/>
                <w:w w:val="85"/>
              </w:rPr>
              <w:t>Shares Purchased</w:t>
            </w:r>
          </w:p>
        </w:tc>
        <w:tc>
          <w:tcPr>
            <w:tcW w:w="1320" w:type="dxa"/>
            <w:vAlign w:val="bottom"/>
            <w:gridSpan w:val="3"/>
          </w:tcPr>
          <w:p>
            <w:pPr>
              <w:jc w:val="center"/>
              <w:ind w:right="80"/>
              <w:spacing w:after="0" w:line="183" w:lineRule="exact"/>
              <w:rPr>
                <w:sz w:val="20"/>
                <w:szCs w:val="20"/>
                <w:color w:val="auto"/>
              </w:rPr>
            </w:pPr>
            <w:r>
              <w:rPr>
                <w:rFonts w:ascii="Arial" w:cs="Arial" w:eastAsia="Arial" w:hAnsi="Arial"/>
                <w:sz w:val="16"/>
                <w:szCs w:val="16"/>
                <w:b w:val="1"/>
                <w:bCs w:val="1"/>
                <w:color w:val="auto"/>
                <w:w w:val="92"/>
              </w:rPr>
              <w:t>Dollar Value of</w:t>
            </w:r>
          </w:p>
        </w:tc>
      </w:tr>
      <w:tr>
        <w:trPr>
          <w:trHeight w:val="181"/>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90"/>
              </w:rPr>
              <w:t>as Part of</w:t>
            </w:r>
          </w:p>
        </w:tc>
        <w:tc>
          <w:tcPr>
            <w:tcW w:w="1320" w:type="dxa"/>
            <w:vAlign w:val="bottom"/>
            <w:gridSpan w:val="3"/>
          </w:tcPr>
          <w:p>
            <w:pPr>
              <w:jc w:val="center"/>
              <w:ind w:right="100"/>
              <w:spacing w:after="0" w:line="181" w:lineRule="exact"/>
              <w:rPr>
                <w:sz w:val="20"/>
                <w:szCs w:val="20"/>
                <w:color w:val="auto"/>
              </w:rPr>
            </w:pPr>
            <w:r>
              <w:rPr>
                <w:rFonts w:ascii="Arial" w:cs="Arial" w:eastAsia="Arial" w:hAnsi="Arial"/>
                <w:sz w:val="16"/>
                <w:szCs w:val="16"/>
                <w:b w:val="1"/>
                <w:bCs w:val="1"/>
                <w:color w:val="auto"/>
                <w:w w:val="92"/>
              </w:rPr>
              <w:t>Shares That May</w:t>
            </w:r>
          </w:p>
        </w:tc>
      </w:tr>
      <w:tr>
        <w:trPr>
          <w:trHeight w:val="183"/>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tcPr>
          <w:p>
            <w:pPr>
              <w:jc w:val="center"/>
              <w:ind w:right="220"/>
              <w:spacing w:after="0" w:line="183" w:lineRule="exact"/>
              <w:rPr>
                <w:sz w:val="20"/>
                <w:szCs w:val="20"/>
                <w:color w:val="auto"/>
              </w:rPr>
            </w:pPr>
            <w:r>
              <w:rPr>
                <w:rFonts w:ascii="Arial" w:cs="Arial" w:eastAsia="Arial" w:hAnsi="Arial"/>
                <w:sz w:val="16"/>
                <w:szCs w:val="16"/>
                <w:b w:val="1"/>
                <w:bCs w:val="1"/>
                <w:color w:val="auto"/>
                <w:w w:val="91"/>
              </w:rPr>
              <w:t>Publicly</w:t>
            </w:r>
          </w:p>
        </w:tc>
        <w:tc>
          <w:tcPr>
            <w:tcW w:w="1320" w:type="dxa"/>
            <w:vAlign w:val="bottom"/>
            <w:gridSpan w:val="3"/>
          </w:tcPr>
          <w:p>
            <w:pPr>
              <w:jc w:val="center"/>
              <w:ind w:right="100"/>
              <w:spacing w:after="0" w:line="183" w:lineRule="exact"/>
              <w:rPr>
                <w:sz w:val="20"/>
                <w:szCs w:val="20"/>
                <w:color w:val="auto"/>
              </w:rPr>
            </w:pPr>
            <w:r>
              <w:rPr>
                <w:rFonts w:ascii="Arial" w:cs="Arial" w:eastAsia="Arial" w:hAnsi="Arial"/>
                <w:sz w:val="16"/>
                <w:szCs w:val="16"/>
                <w:b w:val="1"/>
                <w:bCs w:val="1"/>
                <w:color w:val="auto"/>
                <w:w w:val="89"/>
              </w:rPr>
              <w:t>Yet Be Purchased</w:t>
            </w:r>
          </w:p>
        </w:tc>
      </w:tr>
      <w:tr>
        <w:trPr>
          <w:trHeight w:val="181"/>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ind w:left="140"/>
              <w:spacing w:after="0" w:line="181" w:lineRule="exact"/>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5"/>
                <w:szCs w:val="15"/>
                <w:color w:val="auto"/>
              </w:rPr>
            </w:pPr>
          </w:p>
        </w:tc>
        <w:tc>
          <w:tcPr>
            <w:tcW w:w="112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89"/>
              </w:rPr>
              <w:t>Average Price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7"/>
              </w:rPr>
              <w:t>Announced Plans</w:t>
            </w:r>
          </w:p>
        </w:tc>
        <w:tc>
          <w:tcPr>
            <w:tcW w:w="1320" w:type="dxa"/>
            <w:vAlign w:val="bottom"/>
            <w:gridSpan w:val="3"/>
          </w:tcPr>
          <w:p>
            <w:pPr>
              <w:jc w:val="center"/>
              <w:ind w:right="100"/>
              <w:spacing w:after="0" w:line="181" w:lineRule="exact"/>
              <w:rPr>
                <w:sz w:val="20"/>
                <w:szCs w:val="20"/>
                <w:color w:val="auto"/>
              </w:rPr>
            </w:pPr>
            <w:r>
              <w:rPr>
                <w:rFonts w:ascii="Arial" w:cs="Arial" w:eastAsia="Arial" w:hAnsi="Arial"/>
                <w:sz w:val="16"/>
                <w:szCs w:val="16"/>
                <w:b w:val="1"/>
                <w:bCs w:val="1"/>
                <w:color w:val="auto"/>
                <w:w w:val="90"/>
              </w:rPr>
              <w:t>Under the Plans</w:t>
            </w:r>
          </w:p>
        </w:tc>
      </w:tr>
      <w:tr>
        <w:trPr>
          <w:trHeight w:val="181"/>
        </w:trPr>
        <w:tc>
          <w:tcPr>
            <w:tcW w:w="49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Period (amounts in thousands, except per share data)</w:t>
            </w:r>
          </w:p>
        </w:tc>
        <w:tc>
          <w:tcPr>
            <w:tcW w:w="1420" w:type="dxa"/>
            <w:vAlign w:val="bottom"/>
          </w:tcPr>
          <w:p>
            <w:pPr>
              <w:ind w:left="60"/>
              <w:spacing w:after="0" w:line="182" w:lineRule="exact"/>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19"/>
                <w:szCs w:val="19"/>
                <w:b w:val="1"/>
                <w:bCs w:val="1"/>
                <w:color w:val="auto"/>
                <w:w w:val="88"/>
                <w:vertAlign w:val="superscript"/>
              </w:rPr>
              <w:t>1</w:t>
            </w:r>
          </w:p>
        </w:tc>
        <w:tc>
          <w:tcPr>
            <w:tcW w:w="220" w:type="dxa"/>
            <w:vAlign w:val="bottom"/>
          </w:tcPr>
          <w:p>
            <w:pPr>
              <w:spacing w:after="0"/>
              <w:rPr>
                <w:sz w:val="15"/>
                <w:szCs w:val="15"/>
                <w:color w:val="auto"/>
              </w:rPr>
            </w:pPr>
          </w:p>
        </w:tc>
        <w:tc>
          <w:tcPr>
            <w:tcW w:w="112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89"/>
              </w:rPr>
              <w:t>Paid per Share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90"/>
              </w:rPr>
              <w:t>or Programs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0"/>
              </w:rPr>
              <w:t>or Programs</w:t>
            </w:r>
          </w:p>
        </w:tc>
      </w:tr>
      <w:tr>
        <w:trPr>
          <w:trHeight w:val="218"/>
        </w:trPr>
        <w:tc>
          <w:tcPr>
            <w:tcW w:w="494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October 1, 2023 - October 31, 2023</w:t>
            </w:r>
          </w:p>
        </w:tc>
        <w:tc>
          <w:tcPr>
            <w:tcW w:w="20" w:type="dxa"/>
            <w:vAlign w:val="bottom"/>
            <w:tcBorders>
              <w:top w:val="single" w:sz="8" w:color="E9E9E9"/>
            </w:tcBorders>
            <w:shd w:val="clear" w:color="auto" w:fill="E9E9E9"/>
          </w:tcPr>
          <w:p>
            <w:pPr>
              <w:spacing w:after="0"/>
              <w:rPr>
                <w:sz w:val="18"/>
                <w:szCs w:val="18"/>
                <w:color w:val="auto"/>
              </w:rPr>
            </w:pPr>
          </w:p>
        </w:tc>
        <w:tc>
          <w:tcPr>
            <w:tcW w:w="1420" w:type="dxa"/>
            <w:vAlign w:val="bottom"/>
            <w:tcBorders>
              <w:top w:val="single" w:sz="8" w:color="auto"/>
            </w:tcBorders>
            <w:shd w:val="clear" w:color="auto" w:fill="E9E9E9"/>
          </w:tcPr>
          <w:p>
            <w:pPr>
              <w:ind w:left="1220"/>
              <w:spacing w:after="0" w:line="217" w:lineRule="exact"/>
              <w:rPr>
                <w:sz w:val="20"/>
                <w:szCs w:val="20"/>
                <w:color w:val="auto"/>
              </w:rPr>
            </w:pPr>
            <w:r>
              <w:rPr>
                <w:rFonts w:ascii="Arial" w:cs="Arial" w:eastAsia="Arial" w:hAnsi="Arial"/>
                <w:sz w:val="20"/>
                <w:szCs w:val="20"/>
                <w:color w:val="auto"/>
                <w:w w:val="89"/>
              </w:rPr>
              <w:t>—</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shd w:val="clear" w:color="auto" w:fill="E9E9E9"/>
          </w:tcPr>
          <w:p>
            <w:pPr>
              <w:ind w:left="800"/>
              <w:spacing w:after="0" w:line="217" w:lineRule="exact"/>
              <w:rPr>
                <w:sz w:val="20"/>
                <w:szCs w:val="20"/>
                <w:color w:val="auto"/>
              </w:rPr>
            </w:pPr>
            <w:r>
              <w:rPr>
                <w:rFonts w:ascii="Arial" w:cs="Arial" w:eastAsia="Arial" w:hAnsi="Arial"/>
                <w:sz w:val="20"/>
                <w:szCs w:val="20"/>
                <w:color w:val="auto"/>
                <w:w w:val="89"/>
              </w:rPr>
              <w:t>—</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0" w:type="dxa"/>
            <w:vAlign w:val="bottom"/>
            <w:tcBorders>
              <w:top w:val="single" w:sz="8" w:color="auto"/>
            </w:tcBorders>
            <w:shd w:val="clear" w:color="auto" w:fill="E9E9E9"/>
          </w:tcPr>
          <w:p>
            <w:pPr>
              <w:ind w:left="1000"/>
              <w:spacing w:after="0" w:line="217" w:lineRule="exact"/>
              <w:rPr>
                <w:sz w:val="20"/>
                <w:szCs w:val="20"/>
                <w:color w:val="auto"/>
              </w:rPr>
            </w:pPr>
            <w:r>
              <w:rPr>
                <w:rFonts w:ascii="Arial" w:cs="Arial" w:eastAsia="Arial" w:hAnsi="Arial"/>
                <w:sz w:val="20"/>
                <w:szCs w:val="20"/>
                <w:color w:val="auto"/>
                <w:w w:val="89"/>
              </w:rPr>
              <w:t>—</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13,000</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4960" w:type="dxa"/>
            <w:vAlign w:val="bottom"/>
            <w:gridSpan w:val="2"/>
          </w:tcPr>
          <w:p>
            <w:pPr>
              <w:spacing w:after="0" w:line="228" w:lineRule="exact"/>
              <w:rPr>
                <w:sz w:val="20"/>
                <w:szCs w:val="20"/>
                <w:color w:val="auto"/>
              </w:rPr>
            </w:pPr>
            <w:r>
              <w:rPr>
                <w:rFonts w:ascii="Arial" w:cs="Arial" w:eastAsia="Arial" w:hAnsi="Arial"/>
                <w:sz w:val="20"/>
                <w:szCs w:val="20"/>
                <w:color w:val="auto"/>
              </w:rPr>
              <w:t>November 1, 2023 - November 30, 2023</w:t>
            </w:r>
          </w:p>
        </w:tc>
        <w:tc>
          <w:tcPr>
            <w:tcW w:w="1420" w:type="dxa"/>
            <w:vAlign w:val="bottom"/>
          </w:tcPr>
          <w:p>
            <w:pPr>
              <w:ind w:left="1220"/>
              <w:spacing w:after="0" w:line="228" w:lineRule="exact"/>
              <w:rPr>
                <w:sz w:val="20"/>
                <w:szCs w:val="20"/>
                <w:color w:val="auto"/>
              </w:rPr>
            </w:pPr>
            <w:r>
              <w:rPr>
                <w:rFonts w:ascii="Arial" w:cs="Arial" w:eastAsia="Arial" w:hAnsi="Arial"/>
                <w:sz w:val="20"/>
                <w:szCs w:val="20"/>
                <w:color w:val="auto"/>
                <w:w w:val="8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800"/>
              <w:spacing w:after="0" w:line="228" w:lineRule="exact"/>
              <w:rPr>
                <w:sz w:val="20"/>
                <w:szCs w:val="20"/>
                <w:color w:val="auto"/>
              </w:rPr>
            </w:pPr>
            <w:r>
              <w:rPr>
                <w:rFonts w:ascii="Arial" w:cs="Arial" w:eastAsia="Arial" w:hAnsi="Arial"/>
                <w:sz w:val="20"/>
                <w:szCs w:val="20"/>
                <w:color w:val="auto"/>
                <w:w w:val="8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ind w:left="1000"/>
              <w:spacing w:after="0" w:line="228"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13,000</w:t>
            </w:r>
          </w:p>
        </w:tc>
      </w:tr>
      <w:tr>
        <w:trPr>
          <w:trHeight w:val="228"/>
        </w:trPr>
        <w:tc>
          <w:tcPr>
            <w:tcW w:w="49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December 1, 2023 - December 31, 2023</w:t>
            </w:r>
          </w:p>
        </w:tc>
        <w:tc>
          <w:tcPr>
            <w:tcW w:w="20" w:type="dxa"/>
            <w:vAlign w:val="bottom"/>
            <w:shd w:val="clear" w:color="auto" w:fill="E9E9E9"/>
          </w:tcPr>
          <w:p>
            <w:pPr>
              <w:spacing w:after="0"/>
              <w:rPr>
                <w:sz w:val="19"/>
                <w:szCs w:val="19"/>
                <w:color w:val="auto"/>
              </w:rPr>
            </w:pPr>
          </w:p>
        </w:tc>
        <w:tc>
          <w:tcPr>
            <w:tcW w:w="1420" w:type="dxa"/>
            <w:vAlign w:val="bottom"/>
            <w:tcBorders>
              <w:bottom w:val="single" w:sz="8" w:color="auto"/>
            </w:tcBorders>
            <w:shd w:val="clear" w:color="auto" w:fill="E9E9E9"/>
          </w:tcPr>
          <w:p>
            <w:pPr>
              <w:ind w:left="1220"/>
              <w:spacing w:after="0" w:line="228"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000" w:type="dxa"/>
            <w:vAlign w:val="bottom"/>
            <w:tcBorders>
              <w:bottom w:val="single" w:sz="8" w:color="auto"/>
            </w:tcBorders>
            <w:shd w:val="clear" w:color="auto" w:fill="E9E9E9"/>
          </w:tcPr>
          <w:p>
            <w:pPr>
              <w:ind w:left="800"/>
              <w:spacing w:after="0" w:line="228" w:lineRule="exact"/>
              <w:rPr>
                <w:sz w:val="20"/>
                <w:szCs w:val="20"/>
                <w:color w:val="auto"/>
              </w:rPr>
            </w:pPr>
            <w:r>
              <w:rPr>
                <w:rFonts w:ascii="Arial" w:cs="Arial" w:eastAsia="Arial" w:hAnsi="Arial"/>
                <w:sz w:val="20"/>
                <w:szCs w:val="20"/>
                <w:color w:val="auto"/>
                <w:w w:val="89"/>
              </w:rPr>
              <w:t>—</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0" w:type="dxa"/>
            <w:vAlign w:val="bottom"/>
            <w:tcBorders>
              <w:bottom w:val="single" w:sz="8" w:color="auto"/>
            </w:tcBorders>
            <w:shd w:val="clear" w:color="auto" w:fill="E9E9E9"/>
          </w:tcPr>
          <w:p>
            <w:pPr>
              <w:ind w:left="1000"/>
              <w:spacing w:after="0" w:line="228"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13,000</w:t>
            </w:r>
          </w:p>
        </w:tc>
        <w:tc>
          <w:tcPr>
            <w:tcW w:w="100" w:type="dxa"/>
            <w:vAlign w:val="bottom"/>
            <w:shd w:val="clear" w:color="auto" w:fill="E9E9E9"/>
          </w:tcPr>
          <w:p>
            <w:pPr>
              <w:spacing w:after="0"/>
              <w:rPr>
                <w:sz w:val="19"/>
                <w:szCs w:val="19"/>
                <w:color w:val="auto"/>
              </w:rPr>
            </w:pPr>
          </w:p>
        </w:tc>
      </w:tr>
      <w:tr>
        <w:trPr>
          <w:trHeight w:val="219"/>
        </w:trPr>
        <w:tc>
          <w:tcPr>
            <w:tcW w:w="4960" w:type="dxa"/>
            <w:vAlign w:val="bottom"/>
            <w:gridSpan w:val="2"/>
          </w:tcPr>
          <w:p>
            <w:pPr>
              <w:ind w:left="200"/>
              <w:spacing w:after="0" w:line="217" w:lineRule="exact"/>
              <w:rPr>
                <w:sz w:val="20"/>
                <w:szCs w:val="20"/>
                <w:color w:val="auto"/>
              </w:rPr>
            </w:pPr>
            <w:r>
              <w:rPr>
                <w:rFonts w:ascii="Arial" w:cs="Arial" w:eastAsia="Arial" w:hAnsi="Arial"/>
                <w:sz w:val="20"/>
                <w:szCs w:val="20"/>
                <w:color w:val="auto"/>
              </w:rPr>
              <w:t>Total</w:t>
            </w:r>
          </w:p>
        </w:tc>
        <w:tc>
          <w:tcPr>
            <w:tcW w:w="1420" w:type="dxa"/>
            <w:vAlign w:val="bottom"/>
          </w:tcPr>
          <w:p>
            <w:pPr>
              <w:ind w:left="1220"/>
              <w:spacing w:after="0" w:line="217" w:lineRule="exact"/>
              <w:rPr>
                <w:sz w:val="20"/>
                <w:szCs w:val="20"/>
                <w:color w:val="auto"/>
              </w:rPr>
            </w:pPr>
            <w:r>
              <w:rPr>
                <w:rFonts w:ascii="Arial" w:cs="Arial" w:eastAsia="Arial" w:hAnsi="Arial"/>
                <w:sz w:val="20"/>
                <w:szCs w:val="20"/>
                <w:color w:val="auto"/>
                <w:w w:val="89"/>
              </w:rPr>
              <w:t>—</w:t>
            </w:r>
          </w:p>
        </w:tc>
        <w:tc>
          <w:tcPr>
            <w:tcW w:w="34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000" w:type="dxa"/>
            <w:vAlign w:val="bottom"/>
          </w:tcPr>
          <w:p>
            <w:pPr>
              <w:ind w:left="800"/>
              <w:spacing w:after="0" w:line="217" w:lineRule="exact"/>
              <w:rPr>
                <w:sz w:val="20"/>
                <w:szCs w:val="20"/>
                <w:color w:val="auto"/>
              </w:rPr>
            </w:pPr>
            <w:r>
              <w:rPr>
                <w:rFonts w:ascii="Arial" w:cs="Arial" w:eastAsia="Arial" w:hAnsi="Arial"/>
                <w:sz w:val="20"/>
                <w:szCs w:val="20"/>
                <w:color w:val="auto"/>
                <w:w w:val="8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ind w:left="1000"/>
              <w:spacing w:after="0" w:line="217"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6719570</wp:posOffset>
                </wp:positionH>
                <wp:positionV relativeFrom="paragraph">
                  <wp:posOffset>-1316990</wp:posOffset>
                </wp:positionV>
                <wp:extent cx="7112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103.6999pt" to="534.7pt,-103.6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4058920</wp:posOffset>
                </wp:positionH>
                <wp:positionV relativeFrom="paragraph">
                  <wp:posOffset>-175895</wp:posOffset>
                </wp:positionV>
                <wp:extent cx="14033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33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6pt,-13.8499pt" to="330.65pt,-13.8499pt" o:allowincell="f" strokecolor="#FFFFFF" strokeweight="0.4752pt"/>
            </w:pict>
          </mc:Fallback>
        </mc:AlternateContent>
      </w:r>
    </w:p>
    <w:p>
      <w:pPr>
        <w:spacing w:after="0" w:line="216" w:lineRule="exact"/>
        <w:rPr>
          <w:sz w:val="20"/>
          <w:szCs w:val="20"/>
          <w:color w:val="auto"/>
        </w:rPr>
      </w:pPr>
    </w:p>
    <w:p>
      <w:pPr>
        <w:ind w:left="6" w:right="240" w:hanging="6"/>
        <w:spacing w:after="0" w:line="232" w:lineRule="auto"/>
        <w:tabs>
          <w:tab w:leader="none" w:pos="288" w:val="left"/>
        </w:tabs>
        <w:numPr>
          <w:ilvl w:val="0"/>
          <w:numId w:val="15"/>
        </w:numPr>
        <w:rPr>
          <w:rFonts w:ascii="Arial" w:cs="Arial" w:eastAsia="Arial" w:hAnsi="Arial"/>
          <w:sz w:val="20"/>
          <w:szCs w:val="20"/>
          <w:color w:val="auto"/>
        </w:rPr>
      </w:pPr>
      <w:r>
        <w:rPr>
          <w:rFonts w:ascii="Arial" w:cs="Arial" w:eastAsia="Arial" w:hAnsi="Arial"/>
          <w:sz w:val="20"/>
          <w:szCs w:val="20"/>
          <w:color w:val="auto"/>
        </w:rPr>
        <w:t>On May 10, 2022, the Board of Directors authorized a $20.0 million share repurchase program as described within Note 9 to the Consolidated Financial Statements. The program expires on April 30, 2025.</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20"/>
          <w:szCs w:val="20"/>
          <w:color w:val="auto"/>
        </w:rPr>
        <w:t>Not applicable.</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10686"/>
          </w:cols>
          <w:pgMar w:left="594" w:top="837" w:right="600" w:bottom="46"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9"/>
          <w:szCs w:val="19"/>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Business Overview</w:t>
      </w:r>
    </w:p>
    <w:p>
      <w:pPr>
        <w:spacing w:after="0" w:line="246"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CECO is a leading environmentally focused, diversified industrial company, serving the broad landscape of industrial air, industrial water and energy transition markets globally by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Industry Trends and Corporate Strategy</w:t>
      </w:r>
    </w:p>
    <w:p>
      <w:pPr>
        <w:spacing w:after="0" w:line="248"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251" w:lineRule="exact"/>
        <w:rPr>
          <w:sz w:val="20"/>
          <w:szCs w:val="20"/>
          <w:color w:val="auto"/>
        </w:rPr>
      </w:pPr>
    </w:p>
    <w:p>
      <w:pPr>
        <w:ind w:right="80"/>
        <w:spacing w:after="0" w:line="235" w:lineRule="auto"/>
        <w:rPr>
          <w:sz w:val="20"/>
          <w:szCs w:val="20"/>
          <w:color w:val="auto"/>
        </w:rPr>
      </w:pPr>
      <w:r>
        <w:rPr>
          <w:rFonts w:ascii="Arial" w:cs="Arial" w:eastAsia="Arial" w:hAnsi="Arial"/>
          <w:sz w:val="20"/>
          <w:szCs w:val="20"/>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about corporate social responsibility and interest to procure equipment and solutions that protects employees, the environment and their industrial equipment.</w:t>
      </w:r>
    </w:p>
    <w:p>
      <w:pPr>
        <w:spacing w:after="0" w:line="24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value chain and believe expansion will drive growth within our Engineered Systems segment for our gas separation &amp; filtration, pressure products, acoustical equipment , water treatment solutions and DeNOx SCR systems for natural-gas-fired power plants. Increases in global natural gas, installed miles of new pipeline, including future CO2 and hydrogen pipelines, and liquified natural gas ("LNG") demand and supply all stand to drive the need for our products.</w:t>
      </w:r>
    </w:p>
    <w:p>
      <w:pPr>
        <w:spacing w:after="0" w:line="228"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We also believe there is a growing demand to control and reduce air and water emissions from industrial facilities for which our pollution control equipment will serve. In 2021, the US Congress passed the Infrastructure Investment and Jobs Act with $550 billion of new federal spending aimed at rebuilding roads and bridges, climate resilience, and other environmental initiatives. Similar investments are being made in many other countries in which we do business. As industrial capital expenditures grow, corporations are seeking to do so with a smaller environmental impact. These regulatory and economic tailwinds coupled with shareholder pressure on companies to improve their sustainability and reduce their global carbon footprint serve as catalysts for a growing set of opportunities for our portfolio of equipment and solutions.</w:t>
      </w:r>
    </w:p>
    <w:p>
      <w:pPr>
        <w:spacing w:after="0" w:line="245"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auto"/>
        </w:rPr>
        <w:t>We continue to focus on increasing revenues and profitability in developing markets, where environmental awareness and associated regulatory standards are increasing, while continuing to strengthen and expand our product offerings and channels in our domestic market of the United States. Our enterprise strategy consists of a combined operational strategy and capital allocation strategy.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10660"/>
          </w:cols>
          <w:pgMar w:left="600" w:top="837" w:right="620" w:bottom="46" w:gutter="0" w:footer="0" w:header="0"/>
        </w:sectPr>
      </w:pPr>
    </w:p>
    <w:bookmarkStart w:id="37" w:name="page38"/>
    <w:bookmarkEnd w:id="37"/>
    <w:p>
      <w:pPr>
        <w:ind w:right="80"/>
        <w:spacing w:after="0" w:line="234" w:lineRule="auto"/>
        <w:rPr>
          <w:sz w:val="20"/>
          <w:szCs w:val="20"/>
          <w:color w:val="auto"/>
        </w:rPr>
      </w:pPr>
      <w:r>
        <w:rPr>
          <w:rFonts w:ascii="Arial" w:cs="Arial" w:eastAsia="Arial" w:hAnsi="Arial"/>
          <w:sz w:val="20"/>
          <w:szCs w:val="20"/>
          <w:color w:val="auto"/>
        </w:rPr>
        <w:t>Our operational strategy is implemented through our technology and application-based platforms aligned around target customers and end markets where our solutions are particularly valuable. Core elements of our operational strategy are commercial and operational excellence, margin expansion, recurring revenue growth, cash flow generation, product management, and project management execution.</w:t>
      </w:r>
    </w:p>
    <w:p>
      <w:pPr>
        <w:spacing w:after="0" w:line="251"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Our capital allocation strategy supports the growth and value creation generated by our operational strategy. We will focus our capital deployment on building out our leading industrial air solutions portfolio, advancing our emerging industrial water treatment position, and supporting our customers as they make the transition to cleaner more sustainable forms of energy, while also shifting our portfolio mix towards businesses with more recurring revenue and more predictable cash flows, strong secular growth trends and less cyclicality.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Market Pressures</w:t>
      </w:r>
    </w:p>
    <w:p>
      <w:pPr>
        <w:spacing w:after="0" w:line="248"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The senior management team monitors and manages the Company’s ability to operate effectively as the result of market pressures. In particular, we are currently experiencing shortages of raw materials and inflationary pressures for certain materials and labor. We have secured raw materials from existing and alternate suppliers and have taken other mitigating actions to mitigate supply disruptions; however, we cannot guarantee that we can continue to do so in the future. In this event, our business, results and financial condition could be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Operations Overview</w:t>
      </w:r>
    </w:p>
    <w:p>
      <w:pPr>
        <w:spacing w:after="0" w:line="24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We operate our segments and the underlying platforms serving their respective niche end markets. Our platforms are structured to win in their target markets with a core focus on understanding customer needs and providing best-in-class solutions. Our business model provides scalable efficiencies enabling us to serve our customers with a variety of products that we typically classify into three categories: make-to-order, configure-to-order, and engineer-to-order. For our project-based platforms, we leverage third-party subcontract fabrication partners in a global network to execute for our customers world-wide. Our platforms are focused on sales, application engineering, product management, project management, and supply chain execution for our customers.</w:t>
      </w:r>
    </w:p>
    <w:p>
      <w:pPr>
        <w:spacing w:after="0" w:line="227"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color w:val="auto"/>
        </w:rPr>
        <w:t>Our operations management team has distinct industry expertise coupled with strong leadership skills resulting in a customer-first mindset across the business. Our operations management team works closely with our Chief Executive Officer on global fulfillment strategies, operational excellence, resource allocation, and employee development.</w:t>
      </w:r>
    </w:p>
    <w:p>
      <w:pPr>
        <w:spacing w:after="0" w:line="247" w:lineRule="exact"/>
        <w:rPr>
          <w:sz w:val="20"/>
          <w:szCs w:val="20"/>
          <w:color w:val="auto"/>
        </w:rPr>
      </w:pPr>
    </w:p>
    <w:p>
      <w:pPr>
        <w:ind w:right="140"/>
        <w:spacing w:after="0" w:line="235" w:lineRule="auto"/>
        <w:rPr>
          <w:sz w:val="20"/>
          <w:szCs w:val="20"/>
          <w:color w:val="auto"/>
        </w:rPr>
      </w:pPr>
      <w:r>
        <w:rPr>
          <w:rFonts w:ascii="Arial" w:cs="Arial" w:eastAsia="Arial" w:hAnsi="Arial"/>
          <w:sz w:val="20"/>
          <w:szCs w:val="20"/>
          <w:color w:val="auto"/>
        </w:rPr>
        <w:t>Within our segments we have monthly business reviews to ensure we are serving customers, achieving our operating plan, and executing on strategic growth initiatives. These reviews include, but are not limited to pipeline reviews, quotation reviews, project management reviews, financial performance, manufacturing scorecards, safety, and customer feedback. In these reviews we focus on metrics such as quality, customer satisfaction, on-time-delivery, lead-times, price, inflation, project margins, backlog, and above all, safety.</w:t>
      </w:r>
    </w:p>
    <w:p>
      <w:pPr>
        <w:spacing w:after="0" w:line="250" w:lineRule="exact"/>
        <w:rPr>
          <w:sz w:val="20"/>
          <w:szCs w:val="20"/>
          <w:color w:val="auto"/>
        </w:rPr>
      </w:pPr>
    </w:p>
    <w:p>
      <w:pPr>
        <w:jc w:val="both"/>
        <w:ind w:right="40"/>
        <w:spacing w:after="0" w:line="250" w:lineRule="auto"/>
        <w:rPr>
          <w:sz w:val="20"/>
          <w:szCs w:val="20"/>
          <w:color w:val="auto"/>
        </w:rPr>
      </w:pPr>
      <w:r>
        <w:rPr>
          <w:rFonts w:ascii="Arial" w:cs="Arial" w:eastAsia="Arial" w:hAnsi="Arial"/>
          <w:sz w:val="19"/>
          <w:szCs w:val="19"/>
          <w:color w:val="auto"/>
        </w:rPr>
        <w:t>In support of the segments, centralized teams provide back-office functions for scale, efficiency, and compliance. These key functions include: accounting, treasury, tax, payroll, human resources and total rewards management, legal, information technology, marketing, and internal control over financial reporting. We have excellent collaboration between our platforms and our centralized service teams ensuring optimal efficiency and alignment on growth and improvement initiatives.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Our reportable segments are:</w:t>
      </w:r>
    </w:p>
    <w:p>
      <w:pPr>
        <w:spacing w:after="0" w:line="263" w:lineRule="exact"/>
        <w:rPr>
          <w:sz w:val="20"/>
          <w:szCs w:val="20"/>
          <w:color w:val="auto"/>
        </w:rPr>
      </w:pPr>
    </w:p>
    <w:p>
      <w:pPr>
        <w:ind w:left="700" w:hanging="350"/>
        <w:spacing w:after="0" w:line="235"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Engineered Systems segment: </w:t>
      </w:r>
      <w:r>
        <w:rPr>
          <w:rFonts w:ascii="Arial" w:cs="Arial" w:eastAsia="Arial" w:hAnsi="Arial"/>
          <w:sz w:val="20"/>
          <w:szCs w:val="20"/>
          <w:color w:val="auto"/>
        </w:rPr>
        <w:t>Our Engineered Systems segment serves the power generation, hydrocarbon processing,</w:t>
      </w:r>
      <w:r>
        <w:rPr>
          <w:rFonts w:ascii="Arial" w:cs="Arial" w:eastAsia="Arial" w:hAnsi="Arial"/>
          <w:sz w:val="20"/>
          <w:szCs w:val="20"/>
          <w:i w:val="1"/>
          <w:iCs w:val="1"/>
          <w:color w:val="auto"/>
        </w:rPr>
        <w:t xml:space="preserve"> </w:t>
      </w:r>
      <w:r>
        <w:rPr>
          <w:rFonts w:ascii="Arial" w:cs="Arial" w:eastAsia="Arial" w:hAnsi="Arial"/>
          <w:sz w:val="20"/>
          <w:szCs w:val="20"/>
          <w:color w:val="auto"/>
        </w:rPr>
        <w:t>water/wastewater 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264" w:lineRule="exact"/>
        <w:rPr>
          <w:rFonts w:ascii="Arial" w:cs="Arial" w:eastAsia="Arial" w:hAnsi="Arial"/>
          <w:sz w:val="20"/>
          <w:szCs w:val="20"/>
          <w:color w:val="auto"/>
        </w:rPr>
      </w:pPr>
    </w:p>
    <w:p>
      <w:pPr>
        <w:ind w:left="700" w:right="140" w:hanging="350"/>
        <w:spacing w:after="0" w:line="26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Industrial Process Solutions segment: </w:t>
      </w:r>
      <w:r>
        <w:rPr>
          <w:rFonts w:ascii="Arial" w:cs="Arial" w:eastAsia="Arial" w:hAnsi="Arial"/>
          <w:sz w:val="18"/>
          <w:szCs w:val="18"/>
          <w:color w:val="auto"/>
        </w:rPr>
        <w:t>Our Industrial Process Solutions segment serves the broad industrial sector with</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10680"/>
          </w:cols>
          <w:pgMar w:left="600" w:top="849" w:right="600" w:bottom="46" w:gutter="0" w:footer="0" w:header="0"/>
        </w:sectPr>
      </w:pPr>
    </w:p>
    <w:bookmarkStart w:id="38" w:name="page39"/>
    <w:bookmarkEnd w:id="38"/>
    <w:p>
      <w:pPr>
        <w:ind w:right="20"/>
        <w:spacing w:after="0" w:line="234" w:lineRule="auto"/>
        <w:rPr>
          <w:sz w:val="20"/>
          <w:szCs w:val="20"/>
          <w:color w:val="auto"/>
        </w:rPr>
      </w:pPr>
      <w:r>
        <w:rPr>
          <w:rFonts w:ascii="Arial" w:cs="Arial" w:eastAsia="Arial" w:hAnsi="Arial"/>
          <w:sz w:val="20"/>
          <w:szCs w:val="20"/>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cost of sales is principally driven by a number of factors, including material and subcontract prices and labor cost and availability.</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Changes in these factors may have a material impact on our overall gross profit margins.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We break down costs of sales into five categories, as follows:</w:t>
      </w:r>
    </w:p>
    <w:p>
      <w:pPr>
        <w:spacing w:after="0" w:line="263" w:lineRule="exact"/>
        <w:rPr>
          <w:sz w:val="20"/>
          <w:szCs w:val="20"/>
          <w:color w:val="auto"/>
        </w:rPr>
      </w:pPr>
    </w:p>
    <w:p>
      <w:pPr>
        <w:ind w:left="700" w:hanging="350"/>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Subcontracts—Electrical work, concrete work, subcomponents and other subcontracts necessary to produce our products;</w:t>
      </w:r>
    </w:p>
    <w:p>
      <w:pPr>
        <w:spacing w:after="0" w:line="139" w:lineRule="exact"/>
        <w:rPr>
          <w:rFonts w:ascii="Arial" w:cs="Arial" w:eastAsia="Arial" w:hAnsi="Arial"/>
          <w:sz w:val="18"/>
          <w:szCs w:val="18"/>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Labor—Our direct labor both in the shop and in the field;</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Material—Raw materials that we buy to build our products;</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Equipment—Fans, motors, control panels and other equipment necessary for turnkey systems; and</w:t>
      </w:r>
    </w:p>
    <w:p>
      <w:pPr>
        <w:spacing w:after="0" w:line="131"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Factory overhead—Costs of facilities and supervision wages necessary to produce our products.</w:t>
      </w:r>
    </w:p>
    <w:p>
      <w:pPr>
        <w:spacing w:after="0" w:line="24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quickly, which also reduces gross margin percentage. As material cost inflation occurs, the Company seeks to pass this cost onto our customers as price increases.</w:t>
      </w:r>
    </w:p>
    <w:p>
      <w:pPr>
        <w:spacing w:after="0" w:line="249"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Selling and administrative expense principally includes sales and engineering payroll and related fringes, advertising and marketing expenditures as well as all corporate and administrative functions and other costs that support our operations. The majority of these expenses are fixed. An advantage of our operating model is that as revenue grows, we have significant operating leverage on our fixed selling and administrative cost structure.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Regarding Use of Non-GAAP Financial Measures</w:t>
      </w:r>
    </w:p>
    <w:p>
      <w:pPr>
        <w:spacing w:after="0" w:line="246"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24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Company has provided the non-GAAP financial measures including non-GAAP operating income, non-GAAP operating margin, and non-GAAP net income as a result of the adjustment for items that the Company believes are not indicative of its ongoing operations. These items include charges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generated substantial income associated with acquisitions. While the Company cannot predict the exact timing or amounts of such charges, it does expect to treat these charges as special items in its future presentation of non-GAAP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10660"/>
          </w:cols>
          <w:pgMar w:left="600" w:top="849" w:right="620" w:bottom="46"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Results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Our consolidated statements of income for the years ended December 31, 2023, 2022 and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2"/>
        </w:trPr>
        <w:tc>
          <w:tcPr>
            <w:tcW w:w="6040" w:type="dxa"/>
            <w:vAlign w:val="bottom"/>
            <w:tcBorders>
              <w:bottom w:val="single" w:sz="8" w:color="E9E9E9"/>
            </w:tcBorders>
            <w:gridSpan w:val="2"/>
          </w:tcPr>
          <w:p>
            <w:pPr>
              <w:spacing w:after="0" w:line="172" w:lineRule="exact"/>
              <w:rPr>
                <w:sz w:val="20"/>
                <w:szCs w:val="20"/>
                <w:color w:val="auto"/>
              </w:rPr>
            </w:pPr>
            <w:r>
              <w:rPr>
                <w:rFonts w:ascii="Arial" w:cs="Arial" w:eastAsia="Arial" w:hAnsi="Arial"/>
                <w:sz w:val="16"/>
                <w:szCs w:val="16"/>
                <w:b w:val="1"/>
                <w:bCs w:val="1"/>
                <w:color w:val="auto"/>
              </w:rPr>
              <w:t>(dollars in millions)</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2"/>
              <w:spacing w:after="0" w:line="172" w:lineRule="exact"/>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2"/>
              <w:spacing w:after="0" w:line="172"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2"/>
              <w:spacing w:after="0" w:line="172" w:lineRule="exact"/>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E9E9E9"/>
            </w:tcBorders>
          </w:tcPr>
          <w:p>
            <w:pPr>
              <w:spacing w:after="0"/>
              <w:rPr>
                <w:sz w:val="14"/>
                <w:szCs w:val="14"/>
                <w:color w:val="auto"/>
              </w:rPr>
            </w:pPr>
          </w:p>
        </w:tc>
      </w:tr>
      <w:tr>
        <w:trPr>
          <w:trHeight w:val="218"/>
        </w:trPr>
        <w:tc>
          <w:tcPr>
            <w:tcW w:w="602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Net sales</w:t>
            </w: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544.8</w:t>
            </w:r>
          </w:p>
        </w:tc>
        <w:tc>
          <w:tcPr>
            <w:tcW w:w="2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422.6</w:t>
            </w:r>
          </w:p>
        </w:tc>
        <w:tc>
          <w:tcPr>
            <w:tcW w:w="2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324.1</w:t>
            </w:r>
          </w:p>
        </w:tc>
        <w:tc>
          <w:tcPr>
            <w:tcW w:w="160" w:type="dxa"/>
            <w:vAlign w:val="bottom"/>
            <w:shd w:val="clear" w:color="auto" w:fill="E9E9E9"/>
          </w:tcPr>
          <w:p>
            <w:pPr>
              <w:spacing w:after="0"/>
              <w:rPr>
                <w:sz w:val="18"/>
                <w:szCs w:val="18"/>
                <w:color w:val="auto"/>
              </w:rPr>
            </w:pPr>
          </w:p>
        </w:tc>
      </w:tr>
      <w:tr>
        <w:trPr>
          <w:trHeight w:val="228"/>
        </w:trPr>
        <w:tc>
          <w:tcPr>
            <w:tcW w:w="6040" w:type="dxa"/>
            <w:vAlign w:val="bottom"/>
            <w:gridSpan w:val="2"/>
          </w:tcPr>
          <w:p>
            <w:pPr>
              <w:spacing w:after="0" w:line="228" w:lineRule="exact"/>
              <w:rPr>
                <w:sz w:val="20"/>
                <w:szCs w:val="20"/>
                <w:color w:val="auto"/>
              </w:rPr>
            </w:pPr>
            <w:r>
              <w:rPr>
                <w:rFonts w:ascii="Arial" w:cs="Arial" w:eastAsia="Arial" w:hAnsi="Arial"/>
                <w:sz w:val="20"/>
                <w:szCs w:val="20"/>
                <w:color w:val="auto"/>
              </w:rPr>
              <w:t>Cost of goods sold</w:t>
            </w: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373.8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294.4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223.2</w:t>
            </w:r>
          </w:p>
        </w:tc>
      </w:tr>
      <w:tr>
        <w:trPr>
          <w:trHeight w:val="218"/>
        </w:trPr>
        <w:tc>
          <w:tcPr>
            <w:tcW w:w="602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Gross profit</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171.0</w:t>
            </w: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128.2</w:t>
            </w: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100.9</w:t>
            </w:r>
          </w:p>
        </w:tc>
        <w:tc>
          <w:tcPr>
            <w:tcW w:w="160" w:type="dxa"/>
            <w:vAlign w:val="bottom"/>
            <w:tcBorders>
              <w:top w:val="single" w:sz="8" w:color="E9E9E9"/>
            </w:tcBorders>
            <w:shd w:val="clear" w:color="auto" w:fill="E9E9E9"/>
          </w:tcPr>
          <w:p>
            <w:pPr>
              <w:spacing w:after="0"/>
              <w:rPr>
                <w:sz w:val="18"/>
                <w:szCs w:val="18"/>
                <w:color w:val="auto"/>
              </w:rPr>
            </w:pPr>
          </w:p>
        </w:tc>
      </w:tr>
      <w:tr>
        <w:trPr>
          <w:trHeight w:val="225"/>
        </w:trPr>
        <w:tc>
          <w:tcPr>
            <w:tcW w:w="6040" w:type="dxa"/>
            <w:vAlign w:val="bottom"/>
            <w:gridSpan w:val="2"/>
          </w:tcPr>
          <w:p>
            <w:pPr>
              <w:ind w:left="200"/>
              <w:spacing w:after="0" w:line="225" w:lineRule="exact"/>
              <w:rPr>
                <w:sz w:val="20"/>
                <w:szCs w:val="20"/>
                <w:color w:val="auto"/>
              </w:rPr>
            </w:pPr>
            <w:r>
              <w:rPr>
                <w:rFonts w:ascii="Arial" w:cs="Arial" w:eastAsia="Arial" w:hAnsi="Arial"/>
                <w:sz w:val="20"/>
                <w:szCs w:val="20"/>
                <w:i w:val="1"/>
                <w:iCs w:val="1"/>
                <w:color w:val="auto"/>
              </w:rPr>
              <w:t>Percent of sales</w:t>
            </w:r>
          </w:p>
        </w:tc>
        <w:tc>
          <w:tcPr>
            <w:tcW w:w="100" w:type="dxa"/>
            <w:vAlign w:val="bottom"/>
          </w:tcPr>
          <w:p>
            <w:pPr>
              <w:spacing w:after="0"/>
              <w:rPr>
                <w:sz w:val="19"/>
                <w:szCs w:val="19"/>
                <w:color w:val="auto"/>
              </w:rPr>
            </w:pPr>
          </w:p>
        </w:tc>
        <w:tc>
          <w:tcPr>
            <w:tcW w:w="1460" w:type="dxa"/>
            <w:vAlign w:val="bottom"/>
            <w:gridSpan w:val="2"/>
          </w:tcPr>
          <w:p>
            <w:pPr>
              <w:jc w:val="right"/>
              <w:spacing w:after="0" w:line="225" w:lineRule="exact"/>
              <w:rPr>
                <w:sz w:val="20"/>
                <w:szCs w:val="20"/>
                <w:color w:val="auto"/>
              </w:rPr>
            </w:pPr>
            <w:r>
              <w:rPr>
                <w:rFonts w:ascii="Arial" w:cs="Arial" w:eastAsia="Arial" w:hAnsi="Arial"/>
                <w:sz w:val="20"/>
                <w:szCs w:val="20"/>
                <w:i w:val="1"/>
                <w:iCs w:val="1"/>
                <w:color w:val="auto"/>
              </w:rPr>
              <w:t>31.4%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80"/>
              <w:spacing w:after="0" w:line="225" w:lineRule="exact"/>
              <w:rPr>
                <w:sz w:val="20"/>
                <w:szCs w:val="20"/>
                <w:color w:val="auto"/>
              </w:rPr>
            </w:pPr>
            <w:r>
              <w:rPr>
                <w:rFonts w:ascii="Arial" w:cs="Arial" w:eastAsia="Arial" w:hAnsi="Arial"/>
                <w:sz w:val="20"/>
                <w:szCs w:val="20"/>
                <w:i w:val="1"/>
                <w:iCs w:val="1"/>
                <w:color w:val="auto"/>
              </w:rPr>
              <w:t>30.3%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line="225" w:lineRule="exact"/>
              <w:rPr>
                <w:sz w:val="20"/>
                <w:szCs w:val="20"/>
                <w:color w:val="auto"/>
              </w:rPr>
            </w:pPr>
            <w:r>
              <w:rPr>
                <w:rFonts w:ascii="Arial" w:cs="Arial" w:eastAsia="Arial" w:hAnsi="Arial"/>
                <w:sz w:val="20"/>
                <w:szCs w:val="20"/>
                <w:i w:val="1"/>
                <w:iCs w:val="1"/>
                <w:color w:val="auto"/>
              </w:rPr>
              <w:t>31.1%</w:t>
            </w:r>
          </w:p>
        </w:tc>
      </w:tr>
      <w:tr>
        <w:trPr>
          <w:trHeight w:val="228"/>
        </w:trPr>
        <w:tc>
          <w:tcPr>
            <w:tcW w:w="60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Selling and administrative expenses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122.9</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93.4</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81.8</w:t>
            </w:r>
          </w:p>
        </w:tc>
        <w:tc>
          <w:tcPr>
            <w:tcW w:w="160" w:type="dxa"/>
            <w:vAlign w:val="bottom"/>
            <w:shd w:val="clear" w:color="auto" w:fill="E9E9E9"/>
          </w:tcPr>
          <w:p>
            <w:pPr>
              <w:spacing w:after="0"/>
              <w:rPr>
                <w:sz w:val="19"/>
                <w:szCs w:val="19"/>
                <w:color w:val="auto"/>
              </w:rPr>
            </w:pPr>
          </w:p>
        </w:tc>
      </w:tr>
      <w:tr>
        <w:trPr>
          <w:trHeight w:val="228"/>
        </w:trPr>
        <w:tc>
          <w:tcPr>
            <w:tcW w:w="6040" w:type="dxa"/>
            <w:vAlign w:val="bottom"/>
            <w:gridSpan w:val="2"/>
          </w:tcPr>
          <w:p>
            <w:pPr>
              <w:ind w:left="200"/>
              <w:spacing w:after="0" w:line="228" w:lineRule="exact"/>
              <w:rPr>
                <w:sz w:val="20"/>
                <w:szCs w:val="20"/>
                <w:color w:val="auto"/>
              </w:rPr>
            </w:pPr>
            <w:r>
              <w:rPr>
                <w:rFonts w:ascii="Arial" w:cs="Arial" w:eastAsia="Arial" w:hAnsi="Arial"/>
                <w:sz w:val="20"/>
                <w:szCs w:val="20"/>
                <w:i w:val="1"/>
                <w:iCs w:val="1"/>
                <w:color w:val="auto"/>
              </w:rPr>
              <w:t>Percent of sales</w:t>
            </w:r>
          </w:p>
        </w:tc>
        <w:tc>
          <w:tcPr>
            <w:tcW w:w="100" w:type="dxa"/>
            <w:vAlign w:val="bottom"/>
          </w:tcPr>
          <w:p>
            <w:pPr>
              <w:spacing w:after="0"/>
              <w:rPr>
                <w:sz w:val="19"/>
                <w:szCs w:val="19"/>
                <w:color w:val="auto"/>
              </w:rPr>
            </w:pPr>
          </w:p>
        </w:tc>
        <w:tc>
          <w:tcPr>
            <w:tcW w:w="1460" w:type="dxa"/>
            <w:vAlign w:val="bottom"/>
            <w:gridSpan w:val="2"/>
          </w:tcPr>
          <w:p>
            <w:pPr>
              <w:jc w:val="right"/>
              <w:spacing w:after="0" w:line="228" w:lineRule="exact"/>
              <w:rPr>
                <w:sz w:val="20"/>
                <w:szCs w:val="20"/>
                <w:color w:val="auto"/>
              </w:rPr>
            </w:pPr>
            <w:r>
              <w:rPr>
                <w:rFonts w:ascii="Arial" w:cs="Arial" w:eastAsia="Arial" w:hAnsi="Arial"/>
                <w:sz w:val="20"/>
                <w:szCs w:val="20"/>
                <w:i w:val="1"/>
                <w:iCs w:val="1"/>
                <w:color w:val="auto"/>
              </w:rPr>
              <w:t>22.6%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80"/>
              <w:spacing w:after="0" w:line="228" w:lineRule="exact"/>
              <w:rPr>
                <w:sz w:val="20"/>
                <w:szCs w:val="20"/>
                <w:color w:val="auto"/>
              </w:rPr>
            </w:pPr>
            <w:r>
              <w:rPr>
                <w:rFonts w:ascii="Arial" w:cs="Arial" w:eastAsia="Arial" w:hAnsi="Arial"/>
                <w:sz w:val="20"/>
                <w:szCs w:val="20"/>
                <w:i w:val="1"/>
                <w:iCs w:val="1"/>
                <w:color w:val="auto"/>
              </w:rPr>
              <w:t>22.1%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line="228" w:lineRule="exact"/>
              <w:rPr>
                <w:sz w:val="20"/>
                <w:szCs w:val="20"/>
                <w:color w:val="auto"/>
              </w:rPr>
            </w:pPr>
            <w:r>
              <w:rPr>
                <w:rFonts w:ascii="Arial" w:cs="Arial" w:eastAsia="Arial" w:hAnsi="Arial"/>
                <w:sz w:val="20"/>
                <w:szCs w:val="20"/>
                <w:i w:val="1"/>
                <w:iCs w:val="1"/>
                <w:color w:val="auto"/>
              </w:rPr>
              <w:t>25.2%</w:t>
            </w:r>
          </w:p>
        </w:tc>
      </w:tr>
      <w:tr>
        <w:trPr>
          <w:trHeight w:val="228"/>
        </w:trPr>
        <w:tc>
          <w:tcPr>
            <w:tcW w:w="60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Amortization and earnout expenses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8.2</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6.8</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7.8</w:t>
            </w:r>
          </w:p>
        </w:tc>
        <w:tc>
          <w:tcPr>
            <w:tcW w:w="160" w:type="dxa"/>
            <w:vAlign w:val="bottom"/>
            <w:shd w:val="clear" w:color="auto" w:fill="E9E9E9"/>
          </w:tcPr>
          <w:p>
            <w:pPr>
              <w:spacing w:after="0"/>
              <w:rPr>
                <w:sz w:val="19"/>
                <w:szCs w:val="19"/>
                <w:color w:val="auto"/>
              </w:rPr>
            </w:pPr>
          </w:p>
        </w:tc>
      </w:tr>
      <w:tr>
        <w:trPr>
          <w:trHeight w:val="228"/>
        </w:trPr>
        <w:tc>
          <w:tcPr>
            <w:tcW w:w="6040" w:type="dxa"/>
            <w:vAlign w:val="bottom"/>
            <w:gridSpan w:val="2"/>
          </w:tcPr>
          <w:p>
            <w:pPr>
              <w:spacing w:after="0" w:line="228" w:lineRule="exact"/>
              <w:rPr>
                <w:sz w:val="20"/>
                <w:szCs w:val="20"/>
                <w:color w:val="auto"/>
              </w:rPr>
            </w:pPr>
            <w:r>
              <w:rPr>
                <w:rFonts w:ascii="Arial" w:cs="Arial" w:eastAsia="Arial" w:hAnsi="Arial"/>
                <w:sz w:val="20"/>
                <w:szCs w:val="20"/>
                <w:color w:val="auto"/>
              </w:rPr>
              <w:t>Acquisition and integration expenses</w:t>
            </w: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0.8</w:t>
            </w:r>
          </w:p>
        </w:tc>
      </w:tr>
      <w:tr>
        <w:trPr>
          <w:trHeight w:val="228"/>
        </w:trPr>
        <w:tc>
          <w:tcPr>
            <w:tcW w:w="60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Executive transition expenses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1.5</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1.2</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60" w:type="dxa"/>
            <w:vAlign w:val="bottom"/>
            <w:shd w:val="clear" w:color="auto" w:fill="E9E9E9"/>
          </w:tcPr>
          <w:p>
            <w:pPr>
              <w:spacing w:after="0"/>
              <w:rPr>
                <w:sz w:val="19"/>
                <w:szCs w:val="19"/>
                <w:color w:val="auto"/>
              </w:rPr>
            </w:pPr>
          </w:p>
        </w:tc>
      </w:tr>
      <w:tr>
        <w:trPr>
          <w:trHeight w:val="226"/>
        </w:trPr>
        <w:tc>
          <w:tcPr>
            <w:tcW w:w="6040" w:type="dxa"/>
            <w:vAlign w:val="bottom"/>
            <w:gridSpan w:val="2"/>
          </w:tcPr>
          <w:p>
            <w:pPr>
              <w:spacing w:after="0" w:line="226" w:lineRule="exact"/>
              <w:rPr>
                <w:sz w:val="20"/>
                <w:szCs w:val="20"/>
                <w:color w:val="auto"/>
              </w:rPr>
            </w:pPr>
            <w:r>
              <w:rPr>
                <w:rFonts w:ascii="Arial" w:cs="Arial" w:eastAsia="Arial" w:hAnsi="Arial"/>
                <w:sz w:val="20"/>
                <w:szCs w:val="20"/>
                <w:color w:val="auto"/>
              </w:rPr>
              <w:t>Restructuring expenses</w:t>
            </w:r>
          </w:p>
        </w:tc>
        <w:tc>
          <w:tcPr>
            <w:tcW w:w="100" w:type="dxa"/>
            <w:vAlign w:val="bottom"/>
          </w:tcPr>
          <w:p>
            <w:pPr>
              <w:spacing w:after="0"/>
              <w:rPr>
                <w:sz w:val="19"/>
                <w:szCs w:val="19"/>
                <w:color w:val="auto"/>
              </w:rPr>
            </w:pPr>
          </w:p>
        </w:tc>
        <w:tc>
          <w:tcPr>
            <w:tcW w:w="1220" w:type="dxa"/>
            <w:vAlign w:val="bottom"/>
          </w:tcPr>
          <w:p>
            <w:pPr>
              <w:jc w:val="right"/>
              <w:spacing w:after="0" w:line="226" w:lineRule="exact"/>
              <w:rPr>
                <w:sz w:val="20"/>
                <w:szCs w:val="20"/>
                <w:color w:val="auto"/>
              </w:rPr>
            </w:pPr>
            <w:r>
              <w:rPr>
                <w:rFonts w:ascii="Arial" w:cs="Arial" w:eastAsia="Arial" w:hAnsi="Arial"/>
                <w:sz w:val="20"/>
                <w:szCs w:val="20"/>
                <w:color w:val="auto"/>
              </w:rPr>
              <w:t>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6" w:lineRule="exact"/>
              <w:rPr>
                <w:sz w:val="20"/>
                <w:szCs w:val="20"/>
                <w:color w:val="auto"/>
              </w:rPr>
            </w:pPr>
            <w:r>
              <w:rPr>
                <w:rFonts w:ascii="Arial" w:cs="Arial" w:eastAsia="Arial" w:hAnsi="Arial"/>
                <w:sz w:val="20"/>
                <w:szCs w:val="20"/>
                <w:color w:val="auto"/>
              </w:rPr>
              <w:t>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line="226" w:lineRule="exact"/>
              <w:rPr>
                <w:sz w:val="20"/>
                <w:szCs w:val="20"/>
                <w:color w:val="auto"/>
              </w:rPr>
            </w:pPr>
            <w:r>
              <w:rPr>
                <w:rFonts w:ascii="Arial" w:cs="Arial" w:eastAsia="Arial" w:hAnsi="Arial"/>
                <w:sz w:val="20"/>
                <w:szCs w:val="20"/>
                <w:color w:val="auto"/>
              </w:rPr>
              <w:t>0.6</w:t>
            </w:r>
          </w:p>
        </w:tc>
      </w:tr>
      <w:tr>
        <w:trPr>
          <w:trHeight w:val="218"/>
        </w:trPr>
        <w:tc>
          <w:tcPr>
            <w:tcW w:w="602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Operating income</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34.6</w:t>
            </w: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22.2</w:t>
            </w: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9.9</w:t>
            </w:r>
          </w:p>
        </w:tc>
        <w:tc>
          <w:tcPr>
            <w:tcW w:w="160" w:type="dxa"/>
            <w:vAlign w:val="bottom"/>
            <w:tcBorders>
              <w:top w:val="single" w:sz="8" w:color="E9E9E9"/>
            </w:tcBorders>
            <w:shd w:val="clear" w:color="auto" w:fill="E9E9E9"/>
          </w:tcPr>
          <w:p>
            <w:pPr>
              <w:spacing w:after="0"/>
              <w:rPr>
                <w:sz w:val="18"/>
                <w:szCs w:val="18"/>
                <w:color w:val="auto"/>
              </w:rPr>
            </w:pPr>
          </w:p>
        </w:tc>
      </w:tr>
      <w:tr>
        <w:trPr>
          <w:trHeight w:val="228"/>
        </w:trPr>
        <w:tc>
          <w:tcPr>
            <w:tcW w:w="6040" w:type="dxa"/>
            <w:vAlign w:val="bottom"/>
            <w:gridSpan w:val="2"/>
          </w:tcPr>
          <w:p>
            <w:pPr>
              <w:ind w:left="200"/>
              <w:spacing w:after="0" w:line="228" w:lineRule="exact"/>
              <w:rPr>
                <w:sz w:val="20"/>
                <w:szCs w:val="20"/>
                <w:color w:val="auto"/>
              </w:rPr>
            </w:pPr>
            <w:r>
              <w:rPr>
                <w:rFonts w:ascii="Arial" w:cs="Arial" w:eastAsia="Arial" w:hAnsi="Arial"/>
                <w:sz w:val="20"/>
                <w:szCs w:val="20"/>
                <w:i w:val="1"/>
                <w:iCs w:val="1"/>
                <w:color w:val="auto"/>
              </w:rPr>
              <w:t>Percent of sales</w:t>
            </w:r>
          </w:p>
        </w:tc>
        <w:tc>
          <w:tcPr>
            <w:tcW w:w="100" w:type="dxa"/>
            <w:vAlign w:val="bottom"/>
          </w:tcPr>
          <w:p>
            <w:pPr>
              <w:spacing w:after="0"/>
              <w:rPr>
                <w:sz w:val="19"/>
                <w:szCs w:val="19"/>
                <w:color w:val="auto"/>
              </w:rPr>
            </w:pPr>
          </w:p>
        </w:tc>
        <w:tc>
          <w:tcPr>
            <w:tcW w:w="1460" w:type="dxa"/>
            <w:vAlign w:val="bottom"/>
            <w:gridSpan w:val="2"/>
          </w:tcPr>
          <w:p>
            <w:pPr>
              <w:jc w:val="right"/>
              <w:spacing w:after="0" w:line="228" w:lineRule="exact"/>
              <w:rPr>
                <w:sz w:val="20"/>
                <w:szCs w:val="20"/>
                <w:color w:val="auto"/>
              </w:rPr>
            </w:pPr>
            <w:r>
              <w:rPr>
                <w:rFonts w:ascii="Arial" w:cs="Arial" w:eastAsia="Arial" w:hAnsi="Arial"/>
                <w:sz w:val="20"/>
                <w:szCs w:val="20"/>
                <w:i w:val="1"/>
                <w:iCs w:val="1"/>
                <w:color w:val="auto"/>
              </w:rPr>
              <w:t>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80"/>
              <w:spacing w:after="0" w:line="228" w:lineRule="exact"/>
              <w:rPr>
                <w:sz w:val="20"/>
                <w:szCs w:val="20"/>
                <w:color w:val="auto"/>
              </w:rPr>
            </w:pPr>
            <w:r>
              <w:rPr>
                <w:rFonts w:ascii="Arial" w:cs="Arial" w:eastAsia="Arial" w:hAnsi="Arial"/>
                <w:sz w:val="20"/>
                <w:szCs w:val="20"/>
                <w:i w:val="1"/>
                <w:iCs w:val="1"/>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line="228" w:lineRule="exact"/>
              <w:rPr>
                <w:sz w:val="20"/>
                <w:szCs w:val="20"/>
                <w:color w:val="auto"/>
              </w:rPr>
            </w:pPr>
            <w:r>
              <w:rPr>
                <w:rFonts w:ascii="Arial" w:cs="Arial" w:eastAsia="Arial" w:hAnsi="Arial"/>
                <w:sz w:val="20"/>
                <w:szCs w:val="20"/>
                <w:i w:val="1"/>
                <w:iCs w:val="1"/>
                <w:color w:val="auto"/>
              </w:rPr>
              <w:t>3.1%</w:t>
            </w:r>
          </w:p>
        </w:tc>
      </w:tr>
      <w:tr>
        <w:trPr>
          <w:trHeight w:val="228"/>
        </w:trPr>
        <w:tc>
          <w:tcPr>
            <w:tcW w:w="60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Other income (expense), net</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0.4</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6.9</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shd w:val="clear" w:color="auto" w:fill="E9E9E9"/>
              </w:rPr>
              <w:t>$</w:t>
            </w:r>
          </w:p>
        </w:tc>
        <w:tc>
          <w:tcPr>
            <w:tcW w:w="13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(2.2)</w:t>
            </w:r>
          </w:p>
        </w:tc>
      </w:tr>
      <w:tr>
        <w:trPr>
          <w:trHeight w:val="228"/>
        </w:trPr>
        <w:tc>
          <w:tcPr>
            <w:tcW w:w="6040" w:type="dxa"/>
            <w:vAlign w:val="bottom"/>
            <w:gridSpan w:val="2"/>
          </w:tcPr>
          <w:p>
            <w:pPr>
              <w:spacing w:after="0" w:line="228" w:lineRule="exact"/>
              <w:rPr>
                <w:sz w:val="20"/>
                <w:szCs w:val="20"/>
                <w:color w:val="auto"/>
              </w:rPr>
            </w:pPr>
            <w:r>
              <w:rPr>
                <w:rFonts w:ascii="Arial" w:cs="Arial" w:eastAsia="Arial" w:hAnsi="Arial"/>
                <w:sz w:val="20"/>
                <w:szCs w:val="20"/>
                <w:color w:val="auto"/>
              </w:rPr>
              <w:t>Interest expense</w:t>
            </w:r>
          </w:p>
        </w:tc>
        <w:tc>
          <w:tcPr>
            <w:tcW w:w="100" w:type="dxa"/>
            <w:vAlign w:val="bottom"/>
          </w:tcPr>
          <w:p>
            <w:pPr>
              <w:spacing w:after="0"/>
              <w:rPr>
                <w:sz w:val="19"/>
                <w:szCs w:val="19"/>
                <w:color w:val="auto"/>
              </w:rPr>
            </w:pPr>
          </w:p>
        </w:tc>
        <w:tc>
          <w:tcPr>
            <w:tcW w:w="146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line="228" w:lineRule="exact"/>
              <w:rPr>
                <w:sz w:val="20"/>
                <w:szCs w:val="20"/>
                <w:color w:val="auto"/>
              </w:rPr>
            </w:pPr>
            <w:r>
              <w:rPr>
                <w:rFonts w:ascii="Arial" w:cs="Arial" w:eastAsia="Arial" w:hAnsi="Arial"/>
                <w:sz w:val="20"/>
                <w:szCs w:val="20"/>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(3.0)</w:t>
            </w:r>
          </w:p>
        </w:tc>
      </w:tr>
      <w:tr>
        <w:trPr>
          <w:trHeight w:val="218"/>
        </w:trPr>
        <w:tc>
          <w:tcPr>
            <w:tcW w:w="60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Income before income taxes</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21.5</w:t>
            </w: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23.7</w:t>
            </w: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4.7</w:t>
            </w:r>
          </w:p>
        </w:tc>
        <w:tc>
          <w:tcPr>
            <w:tcW w:w="160" w:type="dxa"/>
            <w:vAlign w:val="bottom"/>
            <w:tcBorders>
              <w:top w:val="single" w:sz="8" w:color="E9E9E9"/>
            </w:tcBorders>
            <w:shd w:val="clear" w:color="auto" w:fill="E9E9E9"/>
          </w:tcPr>
          <w:p>
            <w:pPr>
              <w:spacing w:after="0"/>
              <w:rPr>
                <w:sz w:val="18"/>
                <w:szCs w:val="18"/>
                <w:color w:val="auto"/>
              </w:rPr>
            </w:pPr>
          </w:p>
        </w:tc>
      </w:tr>
      <w:tr>
        <w:trPr>
          <w:trHeight w:val="228"/>
        </w:trPr>
        <w:tc>
          <w:tcPr>
            <w:tcW w:w="6040" w:type="dxa"/>
            <w:vAlign w:val="bottom"/>
            <w:gridSpan w:val="2"/>
          </w:tcPr>
          <w:p>
            <w:pPr>
              <w:spacing w:after="0" w:line="228" w:lineRule="exact"/>
              <w:rPr>
                <w:sz w:val="20"/>
                <w:szCs w:val="20"/>
                <w:color w:val="auto"/>
              </w:rPr>
            </w:pPr>
            <w:r>
              <w:rPr>
                <w:rFonts w:ascii="Arial" w:cs="Arial" w:eastAsia="Arial" w:hAnsi="Arial"/>
                <w:sz w:val="20"/>
                <w:szCs w:val="20"/>
                <w:color w:val="auto"/>
              </w:rPr>
              <w:t>Income tax expense</w:t>
            </w: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2.7</w:t>
            </w:r>
          </w:p>
        </w:tc>
      </w:tr>
      <w:tr>
        <w:trPr>
          <w:trHeight w:val="218"/>
        </w:trPr>
        <w:tc>
          <w:tcPr>
            <w:tcW w:w="60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Net income</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14.5</w:t>
            </w: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18.3</w:t>
            </w: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2.0</w:t>
            </w:r>
          </w:p>
        </w:tc>
        <w:tc>
          <w:tcPr>
            <w:tcW w:w="160" w:type="dxa"/>
            <w:vAlign w:val="bottom"/>
            <w:tcBorders>
              <w:top w:val="single" w:sz="8" w:color="E9E9E9"/>
            </w:tcBorders>
            <w:shd w:val="clear" w:color="auto" w:fill="E9E9E9"/>
          </w:tcPr>
          <w:p>
            <w:pPr>
              <w:spacing w:after="0"/>
              <w:rPr>
                <w:sz w:val="18"/>
                <w:szCs w:val="18"/>
                <w:color w:val="auto"/>
              </w:rPr>
            </w:pPr>
          </w:p>
        </w:tc>
      </w:tr>
      <w:tr>
        <w:trPr>
          <w:trHeight w:val="225"/>
        </w:trPr>
        <w:tc>
          <w:tcPr>
            <w:tcW w:w="6040" w:type="dxa"/>
            <w:vAlign w:val="bottom"/>
            <w:gridSpan w:val="2"/>
          </w:tcPr>
          <w:p>
            <w:pPr>
              <w:spacing w:after="0" w:line="225" w:lineRule="exact"/>
              <w:rPr>
                <w:sz w:val="20"/>
                <w:szCs w:val="20"/>
                <w:color w:val="auto"/>
              </w:rPr>
            </w:pPr>
            <w:r>
              <w:rPr>
                <w:rFonts w:ascii="Arial" w:cs="Arial" w:eastAsia="Arial" w:hAnsi="Arial"/>
                <w:sz w:val="20"/>
                <w:szCs w:val="20"/>
                <w:color w:val="auto"/>
              </w:rPr>
              <w:t>Noncontrolling interest</w:t>
            </w:r>
          </w:p>
        </w:tc>
        <w:tc>
          <w:tcPr>
            <w:tcW w:w="100" w:type="dxa"/>
            <w:vAlign w:val="bottom"/>
          </w:tcPr>
          <w:p>
            <w:pPr>
              <w:spacing w:after="0"/>
              <w:rPr>
                <w:sz w:val="19"/>
                <w:szCs w:val="19"/>
                <w:color w:val="auto"/>
              </w:rPr>
            </w:pPr>
          </w:p>
        </w:tc>
        <w:tc>
          <w:tcPr>
            <w:tcW w:w="146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line="225" w:lineRule="exact"/>
              <w:rPr>
                <w:sz w:val="20"/>
                <w:szCs w:val="20"/>
                <w:color w:val="auto"/>
              </w:rPr>
            </w:pPr>
            <w:r>
              <w:rPr>
                <w:rFonts w:ascii="Arial" w:cs="Arial" w:eastAsia="Arial" w:hAnsi="Arial"/>
                <w:sz w:val="20"/>
                <w:szCs w:val="20"/>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(0.6)</w:t>
            </w:r>
          </w:p>
        </w:tc>
      </w:tr>
      <w:tr>
        <w:trPr>
          <w:trHeight w:val="219"/>
        </w:trPr>
        <w:tc>
          <w:tcPr>
            <w:tcW w:w="60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Net income attributable to CECO Environmental Corp.</w:t>
            </w: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12.9</w:t>
            </w:r>
          </w:p>
        </w:tc>
        <w:tc>
          <w:tcPr>
            <w:tcW w:w="24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17.4</w:t>
            </w:r>
          </w:p>
        </w:tc>
        <w:tc>
          <w:tcPr>
            <w:tcW w:w="24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1.4</w:t>
            </w:r>
          </w:p>
        </w:tc>
        <w:tc>
          <w:tcPr>
            <w:tcW w:w="160" w:type="dxa"/>
            <w:vAlign w:val="bottom"/>
            <w:tcBorders>
              <w:top w:val="single" w:sz="8" w:color="E9E9E9"/>
            </w:tcBorders>
            <w:shd w:val="clear" w:color="auto" w:fill="E9E9E9"/>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6681470</wp:posOffset>
                </wp:positionH>
                <wp:positionV relativeFrom="paragraph">
                  <wp:posOffset>-2931795</wp:posOffset>
                </wp:positionV>
                <wp:extent cx="10541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1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1pt,-230.8499pt" to="534.4pt,-230.8499pt" o:allowincell="f" strokecolor="#FFFFFF" strokeweight="0.4752pt"/>
            </w:pict>
          </mc:Fallback>
        </mc:AlternateContent>
        <w:drawing>
          <wp:anchor simplePos="0" relativeHeight="251657728" behindDoc="1" locked="0" layoutInCell="0" allowOverlap="1">
            <wp:simplePos x="0" y="0"/>
            <wp:positionH relativeFrom="column">
              <wp:posOffset>4839335</wp:posOffset>
            </wp:positionH>
            <wp:positionV relativeFrom="paragraph">
              <wp:posOffset>-1058545</wp:posOffset>
            </wp:positionV>
            <wp:extent cx="1842770" cy="14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a:extLst>
                        <a:ext uri="{28A0092B-C50C-407E-A947-70E740481C1C}"/>
                      </a:extLst>
                    </a:blip>
                    <a:srcRect/>
                    <a:stretch>
                      <a:fillRect/>
                    </a:stretch>
                  </pic:blipFill>
                  <pic:spPr bwMode="auto">
                    <a:xfrm>
                      <a:off x="0" y="0"/>
                      <a:ext cx="1842770" cy="14478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Non-GAAP Measures</w:t>
      </w:r>
    </w:p>
    <w:p>
      <w:pPr>
        <w:spacing w:after="0" w:line="24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To compare operating performance between the years ended December 31, 2023, 2022 and 2021 the Company has adjusted GAAP operating income to exclude (1) amortization of intangible assets, and earnout expenses, (2) restructuring expenses primarily relating to severance, facility exits, and associated legal expenses, (3) acquisition and integration expenses, which include legal, accounting, and other expenses, (4) executive transition expenses, including severance for the Company's former executives, fees and expenses incurred in the search, for and hiring, of new executives and (5) intangible asset impairment.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Year Ended December 31,</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2"/>
        </w:trPr>
        <w:tc>
          <w:tcPr>
            <w:tcW w:w="4860" w:type="dxa"/>
            <w:vAlign w:val="bottom"/>
            <w:tcBorders>
              <w:bottom w:val="single" w:sz="8" w:color="E9E9E9"/>
            </w:tcBorders>
          </w:tcPr>
          <w:p>
            <w:pPr>
              <w:spacing w:after="0" w:line="172" w:lineRule="exact"/>
              <w:rPr>
                <w:sz w:val="20"/>
                <w:szCs w:val="20"/>
                <w:color w:val="auto"/>
              </w:rPr>
            </w:pPr>
            <w:r>
              <w:rPr>
                <w:rFonts w:ascii="Arial" w:cs="Arial" w:eastAsia="Arial" w:hAnsi="Arial"/>
                <w:sz w:val="16"/>
                <w:szCs w:val="16"/>
                <w:b w:val="1"/>
                <w:bCs w:val="1"/>
                <w:color w:val="auto"/>
              </w:rPr>
              <w:t>(dollars in millions)</w:t>
            </w:r>
          </w:p>
        </w:tc>
        <w:tc>
          <w:tcPr>
            <w:tcW w:w="118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3"/>
              <w:spacing w:after="0" w:line="172"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
              <w:spacing w:after="0" w:line="172" w:lineRule="exact"/>
              <w:rPr>
                <w:sz w:val="20"/>
                <w:szCs w:val="20"/>
                <w:color w:val="auto"/>
              </w:rPr>
            </w:pPr>
            <w:r>
              <w:rPr>
                <w:rFonts w:ascii="Arial" w:cs="Arial" w:eastAsia="Arial" w:hAnsi="Arial"/>
                <w:sz w:val="16"/>
                <w:szCs w:val="16"/>
                <w:b w:val="1"/>
                <w:bCs w:val="1"/>
                <w:color w:val="auto"/>
                <w:w w:val="89"/>
              </w:rPr>
              <w:t>2022</w:t>
            </w:r>
          </w:p>
        </w:tc>
        <w:tc>
          <w:tcPr>
            <w:tcW w:w="26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3"/>
              <w:spacing w:after="0" w:line="172" w:lineRule="exact"/>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E9E9E9"/>
            </w:tcBorders>
          </w:tcPr>
          <w:p>
            <w:pPr>
              <w:spacing w:after="0"/>
              <w:rPr>
                <w:sz w:val="14"/>
                <w:szCs w:val="14"/>
                <w:color w:val="auto"/>
              </w:rPr>
            </w:pPr>
          </w:p>
        </w:tc>
      </w:tr>
      <w:tr>
        <w:trPr>
          <w:trHeight w:val="218"/>
        </w:trPr>
        <w:tc>
          <w:tcPr>
            <w:tcW w:w="486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w w:val="97"/>
              </w:rPr>
              <w:t>Operating income as reported in accordance with GAAP</w:t>
            </w:r>
          </w:p>
        </w:tc>
        <w:tc>
          <w:tcPr>
            <w:tcW w:w="118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34.6</w:t>
            </w:r>
          </w:p>
        </w:tc>
        <w:tc>
          <w:tcPr>
            <w:tcW w:w="26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22.2</w:t>
            </w:r>
          </w:p>
        </w:tc>
        <w:tc>
          <w:tcPr>
            <w:tcW w:w="26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9.9</w:t>
            </w:r>
          </w:p>
        </w:tc>
        <w:tc>
          <w:tcPr>
            <w:tcW w:w="160" w:type="dxa"/>
            <w:vAlign w:val="bottom"/>
            <w:shd w:val="clear" w:color="auto" w:fill="E9E9E9"/>
          </w:tcPr>
          <w:p>
            <w:pPr>
              <w:spacing w:after="0"/>
              <w:rPr>
                <w:sz w:val="18"/>
                <w:szCs w:val="18"/>
                <w:color w:val="auto"/>
              </w:rPr>
            </w:pPr>
          </w:p>
        </w:tc>
      </w:tr>
      <w:tr>
        <w:trPr>
          <w:trHeight w:val="228"/>
        </w:trPr>
        <w:tc>
          <w:tcPr>
            <w:tcW w:w="4860" w:type="dxa"/>
            <w:vAlign w:val="bottom"/>
          </w:tcPr>
          <w:p>
            <w:pPr>
              <w:ind w:left="200"/>
              <w:spacing w:after="0" w:line="228" w:lineRule="exact"/>
              <w:rPr>
                <w:sz w:val="20"/>
                <w:szCs w:val="20"/>
                <w:color w:val="auto"/>
              </w:rPr>
            </w:pPr>
            <w:r>
              <w:rPr>
                <w:rFonts w:ascii="Arial" w:cs="Arial" w:eastAsia="Arial" w:hAnsi="Arial"/>
                <w:sz w:val="20"/>
                <w:szCs w:val="20"/>
                <w:i w:val="1"/>
                <w:iCs w:val="1"/>
                <w:color w:val="auto"/>
              </w:rPr>
              <w:t>Operating margin in accordance with GAAP</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8" w:lineRule="exact"/>
              <w:rPr>
                <w:sz w:val="20"/>
                <w:szCs w:val="20"/>
                <w:color w:val="auto"/>
              </w:rPr>
            </w:pPr>
            <w:r>
              <w:rPr>
                <w:rFonts w:ascii="Arial" w:cs="Arial" w:eastAsia="Arial" w:hAnsi="Arial"/>
                <w:sz w:val="20"/>
                <w:szCs w:val="20"/>
                <w:i w:val="1"/>
                <w:iCs w:val="1"/>
                <w:color w:val="auto"/>
              </w:rPr>
              <w:t>6.4%</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line="228" w:lineRule="exact"/>
              <w:rPr>
                <w:sz w:val="20"/>
                <w:szCs w:val="20"/>
                <w:color w:val="auto"/>
              </w:rPr>
            </w:pPr>
            <w:r>
              <w:rPr>
                <w:rFonts w:ascii="Arial" w:cs="Arial" w:eastAsia="Arial" w:hAnsi="Arial"/>
                <w:sz w:val="20"/>
                <w:szCs w:val="20"/>
                <w:i w:val="1"/>
                <w:iCs w:val="1"/>
                <w:color w:val="auto"/>
              </w:rPr>
              <w:t>5.3%</w:t>
            </w:r>
          </w:p>
        </w:tc>
        <w:tc>
          <w:tcPr>
            <w:tcW w:w="100" w:type="dxa"/>
            <w:vAlign w:val="bottom"/>
          </w:tcPr>
          <w:p>
            <w:pPr>
              <w:spacing w:after="0"/>
              <w:rPr>
                <w:sz w:val="19"/>
                <w:szCs w:val="19"/>
                <w:color w:val="auto"/>
              </w:rPr>
            </w:pPr>
          </w:p>
        </w:tc>
        <w:tc>
          <w:tcPr>
            <w:tcW w:w="1380" w:type="dxa"/>
            <w:vAlign w:val="bottom"/>
            <w:gridSpan w:val="2"/>
          </w:tcPr>
          <w:p>
            <w:pPr>
              <w:jc w:val="right"/>
              <w:spacing w:after="0" w:line="228" w:lineRule="exact"/>
              <w:rPr>
                <w:sz w:val="20"/>
                <w:szCs w:val="20"/>
                <w:color w:val="auto"/>
              </w:rPr>
            </w:pPr>
            <w:r>
              <w:rPr>
                <w:rFonts w:ascii="Arial" w:cs="Arial" w:eastAsia="Arial" w:hAnsi="Arial"/>
                <w:sz w:val="20"/>
                <w:szCs w:val="20"/>
                <w:i w:val="1"/>
                <w:iCs w:val="1"/>
                <w:color w:val="auto"/>
              </w:rPr>
              <w:t>3.1%</w:t>
            </w:r>
          </w:p>
        </w:tc>
      </w:tr>
      <w:tr>
        <w:trPr>
          <w:trHeight w:val="228"/>
        </w:trPr>
        <w:tc>
          <w:tcPr>
            <w:tcW w:w="4860" w:type="dxa"/>
            <w:vAlign w:val="bottom"/>
            <w:shd w:val="clear" w:color="auto" w:fill="E9E9E9"/>
          </w:tcPr>
          <w:p>
            <w:pPr>
              <w:ind w:left="400"/>
              <w:spacing w:after="0" w:line="228" w:lineRule="exact"/>
              <w:rPr>
                <w:sz w:val="20"/>
                <w:szCs w:val="20"/>
                <w:color w:val="auto"/>
              </w:rPr>
            </w:pPr>
            <w:r>
              <w:rPr>
                <w:rFonts w:ascii="Arial" w:cs="Arial" w:eastAsia="Arial" w:hAnsi="Arial"/>
                <w:sz w:val="20"/>
                <w:szCs w:val="20"/>
                <w:color w:val="auto"/>
              </w:rPr>
              <w:t>Amortization and earnout expenses</w:t>
            </w:r>
          </w:p>
        </w:tc>
        <w:tc>
          <w:tcPr>
            <w:tcW w:w="11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8.2</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6.8</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7.8</w:t>
            </w:r>
          </w:p>
        </w:tc>
        <w:tc>
          <w:tcPr>
            <w:tcW w:w="160" w:type="dxa"/>
            <w:vAlign w:val="bottom"/>
            <w:shd w:val="clear" w:color="auto" w:fill="E9E9E9"/>
          </w:tcPr>
          <w:p>
            <w:pPr>
              <w:spacing w:after="0"/>
              <w:rPr>
                <w:sz w:val="19"/>
                <w:szCs w:val="19"/>
                <w:color w:val="auto"/>
              </w:rPr>
            </w:pPr>
          </w:p>
        </w:tc>
      </w:tr>
      <w:tr>
        <w:trPr>
          <w:trHeight w:val="228"/>
        </w:trPr>
        <w:tc>
          <w:tcPr>
            <w:tcW w:w="4860" w:type="dxa"/>
            <w:vAlign w:val="bottom"/>
          </w:tcPr>
          <w:p>
            <w:pPr>
              <w:ind w:left="400"/>
              <w:spacing w:after="0" w:line="228" w:lineRule="exact"/>
              <w:rPr>
                <w:sz w:val="20"/>
                <w:szCs w:val="20"/>
                <w:color w:val="auto"/>
              </w:rPr>
            </w:pPr>
            <w:r>
              <w:rPr>
                <w:rFonts w:ascii="Arial" w:cs="Arial" w:eastAsia="Arial" w:hAnsi="Arial"/>
                <w:sz w:val="20"/>
                <w:szCs w:val="20"/>
                <w:color w:val="auto"/>
              </w:rPr>
              <w:t>Acquisition and integration expenses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0.8</w:t>
            </w:r>
          </w:p>
        </w:tc>
      </w:tr>
      <w:tr>
        <w:trPr>
          <w:trHeight w:val="226"/>
        </w:trPr>
        <w:tc>
          <w:tcPr>
            <w:tcW w:w="4860" w:type="dxa"/>
            <w:vAlign w:val="bottom"/>
            <w:shd w:val="clear" w:color="auto" w:fill="E9E9E9"/>
          </w:tcPr>
          <w:p>
            <w:pPr>
              <w:ind w:left="400"/>
              <w:spacing w:after="0" w:line="226" w:lineRule="exact"/>
              <w:rPr>
                <w:sz w:val="20"/>
                <w:szCs w:val="20"/>
                <w:color w:val="auto"/>
              </w:rPr>
            </w:pPr>
            <w:r>
              <w:rPr>
                <w:rFonts w:ascii="Arial" w:cs="Arial" w:eastAsia="Arial" w:hAnsi="Arial"/>
                <w:sz w:val="20"/>
                <w:szCs w:val="20"/>
                <w:color w:val="auto"/>
              </w:rPr>
              <w:t>Executive transition expenses</w:t>
            </w:r>
          </w:p>
        </w:tc>
        <w:tc>
          <w:tcPr>
            <w:tcW w:w="11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1.5</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1.2</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w:t>
            </w:r>
          </w:p>
        </w:tc>
        <w:tc>
          <w:tcPr>
            <w:tcW w:w="160" w:type="dxa"/>
            <w:vAlign w:val="bottom"/>
            <w:shd w:val="clear" w:color="auto" w:fill="E9E9E9"/>
          </w:tcPr>
          <w:p>
            <w:pPr>
              <w:spacing w:after="0"/>
              <w:rPr>
                <w:sz w:val="19"/>
                <w:szCs w:val="19"/>
                <w:color w:val="auto"/>
              </w:rPr>
            </w:pPr>
          </w:p>
        </w:tc>
      </w:tr>
      <w:tr>
        <w:trPr>
          <w:trHeight w:val="228"/>
        </w:trPr>
        <w:tc>
          <w:tcPr>
            <w:tcW w:w="4860" w:type="dxa"/>
            <w:vAlign w:val="bottom"/>
          </w:tcPr>
          <w:p>
            <w:pPr>
              <w:ind w:left="400"/>
              <w:spacing w:after="0" w:line="228" w:lineRule="exact"/>
              <w:rPr>
                <w:sz w:val="20"/>
                <w:szCs w:val="20"/>
                <w:color w:val="auto"/>
              </w:rPr>
            </w:pPr>
            <w:r>
              <w:rPr>
                <w:rFonts w:ascii="Arial" w:cs="Arial" w:eastAsia="Arial" w:hAnsi="Arial"/>
                <w:sz w:val="20"/>
                <w:szCs w:val="20"/>
                <w:color w:val="auto"/>
              </w:rPr>
              <w:t>Restructuring expenses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0.6</w:t>
            </w:r>
          </w:p>
        </w:tc>
      </w:tr>
      <w:tr>
        <w:trPr>
          <w:trHeight w:val="218"/>
        </w:trPr>
        <w:tc>
          <w:tcPr>
            <w:tcW w:w="48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Non-GAAP operating income</w:t>
            </w:r>
          </w:p>
        </w:tc>
        <w:tc>
          <w:tcPr>
            <w:tcW w:w="118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48.1</w:t>
            </w:r>
          </w:p>
        </w:tc>
        <w:tc>
          <w:tcPr>
            <w:tcW w:w="2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34.8</w:t>
            </w:r>
          </w:p>
        </w:tc>
        <w:tc>
          <w:tcPr>
            <w:tcW w:w="2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19.1</w:t>
            </w:r>
          </w:p>
        </w:tc>
        <w:tc>
          <w:tcPr>
            <w:tcW w:w="160" w:type="dxa"/>
            <w:vAlign w:val="bottom"/>
            <w:tcBorders>
              <w:top w:val="single" w:sz="8" w:color="E9E9E9"/>
            </w:tcBorders>
            <w:shd w:val="clear" w:color="auto" w:fill="E9E9E9"/>
          </w:tcPr>
          <w:p>
            <w:pPr>
              <w:spacing w:after="0"/>
              <w:rPr>
                <w:sz w:val="18"/>
                <w:szCs w:val="18"/>
                <w:color w:val="auto"/>
              </w:rPr>
            </w:pPr>
          </w:p>
        </w:tc>
      </w:tr>
      <w:tr>
        <w:trPr>
          <w:trHeight w:val="227"/>
        </w:trPr>
        <w:tc>
          <w:tcPr>
            <w:tcW w:w="4860" w:type="dxa"/>
            <w:vAlign w:val="bottom"/>
          </w:tcPr>
          <w:p>
            <w:pPr>
              <w:ind w:left="200"/>
              <w:spacing w:after="0" w:line="228" w:lineRule="exact"/>
              <w:rPr>
                <w:sz w:val="20"/>
                <w:szCs w:val="20"/>
                <w:color w:val="auto"/>
              </w:rPr>
            </w:pPr>
            <w:r>
              <w:rPr>
                <w:rFonts w:ascii="Arial" w:cs="Arial" w:eastAsia="Arial" w:hAnsi="Arial"/>
                <w:sz w:val="20"/>
                <w:szCs w:val="20"/>
                <w:i w:val="1"/>
                <w:iCs w:val="1"/>
                <w:color w:val="auto"/>
              </w:rPr>
              <w:t>Non-GAAP operating margin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8" w:lineRule="exact"/>
              <w:rPr>
                <w:sz w:val="20"/>
                <w:szCs w:val="20"/>
                <w:color w:val="auto"/>
              </w:rPr>
            </w:pPr>
            <w:r>
              <w:rPr>
                <w:rFonts w:ascii="Arial" w:cs="Arial" w:eastAsia="Arial" w:hAnsi="Arial"/>
                <w:sz w:val="20"/>
                <w:szCs w:val="20"/>
                <w:i w:val="1"/>
                <w:iCs w:val="1"/>
                <w:color w:val="auto"/>
              </w:rPr>
              <w:t>8.8%</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line="228" w:lineRule="exact"/>
              <w:rPr>
                <w:sz w:val="20"/>
                <w:szCs w:val="20"/>
                <w:color w:val="auto"/>
              </w:rPr>
            </w:pPr>
            <w:r>
              <w:rPr>
                <w:rFonts w:ascii="Arial" w:cs="Arial" w:eastAsia="Arial" w:hAnsi="Arial"/>
                <w:sz w:val="20"/>
                <w:szCs w:val="20"/>
                <w:i w:val="1"/>
                <w:iCs w:val="1"/>
                <w:color w:val="auto"/>
              </w:rPr>
              <w:t>8.2%</w:t>
            </w:r>
          </w:p>
        </w:tc>
        <w:tc>
          <w:tcPr>
            <w:tcW w:w="100" w:type="dxa"/>
            <w:vAlign w:val="bottom"/>
          </w:tcPr>
          <w:p>
            <w:pPr>
              <w:spacing w:after="0"/>
              <w:rPr>
                <w:sz w:val="19"/>
                <w:szCs w:val="19"/>
                <w:color w:val="auto"/>
              </w:rPr>
            </w:pPr>
          </w:p>
        </w:tc>
        <w:tc>
          <w:tcPr>
            <w:tcW w:w="1380" w:type="dxa"/>
            <w:vAlign w:val="bottom"/>
            <w:gridSpan w:val="2"/>
          </w:tcPr>
          <w:p>
            <w:pPr>
              <w:jc w:val="right"/>
              <w:spacing w:after="0" w:line="228" w:lineRule="exact"/>
              <w:rPr>
                <w:sz w:val="20"/>
                <w:szCs w:val="20"/>
                <w:color w:val="auto"/>
              </w:rPr>
            </w:pPr>
            <w:r>
              <w:rPr>
                <w:rFonts w:ascii="Arial" w:cs="Arial" w:eastAsia="Arial" w:hAnsi="Arial"/>
                <w:sz w:val="20"/>
                <w:szCs w:val="20"/>
                <w:i w:val="1"/>
                <w:iCs w:val="1"/>
                <w:color w:val="auto"/>
              </w:rPr>
              <w:t>5.9%</w:t>
            </w:r>
          </w:p>
        </w:tc>
      </w:tr>
      <w:tr>
        <w:trPr>
          <w:trHeight w:val="412"/>
        </w:trPr>
        <w:tc>
          <w:tcPr>
            <w:tcW w:w="4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Year Ended December 31,</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70"/>
        </w:trPr>
        <w:tc>
          <w:tcPr>
            <w:tcW w:w="4860" w:type="dxa"/>
            <w:vAlign w:val="bottom"/>
            <w:tcBorders>
              <w:bottom w:val="single" w:sz="8" w:color="E9E9E9"/>
            </w:tcBorders>
          </w:tcPr>
          <w:p>
            <w:pPr>
              <w:spacing w:after="0" w:line="170" w:lineRule="exact"/>
              <w:rPr>
                <w:sz w:val="20"/>
                <w:szCs w:val="20"/>
                <w:color w:val="auto"/>
              </w:rPr>
            </w:pPr>
            <w:r>
              <w:rPr>
                <w:rFonts w:ascii="Arial" w:cs="Arial" w:eastAsia="Arial" w:hAnsi="Arial"/>
                <w:sz w:val="16"/>
                <w:szCs w:val="16"/>
                <w:b w:val="1"/>
                <w:bCs w:val="1"/>
                <w:color w:val="auto"/>
              </w:rPr>
              <w:t>(dollars in millions)</w:t>
            </w:r>
          </w:p>
        </w:tc>
        <w:tc>
          <w:tcPr>
            <w:tcW w:w="118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3"/>
              <w:spacing w:after="0" w:line="170"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
              <w:spacing w:after="0" w:line="170" w:lineRule="exact"/>
              <w:rPr>
                <w:sz w:val="20"/>
                <w:szCs w:val="20"/>
                <w:color w:val="auto"/>
              </w:rPr>
            </w:pPr>
            <w:r>
              <w:rPr>
                <w:rFonts w:ascii="Arial" w:cs="Arial" w:eastAsia="Arial" w:hAnsi="Arial"/>
                <w:sz w:val="16"/>
                <w:szCs w:val="16"/>
                <w:b w:val="1"/>
                <w:bCs w:val="1"/>
                <w:color w:val="auto"/>
                <w:w w:val="89"/>
              </w:rPr>
              <w:t>2022</w:t>
            </w:r>
          </w:p>
        </w:tc>
        <w:tc>
          <w:tcPr>
            <w:tcW w:w="26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3"/>
              <w:spacing w:after="0" w:line="170" w:lineRule="exact"/>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E9E9E9"/>
            </w:tcBorders>
          </w:tcPr>
          <w:p>
            <w:pPr>
              <w:spacing w:after="0"/>
              <w:rPr>
                <w:sz w:val="14"/>
                <w:szCs w:val="14"/>
                <w:color w:val="auto"/>
              </w:rPr>
            </w:pPr>
          </w:p>
        </w:tc>
      </w:tr>
      <w:tr>
        <w:trPr>
          <w:trHeight w:val="218"/>
        </w:trPr>
        <w:tc>
          <w:tcPr>
            <w:tcW w:w="486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Net income as reported in accordance with GAAP</w:t>
            </w:r>
          </w:p>
        </w:tc>
        <w:tc>
          <w:tcPr>
            <w:tcW w:w="118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12.9</w:t>
            </w:r>
          </w:p>
        </w:tc>
        <w:tc>
          <w:tcPr>
            <w:tcW w:w="26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17.4</w:t>
            </w:r>
          </w:p>
        </w:tc>
        <w:tc>
          <w:tcPr>
            <w:tcW w:w="26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1.4</w:t>
            </w:r>
          </w:p>
        </w:tc>
        <w:tc>
          <w:tcPr>
            <w:tcW w:w="160" w:type="dxa"/>
            <w:vAlign w:val="bottom"/>
            <w:shd w:val="clear" w:color="auto" w:fill="E9E9E9"/>
          </w:tcPr>
          <w:p>
            <w:pPr>
              <w:spacing w:after="0"/>
              <w:rPr>
                <w:sz w:val="18"/>
                <w:szCs w:val="18"/>
                <w:color w:val="auto"/>
              </w:rPr>
            </w:pPr>
          </w:p>
        </w:tc>
      </w:tr>
      <w:tr>
        <w:trPr>
          <w:trHeight w:val="228"/>
        </w:trPr>
        <w:tc>
          <w:tcPr>
            <w:tcW w:w="4860" w:type="dxa"/>
            <w:vAlign w:val="bottom"/>
          </w:tcPr>
          <w:p>
            <w:pPr>
              <w:ind w:left="400"/>
              <w:spacing w:after="0" w:line="228" w:lineRule="exact"/>
              <w:rPr>
                <w:sz w:val="20"/>
                <w:szCs w:val="20"/>
                <w:color w:val="auto"/>
              </w:rPr>
            </w:pPr>
            <w:r>
              <w:rPr>
                <w:rFonts w:ascii="Arial" w:cs="Arial" w:eastAsia="Arial" w:hAnsi="Arial"/>
                <w:sz w:val="20"/>
                <w:szCs w:val="20"/>
                <w:color w:val="auto"/>
              </w:rPr>
              <w:t>Amortization and earnout expenses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7.8</w:t>
            </w:r>
          </w:p>
        </w:tc>
      </w:tr>
      <w:tr>
        <w:trPr>
          <w:trHeight w:val="228"/>
        </w:trPr>
        <w:tc>
          <w:tcPr>
            <w:tcW w:w="4860" w:type="dxa"/>
            <w:vAlign w:val="bottom"/>
            <w:shd w:val="clear" w:color="auto" w:fill="E9E9E9"/>
          </w:tcPr>
          <w:p>
            <w:pPr>
              <w:ind w:left="400"/>
              <w:spacing w:after="0" w:line="228" w:lineRule="exact"/>
              <w:rPr>
                <w:sz w:val="20"/>
                <w:szCs w:val="20"/>
                <w:color w:val="auto"/>
              </w:rPr>
            </w:pPr>
            <w:r>
              <w:rPr>
                <w:rFonts w:ascii="Arial" w:cs="Arial" w:eastAsia="Arial" w:hAnsi="Arial"/>
                <w:sz w:val="20"/>
                <w:szCs w:val="20"/>
                <w:color w:val="auto"/>
              </w:rPr>
              <w:t>Acquisition and integration expenses</w:t>
            </w:r>
          </w:p>
        </w:tc>
        <w:tc>
          <w:tcPr>
            <w:tcW w:w="11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2.5</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4.5</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0.8</w:t>
            </w:r>
          </w:p>
        </w:tc>
        <w:tc>
          <w:tcPr>
            <w:tcW w:w="160" w:type="dxa"/>
            <w:vAlign w:val="bottom"/>
            <w:shd w:val="clear" w:color="auto" w:fill="E9E9E9"/>
          </w:tcPr>
          <w:p>
            <w:pPr>
              <w:spacing w:after="0"/>
              <w:rPr>
                <w:sz w:val="19"/>
                <w:szCs w:val="19"/>
                <w:color w:val="auto"/>
              </w:rPr>
            </w:pPr>
          </w:p>
        </w:tc>
      </w:tr>
      <w:tr>
        <w:trPr>
          <w:trHeight w:val="228"/>
        </w:trPr>
        <w:tc>
          <w:tcPr>
            <w:tcW w:w="4860" w:type="dxa"/>
            <w:vAlign w:val="bottom"/>
          </w:tcPr>
          <w:p>
            <w:pPr>
              <w:ind w:left="400"/>
              <w:spacing w:after="0" w:line="228" w:lineRule="exact"/>
              <w:rPr>
                <w:sz w:val="20"/>
                <w:szCs w:val="20"/>
                <w:color w:val="auto"/>
              </w:rPr>
            </w:pPr>
            <w:r>
              <w:rPr>
                <w:rFonts w:ascii="Arial" w:cs="Arial" w:eastAsia="Arial" w:hAnsi="Arial"/>
                <w:sz w:val="20"/>
                <w:szCs w:val="20"/>
                <w:color w:val="auto"/>
              </w:rPr>
              <w:t>Executive transition expenses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1.5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1.2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auto"/>
              </w:rPr>
              <w:t>—</w:t>
            </w:r>
          </w:p>
        </w:tc>
      </w:tr>
      <w:tr>
        <w:trPr>
          <w:trHeight w:val="228"/>
        </w:trPr>
        <w:tc>
          <w:tcPr>
            <w:tcW w:w="4860" w:type="dxa"/>
            <w:vAlign w:val="bottom"/>
            <w:shd w:val="clear" w:color="auto" w:fill="E9E9E9"/>
          </w:tcPr>
          <w:p>
            <w:pPr>
              <w:ind w:left="400"/>
              <w:spacing w:after="0" w:line="228" w:lineRule="exact"/>
              <w:rPr>
                <w:sz w:val="20"/>
                <w:szCs w:val="20"/>
                <w:color w:val="auto"/>
              </w:rPr>
            </w:pPr>
            <w:r>
              <w:rPr>
                <w:rFonts w:ascii="Arial" w:cs="Arial" w:eastAsia="Arial" w:hAnsi="Arial"/>
                <w:sz w:val="20"/>
                <w:szCs w:val="20"/>
                <w:color w:val="auto"/>
              </w:rPr>
              <w:t>Restructuring expenses</w:t>
            </w:r>
          </w:p>
        </w:tc>
        <w:tc>
          <w:tcPr>
            <w:tcW w:w="11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1.3</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0.1</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0.6</w:t>
            </w:r>
          </w:p>
        </w:tc>
        <w:tc>
          <w:tcPr>
            <w:tcW w:w="160" w:type="dxa"/>
            <w:vAlign w:val="bottom"/>
            <w:shd w:val="clear" w:color="auto" w:fill="E9E9E9"/>
          </w:tcPr>
          <w:p>
            <w:pPr>
              <w:spacing w:after="0"/>
              <w:rPr>
                <w:sz w:val="19"/>
                <w:szCs w:val="19"/>
                <w:color w:val="auto"/>
              </w:rPr>
            </w:pPr>
          </w:p>
        </w:tc>
      </w:tr>
      <w:tr>
        <w:trPr>
          <w:trHeight w:val="226"/>
        </w:trPr>
        <w:tc>
          <w:tcPr>
            <w:tcW w:w="4860" w:type="dxa"/>
            <w:vAlign w:val="bottom"/>
          </w:tcPr>
          <w:p>
            <w:pPr>
              <w:ind w:left="400"/>
              <w:spacing w:after="0" w:line="225" w:lineRule="exact"/>
              <w:rPr>
                <w:sz w:val="20"/>
                <w:szCs w:val="20"/>
                <w:color w:val="auto"/>
              </w:rPr>
            </w:pPr>
            <w:r>
              <w:rPr>
                <w:rFonts w:ascii="Arial" w:cs="Arial" w:eastAsia="Arial" w:hAnsi="Arial"/>
                <w:sz w:val="20"/>
                <w:szCs w:val="20"/>
                <w:color w:val="auto"/>
              </w:rPr>
              <w:t>Foreign currency remeasurement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20"/>
              <w:spacing w:after="0" w:line="225" w:lineRule="exact"/>
              <w:rPr>
                <w:sz w:val="20"/>
                <w:szCs w:val="20"/>
                <w:color w:val="auto"/>
              </w:rPr>
            </w:pPr>
            <w:r>
              <w:rPr>
                <w:rFonts w:ascii="Arial" w:cs="Arial" w:eastAsia="Arial" w:hAnsi="Arial"/>
                <w:sz w:val="20"/>
                <w:szCs w:val="20"/>
                <w:color w:val="auto"/>
              </w:rPr>
              <w:t>(1.0)</w:t>
            </w:r>
          </w:p>
        </w:tc>
        <w:tc>
          <w:tcPr>
            <w:tcW w:w="100" w:type="dxa"/>
            <w:vAlign w:val="bottom"/>
          </w:tcPr>
          <w:p>
            <w:pPr>
              <w:spacing w:after="0"/>
              <w:rPr>
                <w:sz w:val="19"/>
                <w:szCs w:val="19"/>
                <w:color w:val="auto"/>
              </w:rPr>
            </w:pPr>
          </w:p>
        </w:tc>
        <w:tc>
          <w:tcPr>
            <w:tcW w:w="1480" w:type="dxa"/>
            <w:vAlign w:val="bottom"/>
            <w:gridSpan w:val="2"/>
          </w:tcPr>
          <w:p>
            <w:pPr>
              <w:jc w:val="right"/>
              <w:ind w:right="200"/>
              <w:spacing w:after="0" w:line="225" w:lineRule="exact"/>
              <w:rPr>
                <w:sz w:val="20"/>
                <w:szCs w:val="20"/>
                <w:color w:val="auto"/>
              </w:rPr>
            </w:pPr>
            <w:r>
              <w:rPr>
                <w:rFonts w:ascii="Arial" w:cs="Arial" w:eastAsia="Arial" w:hAnsi="Arial"/>
                <w:sz w:val="20"/>
                <w:szCs w:val="20"/>
                <w:color w:val="auto"/>
              </w:rPr>
              <w:t>(1.3)</w:t>
            </w:r>
          </w:p>
        </w:tc>
        <w:tc>
          <w:tcPr>
            <w:tcW w:w="100" w:type="dxa"/>
            <w:vAlign w:val="bottom"/>
          </w:tcPr>
          <w:p>
            <w:pPr>
              <w:spacing w:after="0"/>
              <w:rPr>
                <w:sz w:val="19"/>
                <w:szCs w:val="19"/>
                <w:color w:val="auto"/>
              </w:rPr>
            </w:pPr>
          </w:p>
        </w:tc>
        <w:tc>
          <w:tcPr>
            <w:tcW w:w="1220" w:type="dxa"/>
            <w:vAlign w:val="bottom"/>
          </w:tcPr>
          <w:p>
            <w:pPr>
              <w:jc w:val="right"/>
              <w:spacing w:after="0" w:line="225" w:lineRule="exact"/>
              <w:rPr>
                <w:sz w:val="20"/>
                <w:szCs w:val="20"/>
                <w:color w:val="auto"/>
              </w:rPr>
            </w:pPr>
            <w:r>
              <w:rPr>
                <w:rFonts w:ascii="Arial" w:cs="Arial" w:eastAsia="Arial" w:hAnsi="Arial"/>
                <w:sz w:val="20"/>
                <w:szCs w:val="20"/>
                <w:color w:val="auto"/>
              </w:rPr>
              <w:t>2.0</w:t>
            </w:r>
          </w:p>
        </w:tc>
        <w:tc>
          <w:tcPr>
            <w:tcW w:w="160" w:type="dxa"/>
            <w:vAlign w:val="bottom"/>
          </w:tcPr>
          <w:p>
            <w:pPr>
              <w:spacing w:after="0"/>
              <w:rPr>
                <w:sz w:val="19"/>
                <w:szCs w:val="19"/>
                <w:color w:val="auto"/>
              </w:rPr>
            </w:pPr>
          </w:p>
        </w:tc>
      </w:tr>
      <w:tr>
        <w:trPr>
          <w:trHeight w:val="228"/>
        </w:trPr>
        <w:tc>
          <w:tcPr>
            <w:tcW w:w="4860" w:type="dxa"/>
            <w:vAlign w:val="bottom"/>
            <w:shd w:val="clear" w:color="auto" w:fill="E9E9E9"/>
          </w:tcPr>
          <w:p>
            <w:pPr>
              <w:ind w:left="400"/>
              <w:spacing w:after="0" w:line="228" w:lineRule="exact"/>
              <w:rPr>
                <w:sz w:val="20"/>
                <w:szCs w:val="20"/>
                <w:color w:val="auto"/>
              </w:rPr>
            </w:pPr>
            <w:r>
              <w:rPr>
                <w:rFonts w:ascii="Arial" w:cs="Arial" w:eastAsia="Arial" w:hAnsi="Arial"/>
                <w:sz w:val="20"/>
                <w:szCs w:val="20"/>
                <w:color w:val="auto"/>
              </w:rPr>
              <w:t>Tax (benefit) expense of adjustments</w:t>
            </w:r>
          </w:p>
        </w:tc>
        <w:tc>
          <w:tcPr>
            <w:tcW w:w="11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1.2</w:t>
            </w:r>
          </w:p>
        </w:tc>
        <w:tc>
          <w:tcPr>
            <w:tcW w:w="260" w:type="dxa"/>
            <w:vAlign w:val="bottom"/>
            <w:shd w:val="clear" w:color="auto" w:fill="E9E9E9"/>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(2.8)</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(2.8)</w:t>
            </w:r>
          </w:p>
        </w:tc>
      </w:tr>
      <w:tr>
        <w:trPr>
          <w:trHeight w:val="20"/>
        </w:trPr>
        <w:tc>
          <w:tcPr>
            <w:tcW w:w="4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4860" w:type="dxa"/>
            <w:vAlign w:val="bottom"/>
          </w:tcPr>
          <w:p>
            <w:pPr>
              <w:spacing w:after="0" w:line="217" w:lineRule="exact"/>
              <w:rPr>
                <w:sz w:val="20"/>
                <w:szCs w:val="20"/>
                <w:color w:val="auto"/>
              </w:rPr>
            </w:pPr>
            <w:r>
              <w:rPr>
                <w:rFonts w:ascii="Arial" w:cs="Arial" w:eastAsia="Arial" w:hAnsi="Arial"/>
                <w:sz w:val="20"/>
                <w:szCs w:val="20"/>
                <w:color w:val="auto"/>
              </w:rPr>
              <w:t>Non-GAAP net income</w:t>
            </w:r>
          </w:p>
        </w:tc>
        <w:tc>
          <w:tcPr>
            <w:tcW w:w="128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220" w:type="dxa"/>
            <w:vAlign w:val="bottom"/>
          </w:tcPr>
          <w:p>
            <w:pPr>
              <w:jc w:val="right"/>
              <w:spacing w:after="0" w:line="217" w:lineRule="exact"/>
              <w:rPr>
                <w:sz w:val="20"/>
                <w:szCs w:val="20"/>
                <w:color w:val="auto"/>
              </w:rPr>
            </w:pPr>
            <w:r>
              <w:rPr>
                <w:rFonts w:ascii="Arial" w:cs="Arial" w:eastAsia="Arial" w:hAnsi="Arial"/>
                <w:sz w:val="20"/>
                <w:szCs w:val="20"/>
                <w:color w:val="auto"/>
              </w:rPr>
              <w:t>26.6</w:t>
            </w:r>
          </w:p>
        </w:tc>
        <w:tc>
          <w:tcPr>
            <w:tcW w:w="260" w:type="dxa"/>
            <w:vAlign w:val="bottom"/>
          </w:tcPr>
          <w:p>
            <w:pPr>
              <w:spacing w:after="0"/>
              <w:rPr>
                <w:sz w:val="18"/>
                <w:szCs w:val="18"/>
                <w:color w:val="auto"/>
              </w:rPr>
            </w:pPr>
          </w:p>
        </w:tc>
        <w:tc>
          <w:tcPr>
            <w:tcW w:w="10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line="217" w:lineRule="exact"/>
              <w:rPr>
                <w:sz w:val="20"/>
                <w:szCs w:val="20"/>
                <w:color w:val="auto"/>
              </w:rPr>
            </w:pPr>
            <w:r>
              <w:rPr>
                <w:rFonts w:ascii="Arial" w:cs="Arial" w:eastAsia="Arial" w:hAnsi="Arial"/>
                <w:sz w:val="20"/>
                <w:szCs w:val="20"/>
                <w:color w:val="auto"/>
              </w:rPr>
              <w:t>25.9</w:t>
            </w:r>
          </w:p>
        </w:tc>
        <w:tc>
          <w:tcPr>
            <w:tcW w:w="260" w:type="dxa"/>
            <w:vAlign w:val="bottom"/>
          </w:tcPr>
          <w:p>
            <w:pPr>
              <w:spacing w:after="0"/>
              <w:rPr>
                <w:sz w:val="18"/>
                <w:szCs w:val="18"/>
                <w:color w:val="auto"/>
              </w:rPr>
            </w:pPr>
          </w:p>
        </w:tc>
        <w:tc>
          <w:tcPr>
            <w:tcW w:w="10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380" w:type="dxa"/>
            <w:vAlign w:val="bottom"/>
            <w:gridSpan w:val="2"/>
          </w:tcPr>
          <w:p>
            <w:pPr>
              <w:jc w:val="right"/>
              <w:ind w:right="160"/>
              <w:spacing w:after="0" w:line="217" w:lineRule="exact"/>
              <w:rPr>
                <w:sz w:val="20"/>
                <w:szCs w:val="20"/>
                <w:color w:val="auto"/>
              </w:rPr>
            </w:pPr>
            <w:r>
              <w:rPr>
                <w:rFonts w:ascii="Arial" w:cs="Arial" w:eastAsia="Arial" w:hAnsi="Arial"/>
                <w:sz w:val="20"/>
                <w:szCs w:val="20"/>
                <w:color w:val="auto"/>
              </w:rPr>
              <w:t>9.8</w:t>
            </w:r>
          </w:p>
        </w:tc>
      </w:tr>
      <w:tr>
        <w:trPr>
          <w:trHeight w:val="228"/>
        </w:trPr>
        <w:tc>
          <w:tcPr>
            <w:tcW w:w="486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i w:val="1"/>
                <w:iCs w:val="1"/>
                <w:color w:val="auto"/>
              </w:rPr>
              <w:t>Non-GAAP net income as a percentage of sales</w:t>
            </w:r>
          </w:p>
        </w:tc>
        <w:tc>
          <w:tcPr>
            <w:tcW w:w="11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480" w:type="dxa"/>
            <w:vAlign w:val="bottom"/>
            <w:gridSpan w:val="2"/>
            <w:shd w:val="clear" w:color="auto" w:fill="E9E9E9"/>
          </w:tcPr>
          <w:p>
            <w:pPr>
              <w:jc w:val="right"/>
              <w:ind w:right="20"/>
              <w:spacing w:after="0" w:line="228" w:lineRule="exact"/>
              <w:rPr>
                <w:sz w:val="20"/>
                <w:szCs w:val="20"/>
                <w:color w:val="auto"/>
              </w:rPr>
            </w:pPr>
            <w:r>
              <w:rPr>
                <w:rFonts w:ascii="Arial" w:cs="Arial" w:eastAsia="Arial" w:hAnsi="Arial"/>
                <w:sz w:val="20"/>
                <w:szCs w:val="20"/>
                <w:i w:val="1"/>
                <w:iCs w:val="1"/>
                <w:color w:val="auto"/>
              </w:rPr>
              <w:t>4.9%</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line="228" w:lineRule="exact"/>
              <w:rPr>
                <w:sz w:val="20"/>
                <w:szCs w:val="20"/>
                <w:color w:val="auto"/>
              </w:rPr>
            </w:pPr>
            <w:r>
              <w:rPr>
                <w:rFonts w:ascii="Arial" w:cs="Arial" w:eastAsia="Arial" w:hAnsi="Arial"/>
                <w:sz w:val="20"/>
                <w:szCs w:val="20"/>
                <w:i w:val="1"/>
                <w:iCs w:val="1"/>
                <w:color w:val="auto"/>
              </w:rPr>
              <w:t>6.1%</w:t>
            </w:r>
          </w:p>
        </w:tc>
        <w:tc>
          <w:tcPr>
            <w:tcW w:w="100" w:type="dxa"/>
            <w:vAlign w:val="bottom"/>
          </w:tcPr>
          <w:p>
            <w:pPr>
              <w:spacing w:after="0"/>
              <w:rPr>
                <w:sz w:val="19"/>
                <w:szCs w:val="19"/>
                <w:color w:val="auto"/>
              </w:rPr>
            </w:pPr>
          </w:p>
        </w:tc>
        <w:tc>
          <w:tcPr>
            <w:tcW w:w="1380" w:type="dxa"/>
            <w:vAlign w:val="bottom"/>
            <w:gridSpan w:val="2"/>
          </w:tcPr>
          <w:p>
            <w:pPr>
              <w:jc w:val="right"/>
              <w:spacing w:after="0" w:line="228" w:lineRule="exact"/>
              <w:rPr>
                <w:sz w:val="20"/>
                <w:szCs w:val="20"/>
                <w:color w:val="auto"/>
              </w:rPr>
            </w:pPr>
            <w:r>
              <w:rPr>
                <w:rFonts w:ascii="Arial" w:cs="Arial" w:eastAsia="Arial" w:hAnsi="Arial"/>
                <w:sz w:val="20"/>
                <w:szCs w:val="20"/>
                <w:i w:val="1"/>
                <w:iCs w:val="1"/>
                <w:color w:val="auto"/>
              </w:rPr>
              <w:t>3.0%</w:t>
            </w:r>
          </w:p>
        </w:tc>
      </w:tr>
      <w:tr>
        <w:trPr>
          <w:trHeight w:val="537"/>
        </w:trPr>
        <w:tc>
          <w:tcPr>
            <w:tcW w:w="4860" w:type="dxa"/>
            <w:vAlign w:val="bottom"/>
          </w:tcPr>
          <w:p>
            <w:pPr>
              <w:spacing w:after="0"/>
              <w:rPr>
                <w:sz w:val="24"/>
                <w:szCs w:val="24"/>
                <w:color w:val="auto"/>
              </w:rPr>
            </w:pP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28</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6681470</wp:posOffset>
                </wp:positionH>
                <wp:positionV relativeFrom="paragraph">
                  <wp:posOffset>-3324860</wp:posOffset>
                </wp:positionV>
                <wp:extent cx="10541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1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1pt,-261.7999pt" to="534.4pt,-261.7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6681470</wp:posOffset>
                </wp:positionH>
                <wp:positionV relativeFrom="paragraph">
                  <wp:posOffset>-1772285</wp:posOffset>
                </wp:positionV>
                <wp:extent cx="10541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1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1pt,-139.5499pt" to="534.4pt,-139.5499pt" o:allowincell="f" strokecolor="#FFFFFF" strokeweight="0.4752pt"/>
            </w:pict>
          </mc:Fallback>
        </mc:AlternateContent>
        <w:drawing>
          <wp:anchor simplePos="0" relativeHeight="251657728" behindDoc="1" locked="0" layoutInCell="0" allowOverlap="1">
            <wp:simplePos x="0" y="0"/>
            <wp:positionH relativeFrom="column">
              <wp:posOffset>3896995</wp:posOffset>
            </wp:positionH>
            <wp:positionV relativeFrom="paragraph">
              <wp:posOffset>-923925</wp:posOffset>
            </wp:positionV>
            <wp:extent cx="2889885" cy="294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6">
                      <a:extLst>
                        <a:ext uri="{28A0092B-C50C-407E-A947-70E740481C1C}"/>
                      </a:extLst>
                    </a:blip>
                    <a:srcRect/>
                    <a:stretch>
                      <a:fillRect/>
                    </a:stretch>
                  </pic:blipFill>
                  <pic:spPr bwMode="auto">
                    <a:xfrm>
                      <a:off x="0" y="0"/>
                      <a:ext cx="2889885" cy="29400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-485140</wp:posOffset>
            </wp:positionV>
            <wp:extent cx="1842770" cy="144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7">
                      <a:extLst>
                        <a:ext uri="{28A0092B-C50C-407E-A947-70E740481C1C}"/>
                      </a:extLst>
                    </a:blip>
                    <a:srcRect/>
                    <a:stretch>
                      <a:fillRect/>
                    </a:stretch>
                  </pic:blipFill>
                  <pic:spPr bwMode="auto">
                    <a:xfrm>
                      <a:off x="0" y="0"/>
                      <a:ext cx="1842770" cy="144780"/>
                    </a:xfrm>
                    <a:prstGeom prst="rect">
                      <a:avLst/>
                    </a:prstGeom>
                    <a:noFill/>
                  </pic:spPr>
                </pic:pic>
              </a:graphicData>
            </a:graphic>
          </wp:anchor>
        </w:drawing>
      </w:r>
    </w:p>
    <w:p>
      <w:pPr>
        <w:sectPr>
          <w:pgSz w:w="11880" w:h="15480" w:orient="portrait"/>
          <w:cols w:equalWidth="0" w:num="1">
            <w:col w:w="10680"/>
          </w:cols>
          <w:pgMar w:left="600" w:top="837" w:right="600" w:bottom="46"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Comparison of the years ended December 31, 2023 and 2022</w:t>
      </w:r>
    </w:p>
    <w:p>
      <w:pPr>
        <w:spacing w:after="0" w:line="246"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Consolidated net sales in 2023 were $544.8 million compared with $422.6 million in 2022, an increase of $122.2 million or 28.9%. The increase was led by increases of $88.2 million in our separation, filtration and industrial water businesses and $21.2 million in our thermal acoustics technologies. Approximately 58.2%, or $71.1 million, of the increase in net sales is attributable to organic revenue growth, defined as revenue recorded subsequent to the twelve-month period post-acquisition date, while $51.1 million is attributable to acquisitions that have occurred during the preceding twelve-month period.</w:t>
      </w:r>
    </w:p>
    <w:p>
      <w:pPr>
        <w:spacing w:after="0" w:line="24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Gross profit increased by $42.8 million, or 33.4%, to $171.0 million in 2023 compared with $128.2 million in 2022. The increase in gross profit was primarily attributable to the increase in sales volume as described above. Gross profit as a percentage of sales increased to 31.4% in 2023 compared with 30.3% in 2022 due to higher project margin mix executed during the year and price increases. We continue to experience shortages of raw materials and inflationary pressures for certain materials and labor. We have secured additional raw materials from existing and alternate suppliers and have taken other mitigating actions to mitigate supply disruptions, such as implementing price increases and applying material surcharges, we cannot guarantee that we can continue to do so in the future. In this event, our business, results and financial condition could be adversely affected.</w:t>
      </w:r>
    </w:p>
    <w:p>
      <w:pPr>
        <w:spacing w:after="0" w:line="224" w:lineRule="exact"/>
        <w:rPr>
          <w:sz w:val="20"/>
          <w:szCs w:val="20"/>
          <w:color w:val="auto"/>
        </w:rPr>
      </w:pPr>
    </w:p>
    <w:p>
      <w:pPr>
        <w:ind w:right="900"/>
        <w:spacing w:after="0" w:line="232" w:lineRule="auto"/>
        <w:rPr>
          <w:sz w:val="20"/>
          <w:szCs w:val="20"/>
          <w:color w:val="auto"/>
        </w:rPr>
      </w:pPr>
      <w:r>
        <w:rPr>
          <w:rFonts w:ascii="Arial" w:cs="Arial" w:eastAsia="Arial" w:hAnsi="Arial"/>
          <w:sz w:val="20"/>
          <w:szCs w:val="20"/>
          <w:color w:val="auto"/>
        </w:rPr>
        <w:t>Orders booked were $582.8 million in 2023 compared with $526.6 million in 2022. This $56.2 million increase is primarily attributable to recent acquisitions.</w:t>
      </w:r>
    </w:p>
    <w:p>
      <w:pPr>
        <w:spacing w:after="0" w:line="249"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Selling and administrative expenses were $122.9 million in 2023 compared with $93.4 million in 2022. The increase is primarily attributed to acquisitions during 2023, as well as increased investment to support our revenue growth and increased backlog. Selling and administrative expenses as a percentage of sales were flat, with 22.6% in 2023 compared with 22.1% in 2022.</w:t>
      </w:r>
    </w:p>
    <w:p>
      <w:pPr>
        <w:spacing w:after="0" w:line="223"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Amortization and earnout expenses were $8.2 million in 2023 and $6.8 million in 2022. The increase in expense is attributable to an increase of $0.9 million in definite lived asset amortization due to recent acquisitions and $0.5 million in earnout expense. See Note 7 to the Consolidated Financial Statements for further discussion on earnout expenses.</w:t>
      </w:r>
    </w:p>
    <w:p>
      <w:pPr>
        <w:spacing w:after="0" w:line="250"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Acquisitions and integration expenses related to various merger and acquisition diligence activities, which include legal, accounting and banking expenses, were $2.5 million in 2023, as compared with $4.5 million in 2022. The decrease is due to the timing of acquisition activity. See Note 14 to the Consolidated Financial Statements for further discussion on recent acquisitions.</w:t>
      </w:r>
    </w:p>
    <w:p>
      <w:pPr>
        <w:spacing w:after="0" w:line="221" w:lineRule="exact"/>
        <w:rPr>
          <w:sz w:val="20"/>
          <w:szCs w:val="20"/>
          <w:color w:val="auto"/>
        </w:rPr>
      </w:pPr>
    </w:p>
    <w:p>
      <w:pPr>
        <w:jc w:val="both"/>
        <w:ind w:right="240"/>
        <w:spacing w:after="0" w:line="249" w:lineRule="auto"/>
        <w:rPr>
          <w:sz w:val="20"/>
          <w:szCs w:val="20"/>
          <w:color w:val="auto"/>
        </w:rPr>
      </w:pPr>
      <w:r>
        <w:rPr>
          <w:rFonts w:ascii="Arial" w:cs="Arial" w:eastAsia="Arial" w:hAnsi="Arial"/>
          <w:sz w:val="19"/>
          <w:szCs w:val="19"/>
          <w:color w:val="auto"/>
        </w:rPr>
        <w:t>Executive transition expenses were $1.5 million in 2023 compared to $1.2 million in 2022. These expenses related to fees and other expenses incurred in the search for and hiring of new executives, specifically the Chief Administrative and Legal Officer and Chief Finance and Strategy Officer for 2022 and Chief Operating Officer and Chief Accounting Officer for 2023.</w:t>
      </w:r>
    </w:p>
    <w:p>
      <w:pPr>
        <w:spacing w:after="0" w:line="242"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Restructuring expenses were $1.4 million in 2023 compared to $0.1 million in 2022. These expenses related to severance, facility exits, and associated legal expenses, primarily as it relates to the exit of certain operations in China at the end of 2023.</w:t>
      </w:r>
    </w:p>
    <w:p>
      <w:pPr>
        <w:spacing w:after="0" w:line="218" w:lineRule="exact"/>
        <w:rPr>
          <w:sz w:val="20"/>
          <w:szCs w:val="20"/>
          <w:color w:val="auto"/>
        </w:rPr>
      </w:pPr>
    </w:p>
    <w:p>
      <w:pPr>
        <w:ind w:right="340"/>
        <w:spacing w:after="0" w:line="233" w:lineRule="auto"/>
        <w:rPr>
          <w:sz w:val="20"/>
          <w:szCs w:val="20"/>
          <w:color w:val="auto"/>
        </w:rPr>
      </w:pPr>
      <w:r>
        <w:rPr>
          <w:rFonts w:ascii="Arial" w:cs="Arial" w:eastAsia="Arial" w:hAnsi="Arial"/>
          <w:sz w:val="20"/>
          <w:szCs w:val="20"/>
          <w:color w:val="auto"/>
        </w:rPr>
        <w:t>Operating income for 2023 was $34.6 million, an increase of $12.4 million from $22.2 million in 2022. Operating income as a percentage of sales for 2023 was 6.4% compared with 5.3% for 2022. The increase in operating income is primarily attributable to increases in net organic sales and gaining operating leverage.</w:t>
      </w:r>
    </w:p>
    <w:p>
      <w:pPr>
        <w:spacing w:after="0" w:line="250"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color w:val="auto"/>
        </w:rPr>
        <w:t>Non-GAAP operating income was $48.1 million in 2023 and $34.8 million in 2022. The increase in non-GAAP operating income is primarily attributable to the increase in net organic sales and improved operating leverage. Non-GAAP operating income as a percentage of sales for 2023 was 8.8% compared with 8.2% for 2022.</w:t>
      </w:r>
    </w:p>
    <w:p>
      <w:pPr>
        <w:spacing w:after="0" w:line="250"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Other income for 2023 was $0.4 million compared to $6.9 million in 2022. The decrease in other income was primarily attributable to net foreign currency transaction losses in the current year based on changes in exchange rates at our foreign subsidiaries.</w:t>
      </w:r>
    </w:p>
    <w:p>
      <w:pPr>
        <w:spacing w:after="0" w:line="221" w:lineRule="exact"/>
        <w:rPr>
          <w:sz w:val="20"/>
          <w:szCs w:val="20"/>
          <w:color w:val="auto"/>
        </w:rPr>
      </w:pPr>
    </w:p>
    <w:p>
      <w:pPr>
        <w:ind w:right="400"/>
        <w:spacing w:after="0" w:line="232" w:lineRule="auto"/>
        <w:rPr>
          <w:sz w:val="20"/>
          <w:szCs w:val="20"/>
          <w:color w:val="auto"/>
        </w:rPr>
      </w:pPr>
      <w:r>
        <w:rPr>
          <w:rFonts w:ascii="Arial" w:cs="Arial" w:eastAsia="Arial" w:hAnsi="Arial"/>
          <w:sz w:val="20"/>
          <w:szCs w:val="20"/>
          <w:color w:val="auto"/>
        </w:rPr>
        <w:t>Interest expense increased to $13.4 million in 2023 from $5.4 million in 2022. The increase in interest expense is primarily due to higher interest rates and increased debt balances to fund acquisitions.</w:t>
      </w:r>
    </w:p>
    <w:p>
      <w:pPr>
        <w:spacing w:after="0" w:line="249" w:lineRule="exact"/>
        <w:rPr>
          <w:sz w:val="20"/>
          <w:szCs w:val="20"/>
          <w:color w:val="auto"/>
        </w:rPr>
      </w:pPr>
    </w:p>
    <w:p>
      <w:pPr>
        <w:ind w:right="240"/>
        <w:spacing w:after="0" w:line="249" w:lineRule="auto"/>
        <w:rPr>
          <w:sz w:val="20"/>
          <w:szCs w:val="20"/>
          <w:color w:val="auto"/>
        </w:rPr>
      </w:pPr>
      <w:r>
        <w:rPr>
          <w:rFonts w:ascii="Arial" w:cs="Arial" w:eastAsia="Arial" w:hAnsi="Arial"/>
          <w:sz w:val="19"/>
          <w:szCs w:val="19"/>
          <w:color w:val="auto"/>
        </w:rPr>
        <w:t>Income tax expense was $7.0 million and $5.4 million in 2023 and 2022, respectively. The effective tax rate for 2023 was 32.6% compared with 22.9% in 2022. Income tax expense and the effective tax rate for 2023 were affected by changes in valuation allowances, and the net impact of global intangible low-taxed income ("GILTI") and foreign-derived intangible income ("FDII"), as well as certain permanent differences including state income taxes, non-deductible incentive stock-based compensation, and differences in tax rates among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10680"/>
          </w:cols>
          <w:pgMar w:left="600" w:top="837" w:right="600" w:bottom="46"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Comparison of the years ended December 31, 2022 and 2021</w:t>
      </w:r>
    </w:p>
    <w:p>
      <w:pPr>
        <w:spacing w:after="0" w:line="246"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See the Management Discussion and Analysis section of our Annual Report on Form 10-K for the year ended December 31, 2022 for a discussion of our consolidated results of operations for the year ended December 31, 2022 compared to the year ended December 31, 2021.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Segments</w:t>
      </w:r>
    </w:p>
    <w:p>
      <w:pPr>
        <w:spacing w:after="0" w:line="255"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The Company’s operations are organized and reviewed by management along its product lines and end markets that the segment serves and are presented in two reportable segments. The results of the segments are reviewed through the “Income from operations” line on the Consolidated Statements of Income. The amounts presented in the Net Sales table below and in the following comments regarding our net sales at the reportable business segment level exclude both intra-segment and inter-segment net sales. The Income from Operations table and corresponding comments regarding operating income at the reportable segment level include both intra-segment and inter-segment operating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Borders>
              <w:bottom w:val="single" w:sz="8" w:color="E9E9E9"/>
            </w:tcBorders>
          </w:tcPr>
          <w:p>
            <w:pPr>
              <w:spacing w:after="0"/>
              <w:rPr>
                <w:sz w:val="16"/>
                <w:szCs w:val="16"/>
                <w:color w:val="auto"/>
              </w:rPr>
            </w:pPr>
          </w:p>
        </w:tc>
        <w:tc>
          <w:tcPr>
            <w:tcW w:w="10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16"/>
                <w:szCs w:val="16"/>
                <w:color w:val="auto"/>
              </w:rPr>
            </w:pPr>
          </w:p>
        </w:tc>
        <w:tc>
          <w:tcPr>
            <w:tcW w:w="10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9E9E9"/>
            </w:tcBorders>
          </w:tcPr>
          <w:p>
            <w:pPr>
              <w:spacing w:after="0"/>
              <w:rPr>
                <w:sz w:val="16"/>
                <w:szCs w:val="16"/>
                <w:color w:val="auto"/>
              </w:rPr>
            </w:pPr>
          </w:p>
        </w:tc>
        <w:tc>
          <w:tcPr>
            <w:tcW w:w="8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9E9E9"/>
            </w:tcBorders>
          </w:tcPr>
          <w:p>
            <w:pPr>
              <w:spacing w:after="0"/>
              <w:rPr>
                <w:sz w:val="16"/>
                <w:szCs w:val="16"/>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Net Sales (less intra-, inter-segment sales)</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r>
      <w:tr>
        <w:trPr>
          <w:trHeight w:val="228"/>
        </w:trPr>
        <w:tc>
          <w:tcPr>
            <w:tcW w:w="5780" w:type="dxa"/>
            <w:vAlign w:val="bottom"/>
          </w:tcPr>
          <w:p>
            <w:pPr>
              <w:ind w:left="200"/>
              <w:spacing w:after="0"/>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5780" w:type="dxa"/>
            <w:vAlign w:val="bottom"/>
            <w:tcBorders>
              <w:bottom w:val="single" w:sz="8" w:color="E9E9E9"/>
            </w:tcBorders>
            <w:shd w:val="clear" w:color="auto" w:fill="E9E9E9"/>
          </w:tcPr>
          <w:p>
            <w:pPr>
              <w:ind w:left="200"/>
              <w:spacing w:after="0" w:line="225" w:lineRule="exact"/>
              <w:rPr>
                <w:sz w:val="20"/>
                <w:szCs w:val="20"/>
                <w:color w:val="auto"/>
              </w:rPr>
            </w:pPr>
            <w:r>
              <w:rPr>
                <w:rFonts w:ascii="Arial" w:cs="Arial" w:eastAsia="Arial" w:hAnsi="Arial"/>
                <w:sz w:val="20"/>
                <w:szCs w:val="20"/>
                <w:color w:val="auto"/>
              </w:rPr>
              <w:t>Engineered Systems Segment</w:t>
            </w:r>
          </w:p>
        </w:tc>
        <w:tc>
          <w:tcPr>
            <w:tcW w:w="10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1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bottom w:val="single" w:sz="8" w:color="E9E9E9"/>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380,108</w:t>
            </w:r>
          </w:p>
        </w:tc>
        <w:tc>
          <w:tcPr>
            <w:tcW w:w="120" w:type="dxa"/>
            <w:vAlign w:val="bottom"/>
            <w:tcBorders>
              <w:bottom w:val="single" w:sz="8" w:color="E9E9E9"/>
            </w:tcBorders>
            <w:shd w:val="clear" w:color="auto" w:fill="E9E9E9"/>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bottom w:val="single" w:sz="8" w:color="E9E9E9"/>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263,224</w:t>
            </w:r>
          </w:p>
        </w:tc>
        <w:tc>
          <w:tcPr>
            <w:tcW w:w="120" w:type="dxa"/>
            <w:vAlign w:val="bottom"/>
            <w:tcBorders>
              <w:bottom w:val="single" w:sz="8" w:color="E9E9E9"/>
            </w:tcBorders>
            <w:shd w:val="clear" w:color="auto" w:fill="E9E9E9"/>
          </w:tcPr>
          <w:p>
            <w:pPr>
              <w:spacing w:after="0"/>
              <w:rPr>
                <w:sz w:val="21"/>
                <w:szCs w:val="21"/>
                <w:color w:val="auto"/>
              </w:rPr>
            </w:pPr>
          </w:p>
        </w:tc>
        <w:tc>
          <w:tcPr>
            <w:tcW w:w="80" w:type="dxa"/>
            <w:vAlign w:val="bottom"/>
            <w:tcBorders>
              <w:bottom w:val="single" w:sz="8" w:color="E9E9E9"/>
            </w:tcBorders>
            <w:shd w:val="clear" w:color="auto" w:fill="E9E9E9"/>
          </w:tcPr>
          <w:p>
            <w:pPr>
              <w:spacing w:after="0"/>
              <w:rPr>
                <w:sz w:val="21"/>
                <w:szCs w:val="21"/>
                <w:color w:val="auto"/>
              </w:rPr>
            </w:pPr>
          </w:p>
        </w:tc>
        <w:tc>
          <w:tcPr>
            <w:tcW w:w="120" w:type="dxa"/>
            <w:vAlign w:val="bottom"/>
            <w:tcBorders>
              <w:bottom w:val="single" w:sz="8" w:color="E9E9E9"/>
            </w:tcBorders>
            <w:gridSpan w:val="2"/>
            <w:shd w:val="clear" w:color="auto" w:fill="E9E9E9"/>
          </w:tcPr>
          <w:p>
            <w:pPr>
              <w:jc w:val="right"/>
              <w:spacing w:after="0" w:line="226" w:lineRule="exact"/>
              <w:rPr>
                <w:sz w:val="20"/>
                <w:szCs w:val="20"/>
                <w:color w:val="auto"/>
              </w:rPr>
            </w:pPr>
            <w:r>
              <w:rPr>
                <w:rFonts w:ascii="Arial" w:cs="Arial" w:eastAsia="Arial" w:hAnsi="Arial"/>
                <w:sz w:val="20"/>
                <w:szCs w:val="20"/>
                <w:color w:val="auto"/>
                <w:w w:val="89"/>
                <w:shd w:val="clear" w:color="auto" w:fill="E9E9E9"/>
              </w:rPr>
              <w:t>$</w:t>
            </w:r>
          </w:p>
        </w:tc>
        <w:tc>
          <w:tcPr>
            <w:tcW w:w="1320" w:type="dxa"/>
            <w:vAlign w:val="bottom"/>
            <w:tcBorders>
              <w:bottom w:val="single" w:sz="8" w:color="E9E9E9"/>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186,926</w:t>
            </w:r>
          </w:p>
        </w:tc>
        <w:tc>
          <w:tcPr>
            <w:tcW w:w="100" w:type="dxa"/>
            <w:vAlign w:val="bottom"/>
            <w:tcBorders>
              <w:bottom w:val="single" w:sz="8" w:color="E9E9E9"/>
            </w:tcBorders>
            <w:shd w:val="clear" w:color="auto" w:fill="E9E9E9"/>
          </w:tcPr>
          <w:p>
            <w:pPr>
              <w:spacing w:after="0"/>
              <w:rPr>
                <w:sz w:val="21"/>
                <w:szCs w:val="21"/>
                <w:color w:val="auto"/>
              </w:rPr>
            </w:pPr>
          </w:p>
        </w:tc>
      </w:tr>
      <w:tr>
        <w:trPr>
          <w:trHeight w:val="266"/>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164,737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20"/>
                <w:szCs w:val="20"/>
                <w:color w:val="auto"/>
              </w:rPr>
              <w:t>159,403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137,214</w:t>
            </w:r>
          </w:p>
        </w:tc>
        <w:tc>
          <w:tcPr>
            <w:tcW w:w="100" w:type="dxa"/>
            <w:vAlign w:val="bottom"/>
          </w:tcPr>
          <w:p>
            <w:pPr>
              <w:spacing w:after="0"/>
              <w:rPr>
                <w:sz w:val="23"/>
                <w:szCs w:val="23"/>
                <w:color w:val="auto"/>
              </w:rPr>
            </w:pPr>
          </w:p>
        </w:tc>
      </w:tr>
      <w:tr>
        <w:trPr>
          <w:trHeight w:val="219"/>
        </w:trPr>
        <w:tc>
          <w:tcPr>
            <w:tcW w:w="5780" w:type="dxa"/>
            <w:vAlign w:val="bottom"/>
            <w:tcBorders>
              <w:top w:val="single" w:sz="8" w:color="E9E9E9"/>
            </w:tcBorders>
            <w:shd w:val="clear" w:color="auto" w:fill="E9E9E9"/>
          </w:tcPr>
          <w:p>
            <w:pPr>
              <w:ind w:left="400"/>
              <w:spacing w:after="0" w:line="217" w:lineRule="exact"/>
              <w:rPr>
                <w:sz w:val="20"/>
                <w:szCs w:val="20"/>
                <w:color w:val="auto"/>
              </w:rPr>
            </w:pPr>
            <w:r>
              <w:rPr>
                <w:rFonts w:ascii="Arial" w:cs="Arial" w:eastAsia="Arial" w:hAnsi="Arial"/>
                <w:sz w:val="20"/>
                <w:szCs w:val="20"/>
                <w:color w:val="auto"/>
              </w:rPr>
              <w:t>Total net sales</w:t>
            </w:r>
          </w:p>
        </w:tc>
        <w:tc>
          <w:tcPr>
            <w:tcW w:w="1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544,845</w:t>
            </w:r>
          </w:p>
        </w:tc>
        <w:tc>
          <w:tcPr>
            <w:tcW w:w="120" w:type="dxa"/>
            <w:vAlign w:val="bottom"/>
            <w:tcBorders>
              <w:top w:val="single" w:sz="8" w:color="E9E9E9"/>
            </w:tcBorders>
            <w:shd w:val="clear" w:color="auto" w:fill="E9E9E9"/>
          </w:tcPr>
          <w:p>
            <w:pPr>
              <w:spacing w:after="0"/>
              <w:rPr>
                <w:sz w:val="19"/>
                <w:szCs w:val="19"/>
                <w:color w:val="auto"/>
              </w:rPr>
            </w:pPr>
          </w:p>
        </w:tc>
        <w:tc>
          <w:tcPr>
            <w:tcW w:w="1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422,627</w:t>
            </w:r>
          </w:p>
        </w:tc>
        <w:tc>
          <w:tcPr>
            <w:tcW w:w="120" w:type="dxa"/>
            <w:vAlign w:val="bottom"/>
            <w:tcBorders>
              <w:top w:val="single" w:sz="8" w:color="E9E9E9"/>
            </w:tcBorders>
            <w:shd w:val="clear" w:color="auto" w:fill="E9E9E9"/>
          </w:tcPr>
          <w:p>
            <w:pPr>
              <w:spacing w:after="0"/>
              <w:rPr>
                <w:sz w:val="19"/>
                <w:szCs w:val="19"/>
                <w:color w:val="auto"/>
              </w:rPr>
            </w:pPr>
          </w:p>
        </w:tc>
        <w:tc>
          <w:tcPr>
            <w:tcW w:w="8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324,140</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1"/>
        </w:trPr>
        <w:tc>
          <w:tcPr>
            <w:tcW w:w="5780" w:type="dxa"/>
            <w:vAlign w:val="bottom"/>
            <w:tcBorders>
              <w:bottom w:val="single" w:sz="8" w:color="E9E9E9"/>
            </w:tcBorders>
          </w:tcPr>
          <w:p>
            <w:pPr>
              <w:spacing w:after="0"/>
              <w:rPr>
                <w:sz w:val="24"/>
                <w:szCs w:val="24"/>
                <w:color w:val="auto"/>
              </w:rPr>
            </w:pPr>
          </w:p>
        </w:tc>
        <w:tc>
          <w:tcPr>
            <w:tcW w:w="100" w:type="dxa"/>
            <w:vAlign w:val="bottom"/>
            <w:tcBorders>
              <w:bottom w:val="single" w:sz="8" w:color="E9E9E9"/>
            </w:tcBorders>
          </w:tcPr>
          <w:p>
            <w:pPr>
              <w:spacing w:after="0"/>
              <w:rPr>
                <w:sz w:val="24"/>
                <w:szCs w:val="24"/>
                <w:color w:val="auto"/>
              </w:rPr>
            </w:pPr>
          </w:p>
        </w:tc>
        <w:tc>
          <w:tcPr>
            <w:tcW w:w="20" w:type="dxa"/>
            <w:vAlign w:val="bottom"/>
            <w:tcBorders>
              <w:bottom w:val="single" w:sz="8" w:color="E9E9E9"/>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24"/>
                <w:szCs w:val="24"/>
                <w:color w:val="auto"/>
              </w:rPr>
            </w:pPr>
          </w:p>
        </w:tc>
        <w:tc>
          <w:tcPr>
            <w:tcW w:w="100" w:type="dxa"/>
            <w:vAlign w:val="bottom"/>
            <w:tcBorders>
              <w:bottom w:val="single" w:sz="8" w:color="E9E9E9"/>
            </w:tcBorders>
          </w:tcPr>
          <w:p>
            <w:pPr>
              <w:spacing w:after="0"/>
              <w:rPr>
                <w:sz w:val="24"/>
                <w:szCs w:val="24"/>
                <w:color w:val="auto"/>
              </w:rPr>
            </w:pPr>
          </w:p>
        </w:tc>
        <w:tc>
          <w:tcPr>
            <w:tcW w:w="20" w:type="dxa"/>
            <w:vAlign w:val="bottom"/>
            <w:tcBorders>
              <w:bottom w:val="single" w:sz="8" w:color="E9E9E9"/>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9E9E9"/>
            </w:tcBorders>
          </w:tcPr>
          <w:p>
            <w:pPr>
              <w:spacing w:after="0"/>
              <w:rPr>
                <w:sz w:val="24"/>
                <w:szCs w:val="24"/>
                <w:color w:val="auto"/>
              </w:rPr>
            </w:pPr>
          </w:p>
        </w:tc>
        <w:tc>
          <w:tcPr>
            <w:tcW w:w="80" w:type="dxa"/>
            <w:vAlign w:val="bottom"/>
            <w:tcBorders>
              <w:bottom w:val="single" w:sz="8" w:color="E9E9E9"/>
            </w:tcBorders>
          </w:tcPr>
          <w:p>
            <w:pPr>
              <w:spacing w:after="0"/>
              <w:rPr>
                <w:sz w:val="24"/>
                <w:szCs w:val="24"/>
                <w:color w:val="auto"/>
              </w:rPr>
            </w:pPr>
          </w:p>
        </w:tc>
        <w:tc>
          <w:tcPr>
            <w:tcW w:w="20" w:type="dxa"/>
            <w:vAlign w:val="bottom"/>
            <w:tcBorders>
              <w:bottom w:val="single" w:sz="8" w:color="E9E9E9"/>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9E9E9"/>
            </w:tcBorders>
          </w:tcPr>
          <w:p>
            <w:pPr>
              <w:spacing w:after="0"/>
              <w:rPr>
                <w:sz w:val="24"/>
                <w:szCs w:val="24"/>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Income from Operations</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r>
      <w:tr>
        <w:trPr>
          <w:trHeight w:val="228"/>
        </w:trPr>
        <w:tc>
          <w:tcPr>
            <w:tcW w:w="5780" w:type="dxa"/>
            <w:vAlign w:val="bottom"/>
          </w:tcPr>
          <w:p>
            <w:pPr>
              <w:ind w:left="200"/>
              <w:spacing w:after="0"/>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120" w:type="dxa"/>
            <w:vAlign w:val="bottom"/>
            <w:gridSpan w:val="2"/>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59,846</w:t>
            </w:r>
          </w:p>
        </w:tc>
        <w:tc>
          <w:tcPr>
            <w:tcW w:w="120" w:type="dxa"/>
            <w:vAlign w:val="bottom"/>
            <w:shd w:val="clear" w:color="auto" w:fill="E9E9E9"/>
          </w:tcPr>
          <w:p>
            <w:pPr>
              <w:spacing w:after="0"/>
              <w:rPr>
                <w:sz w:val="19"/>
                <w:szCs w:val="19"/>
                <w:color w:val="auto"/>
              </w:rPr>
            </w:pPr>
          </w:p>
        </w:tc>
        <w:tc>
          <w:tcPr>
            <w:tcW w:w="120" w:type="dxa"/>
            <w:vAlign w:val="bottom"/>
            <w:gridSpan w:val="2"/>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36,200</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20" w:type="dxa"/>
            <w:vAlign w:val="bottom"/>
            <w:gridSpan w:val="2"/>
            <w:shd w:val="clear" w:color="auto" w:fill="E9E9E9"/>
          </w:tcPr>
          <w:p>
            <w:pPr>
              <w:jc w:val="right"/>
              <w:spacing w:after="0" w:line="228"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25,770</w:t>
            </w:r>
          </w:p>
        </w:tc>
        <w:tc>
          <w:tcPr>
            <w:tcW w:w="100" w:type="dxa"/>
            <w:vAlign w:val="bottom"/>
            <w:shd w:val="clear" w:color="auto" w:fill="E9E9E9"/>
          </w:tcPr>
          <w:p>
            <w:pPr>
              <w:spacing w:after="0"/>
              <w:rPr>
                <w:sz w:val="19"/>
                <w:szCs w:val="19"/>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line="228" w:lineRule="exact"/>
              <w:rPr>
                <w:sz w:val="20"/>
                <w:szCs w:val="20"/>
                <w:color w:val="auto"/>
              </w:rPr>
            </w:pPr>
            <w:r>
              <w:rPr>
                <w:rFonts w:ascii="Arial" w:cs="Arial" w:eastAsia="Arial" w:hAnsi="Arial"/>
                <w:sz w:val="20"/>
                <w:szCs w:val="20"/>
                <w:color w:val="auto"/>
              </w:rPr>
              <w:t>21,630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line="228" w:lineRule="exact"/>
              <w:rPr>
                <w:sz w:val="20"/>
                <w:szCs w:val="20"/>
                <w:color w:val="auto"/>
              </w:rPr>
            </w:pPr>
            <w:r>
              <w:rPr>
                <w:rFonts w:ascii="Arial" w:cs="Arial" w:eastAsia="Arial" w:hAnsi="Arial"/>
                <w:sz w:val="20"/>
                <w:szCs w:val="20"/>
                <w:color w:val="auto"/>
              </w:rPr>
              <w:t>22,705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15,054</w:t>
            </w:r>
          </w:p>
        </w:tc>
      </w:tr>
      <w:tr>
        <w:trPr>
          <w:trHeight w:val="228"/>
        </w:trPr>
        <w:tc>
          <w:tcPr>
            <w:tcW w:w="5780" w:type="dxa"/>
            <w:vAlign w:val="bottom"/>
            <w:tcBorders>
              <w:bottom w:val="single" w:sz="8" w:color="E9E9E9"/>
            </w:tcBorders>
            <w:shd w:val="clear" w:color="auto" w:fill="E9E9E9"/>
          </w:tcPr>
          <w:p>
            <w:pPr>
              <w:ind w:left="200"/>
              <w:spacing w:after="0" w:line="228" w:lineRule="exact"/>
              <w:rPr>
                <w:sz w:val="20"/>
                <w:szCs w:val="20"/>
                <w:color w:val="auto"/>
              </w:rPr>
            </w:pPr>
            <w:r>
              <w:rPr>
                <w:rFonts w:ascii="Arial" w:cs="Arial" w:eastAsia="Arial" w:hAnsi="Arial"/>
                <w:sz w:val="20"/>
                <w:szCs w:val="20"/>
                <w:color w:val="auto"/>
              </w:rPr>
              <w:t>Corporate and Other (1)</w:t>
            </w:r>
          </w:p>
        </w:tc>
        <w:tc>
          <w:tcPr>
            <w:tcW w:w="100" w:type="dxa"/>
            <w:vAlign w:val="bottom"/>
            <w:tcBorders>
              <w:bottom w:val="single" w:sz="8" w:color="E9E9E9"/>
            </w:tcBorders>
            <w:shd w:val="clear" w:color="auto" w:fill="E9E9E9"/>
          </w:tcPr>
          <w:p>
            <w:pPr>
              <w:spacing w:after="0"/>
              <w:rPr>
                <w:sz w:val="19"/>
                <w:szCs w:val="19"/>
                <w:color w:val="auto"/>
              </w:rPr>
            </w:pPr>
          </w:p>
        </w:tc>
        <w:tc>
          <w:tcPr>
            <w:tcW w:w="20" w:type="dxa"/>
            <w:vAlign w:val="bottom"/>
            <w:tcBorders>
              <w:bottom w:val="single" w:sz="8" w:color="E9E9E9"/>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(46,907</w:t>
            </w:r>
          </w:p>
        </w:tc>
        <w:tc>
          <w:tcPr>
            <w:tcW w:w="120" w:type="dxa"/>
            <w:vAlign w:val="bottom"/>
            <w:tcBorders>
              <w:bottom w:val="single" w:sz="8" w:color="E9E9E9"/>
            </w:tcBorders>
            <w:shd w:val="clear" w:color="auto" w:fill="E9E9E9"/>
          </w:tcPr>
          <w:p>
            <w:pPr>
              <w:jc w:val="right"/>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100" w:type="dxa"/>
            <w:vAlign w:val="bottom"/>
            <w:tcBorders>
              <w:bottom w:val="single" w:sz="8" w:color="E9E9E9"/>
            </w:tcBorders>
            <w:shd w:val="clear" w:color="auto" w:fill="E9E9E9"/>
          </w:tcPr>
          <w:p>
            <w:pPr>
              <w:spacing w:after="0"/>
              <w:rPr>
                <w:sz w:val="19"/>
                <w:szCs w:val="19"/>
                <w:color w:val="auto"/>
              </w:rPr>
            </w:pPr>
          </w:p>
        </w:tc>
        <w:tc>
          <w:tcPr>
            <w:tcW w:w="20" w:type="dxa"/>
            <w:vAlign w:val="bottom"/>
            <w:tcBorders>
              <w:bottom w:val="single" w:sz="8" w:color="E9E9E9"/>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(36,744)</w:t>
            </w:r>
          </w:p>
        </w:tc>
        <w:tc>
          <w:tcPr>
            <w:tcW w:w="12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20" w:type="dxa"/>
            <w:vAlign w:val="bottom"/>
            <w:tcBorders>
              <w:bottom w:val="single" w:sz="8" w:color="E9E9E9"/>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(30,967)</w:t>
            </w:r>
          </w:p>
        </w:tc>
        <w:tc>
          <w:tcPr>
            <w:tcW w:w="100" w:type="dxa"/>
            <w:vAlign w:val="bottom"/>
            <w:tcBorders>
              <w:bottom w:val="single" w:sz="8" w:color="E9E9E9"/>
            </w:tcBorders>
            <w:shd w:val="clear" w:color="auto" w:fill="E9E9E9"/>
          </w:tcPr>
          <w:p>
            <w:pPr>
              <w:spacing w:after="0"/>
              <w:rPr>
                <w:sz w:val="19"/>
                <w:szCs w:val="19"/>
                <w:color w:val="auto"/>
              </w:rPr>
            </w:pPr>
          </w:p>
        </w:tc>
      </w:tr>
      <w:tr>
        <w:trPr>
          <w:trHeight w:val="218"/>
        </w:trPr>
        <w:tc>
          <w:tcPr>
            <w:tcW w:w="5780" w:type="dxa"/>
            <w:vAlign w:val="bottom"/>
          </w:tcPr>
          <w:p>
            <w:pPr>
              <w:ind w:left="400"/>
              <w:spacing w:after="0" w:line="217" w:lineRule="exact"/>
              <w:rPr>
                <w:sz w:val="20"/>
                <w:szCs w:val="20"/>
                <w:color w:val="auto"/>
              </w:rPr>
            </w:pPr>
            <w:r>
              <w:rPr>
                <w:rFonts w:ascii="Arial" w:cs="Arial" w:eastAsia="Arial" w:hAnsi="Arial"/>
                <w:sz w:val="20"/>
                <w:szCs w:val="20"/>
                <w:color w:val="auto"/>
              </w:rPr>
              <w:t>Total income from operations</w:t>
            </w: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300" w:type="dxa"/>
            <w:vAlign w:val="bottom"/>
          </w:tcPr>
          <w:p>
            <w:pPr>
              <w:jc w:val="right"/>
              <w:spacing w:after="0" w:line="217" w:lineRule="exact"/>
              <w:rPr>
                <w:sz w:val="20"/>
                <w:szCs w:val="20"/>
                <w:color w:val="auto"/>
              </w:rPr>
            </w:pPr>
            <w:r>
              <w:rPr>
                <w:rFonts w:ascii="Arial" w:cs="Arial" w:eastAsia="Arial" w:hAnsi="Arial"/>
                <w:sz w:val="20"/>
                <w:szCs w:val="20"/>
                <w:color w:val="auto"/>
              </w:rPr>
              <w:t>34,569</w:t>
            </w:r>
          </w:p>
        </w:tc>
        <w:tc>
          <w:tcPr>
            <w:tcW w:w="120" w:type="dxa"/>
            <w:vAlign w:val="bottom"/>
          </w:tcPr>
          <w:p>
            <w:pPr>
              <w:spacing w:after="0"/>
              <w:rPr>
                <w:sz w:val="18"/>
                <w:szCs w:val="18"/>
                <w:color w:val="auto"/>
              </w:rPr>
            </w:pP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20"/>
              <w:spacing w:after="0" w:line="217" w:lineRule="exact"/>
              <w:rPr>
                <w:sz w:val="20"/>
                <w:szCs w:val="20"/>
                <w:color w:val="auto"/>
              </w:rPr>
            </w:pPr>
            <w:r>
              <w:rPr>
                <w:rFonts w:ascii="Arial" w:cs="Arial" w:eastAsia="Arial" w:hAnsi="Arial"/>
                <w:sz w:val="20"/>
                <w:szCs w:val="20"/>
                <w:color w:val="auto"/>
              </w:rPr>
              <w:t>22,161</w:t>
            </w:r>
          </w:p>
        </w:tc>
        <w:tc>
          <w:tcPr>
            <w:tcW w:w="20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9,857</w:t>
            </w: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-175260</wp:posOffset>
                </wp:positionV>
                <wp:extent cx="6921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3.7999pt" to="534.4pt,-13.7999pt" o:allowincell="f" strokecolor="#FFFFFF" strokeweight="0.4751pt"/>
            </w:pict>
          </mc:Fallback>
        </mc:AlternateContent>
      </w:r>
    </w:p>
    <w:p>
      <w:pPr>
        <w:spacing w:after="0" w:line="109" w:lineRule="exact"/>
        <w:rPr>
          <w:sz w:val="20"/>
          <w:szCs w:val="20"/>
          <w:color w:val="auto"/>
        </w:rPr>
      </w:pPr>
    </w:p>
    <w:p>
      <w:pPr>
        <w:jc w:val="both"/>
        <w:ind w:left="840" w:hanging="490"/>
        <w:spacing w:after="0" w:line="234" w:lineRule="auto"/>
        <w:tabs>
          <w:tab w:leader="none" w:pos="8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Includes corporate compensation, professional services, information technology, and other general, administrative corporate expenses. This figure excludes earnout expenses / income, which are recorded in the segment in which the expense / income occurs.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2023 and 2022</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Engineered Systems segment</w:t>
      </w:r>
    </w:p>
    <w:p>
      <w:pPr>
        <w:spacing w:after="0" w:line="246"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color w:val="auto"/>
        </w:rPr>
        <w:t>Our Engineered Systems segment net sales increased $116.9 million to $380.1 million in 2023 compared with $263.2 million in 2022, an increase of 44.4%. The increase is broad-based, led by increases of $88.2 million in our separation, filtration and industrial water businesses and $21.2 million in our thermal acoustics technologies. Approximately 56.6%, or $66.2 million, of the increase in net sales is attributable to organic revenue growth, while $50.7 million is attributable to acquisitions that have occurred during the preceding twelve-month period.</w:t>
      </w:r>
    </w:p>
    <w:p>
      <w:pPr>
        <w:spacing w:after="0" w:line="250"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Operating income for the Engineered Systems segment increased $23.6 million to $59.8 million for 2023 compared with $36.2 million in 2022, an increase of 65.2%. The increase in operating income in primarily attributable to higher gross profit related to increased sales.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Industrial Process Solutions segment</w:t>
      </w:r>
    </w:p>
    <w:p>
      <w:pPr>
        <w:spacing w:after="0" w:line="248" w:lineRule="exact"/>
        <w:rPr>
          <w:sz w:val="20"/>
          <w:szCs w:val="20"/>
          <w:color w:val="auto"/>
        </w:rPr>
      </w:pPr>
    </w:p>
    <w:p>
      <w:pPr>
        <w:ind w:right="140"/>
        <w:spacing w:after="0" w:line="249" w:lineRule="auto"/>
        <w:rPr>
          <w:sz w:val="20"/>
          <w:szCs w:val="20"/>
          <w:color w:val="auto"/>
        </w:rPr>
      </w:pPr>
      <w:r>
        <w:rPr>
          <w:rFonts w:ascii="Arial" w:cs="Arial" w:eastAsia="Arial" w:hAnsi="Arial"/>
          <w:sz w:val="19"/>
          <w:szCs w:val="19"/>
          <w:color w:val="auto"/>
        </w:rPr>
        <w:t>Our Industrial Process Solutions segment net sales increased $5.3 million to $164.7 million in 2023 compared with $159.4 million in 2022, an increase of 3.3%. The increase is primarily attributable to an increase of $4.7 million in our duct fabrication and installation businesses. Approximately 62.3%, or $3.3 million, of the increase in net sales is attributable to organic revenue growth, while $2.0 million is attributable to acquisitions that have occurred during the preceding twelve-month period.</w:t>
      </w:r>
    </w:p>
    <w:p>
      <w:pPr>
        <w:spacing w:after="0" w:line="241" w:lineRule="exact"/>
        <w:rPr>
          <w:sz w:val="20"/>
          <w:szCs w:val="20"/>
          <w:color w:val="auto"/>
        </w:rPr>
      </w:pPr>
    </w:p>
    <w:p>
      <w:pPr>
        <w:ind w:right="480"/>
        <w:spacing w:after="0" w:line="232" w:lineRule="auto"/>
        <w:rPr>
          <w:sz w:val="20"/>
          <w:szCs w:val="20"/>
          <w:color w:val="auto"/>
        </w:rPr>
      </w:pPr>
      <w:r>
        <w:rPr>
          <w:rFonts w:ascii="Arial" w:cs="Arial" w:eastAsia="Arial" w:hAnsi="Arial"/>
          <w:sz w:val="20"/>
          <w:szCs w:val="20"/>
          <w:color w:val="auto"/>
        </w:rPr>
        <w:t>Operating income was $21.6 million in 2023 compared with $22.7 million in 2022. The decrease is primarily attributable to $1.0 million of restructuring expenses incurred in 2023.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10680"/>
          </w:cols>
          <w:pgMar w:left="600" w:top="837" w:right="600" w:bottom="46" w:gutter="0" w:footer="0" w:header="0"/>
        </w:sectPr>
      </w:pPr>
    </w:p>
    <w:bookmarkStart w:id="42" w:name="page43"/>
    <w:bookmarkEnd w:id="42"/>
    <w:p>
      <w:pPr>
        <w:spacing w:after="0"/>
        <w:rPr>
          <w:sz w:val="20"/>
          <w:szCs w:val="20"/>
          <w:color w:val="auto"/>
        </w:rPr>
      </w:pPr>
      <w:r>
        <w:rPr>
          <w:rFonts w:ascii="Arial" w:cs="Arial" w:eastAsia="Arial" w:hAnsi="Arial"/>
          <w:sz w:val="20"/>
          <w:szCs w:val="20"/>
          <w:i w:val="1"/>
          <w:iCs w:val="1"/>
          <w:color w:val="auto"/>
        </w:rPr>
        <w:t>Corporate and Other segment</w:t>
      </w:r>
    </w:p>
    <w:p>
      <w:pPr>
        <w:spacing w:after="0" w:line="246"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Operating expense for the Corporate and Other segment increased $10.2 million to $46.9 million for 2023 compared with $36.7 million for 2022. The increase is primarily attributable to inflationary increases in wages and services, as well as increased headcount in order to support our revenue growth.</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2022 and 2021</w:t>
      </w:r>
    </w:p>
    <w:p>
      <w:pPr>
        <w:spacing w:after="0" w:line="248"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See the Management Discussion and Analysis section of our Annual Report on Form 10-K for the year ended December 31, 2022 for a discussion of business segment results of operations for the year ended December 31, 2022 compared to the year ended 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8"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247"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At December 31, 2023, the Company had working capital of $78.3 million, compared with $94.0 million at December 31, 2022. The ratio of current assets to current liabilities was 1.39 to 1.00 at December 31, 2023 as compared with a ratio of 1.64 to 1.00 at December 31, 2022.</w:t>
      </w:r>
    </w:p>
    <w:p>
      <w:pPr>
        <w:spacing w:after="0" w:line="249" w:lineRule="exact"/>
        <w:rPr>
          <w:sz w:val="20"/>
          <w:szCs w:val="20"/>
          <w:color w:val="auto"/>
        </w:rPr>
      </w:pPr>
    </w:p>
    <w:p>
      <w:pPr>
        <w:jc w:val="both"/>
        <w:ind w:right="60"/>
        <w:spacing w:after="0" w:line="234" w:lineRule="auto"/>
        <w:rPr>
          <w:sz w:val="20"/>
          <w:szCs w:val="20"/>
          <w:color w:val="auto"/>
        </w:rPr>
      </w:pPr>
      <w:r>
        <w:rPr>
          <w:rFonts w:ascii="Arial" w:cs="Arial" w:eastAsia="Arial" w:hAnsi="Arial"/>
          <w:sz w:val="20"/>
          <w:szCs w:val="20"/>
          <w:color w:val="auto"/>
        </w:rPr>
        <w:t>At December 31, 2023 and 2022, cash and cash equivalents totaled $54.8 million and $45.5 million, respectively. As of December 31, 2023 and 2022, $38.5 million and $31.7 million, respectively, of our cash and cash equivalents were held by non-U.S. subsidiaries, as well as being denominated in foreign currencies.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Debt consisted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746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65"/>
              <w:spacing w:after="0" w:line="172"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4"/>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r>
      <w:tr>
        <w:trPr>
          <w:trHeight w:val="217"/>
        </w:trPr>
        <w:tc>
          <w:tcPr>
            <w:tcW w:w="7460" w:type="dxa"/>
            <w:vAlign w:val="bottom"/>
            <w:gridSpan w:val="2"/>
          </w:tcPr>
          <w:p>
            <w:pPr>
              <w:spacing w:after="0" w:line="217" w:lineRule="exact"/>
              <w:rPr>
                <w:sz w:val="20"/>
                <w:szCs w:val="20"/>
                <w:color w:val="auto"/>
              </w:rPr>
            </w:pPr>
            <w:r>
              <w:rPr>
                <w:rFonts w:ascii="Arial" w:cs="Arial" w:eastAsia="Arial" w:hAnsi="Arial"/>
                <w:sz w:val="20"/>
                <w:szCs w:val="20"/>
                <w:color w:val="auto"/>
              </w:rPr>
              <w:t>Outstanding borrowings under Credit Facility</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7460" w:type="dxa"/>
            <w:vAlign w:val="bottom"/>
            <w:gridSpan w:val="2"/>
          </w:tcPr>
          <w:p>
            <w:pPr>
              <w:ind w:left="140"/>
              <w:spacing w:after="0" w:line="229" w:lineRule="exact"/>
              <w:rPr>
                <w:sz w:val="20"/>
                <w:szCs w:val="20"/>
                <w:color w:val="auto"/>
              </w:rPr>
            </w:pPr>
            <w:r>
              <w:rPr>
                <w:rFonts w:ascii="Arial" w:cs="Arial" w:eastAsia="Arial" w:hAnsi="Arial"/>
                <w:sz w:val="20"/>
                <w:szCs w:val="20"/>
                <w:color w:val="auto"/>
                <w:w w:val="95"/>
              </w:rPr>
              <w:t>Term loan payable in quarterly principal installments of $550 through September 2023,</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460" w:type="dxa"/>
            <w:vAlign w:val="bottom"/>
            <w:gridSpan w:val="2"/>
          </w:tcPr>
          <w:p>
            <w:pPr>
              <w:ind w:left="140"/>
              <w:spacing w:after="0" w:line="229" w:lineRule="exact"/>
              <w:rPr>
                <w:sz w:val="20"/>
                <w:szCs w:val="20"/>
                <w:color w:val="auto"/>
              </w:rPr>
            </w:pPr>
            <w:r>
              <w:rPr>
                <w:rFonts w:ascii="Arial" w:cs="Arial" w:eastAsia="Arial" w:hAnsi="Arial"/>
                <w:sz w:val="20"/>
                <w:szCs w:val="20"/>
                <w:color w:val="auto"/>
                <w:w w:val="94"/>
              </w:rPr>
              <w:t>$825 through September 2025 and $1,100 thereafter with balance due upon maturity in</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460" w:type="dxa"/>
            <w:vAlign w:val="bottom"/>
            <w:gridSpan w:val="2"/>
          </w:tcPr>
          <w:p>
            <w:pPr>
              <w:ind w:left="140"/>
              <w:spacing w:after="0" w:line="229" w:lineRule="exact"/>
              <w:rPr>
                <w:sz w:val="20"/>
                <w:szCs w:val="20"/>
                <w:color w:val="auto"/>
              </w:rPr>
            </w:pPr>
            <w:r>
              <w:rPr>
                <w:rFonts w:ascii="Arial" w:cs="Arial" w:eastAsia="Arial" w:hAnsi="Arial"/>
                <w:sz w:val="20"/>
                <w:szCs w:val="20"/>
                <w:color w:val="auto"/>
              </w:rPr>
              <w:t>December 2026.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440" w:type="dxa"/>
            <w:vAlign w:val="bottom"/>
            <w:shd w:val="clear" w:color="auto" w:fill="E9E9E9"/>
          </w:tcPr>
          <w:p>
            <w:pPr>
              <w:ind w:left="200"/>
              <w:spacing w:after="0" w:line="226" w:lineRule="exact"/>
              <w:rPr>
                <w:sz w:val="20"/>
                <w:szCs w:val="20"/>
                <w:color w:val="auto"/>
              </w:rPr>
            </w:pPr>
            <w:r>
              <w:rPr>
                <w:rFonts w:ascii="Arial" w:cs="Arial" w:eastAsia="Arial" w:hAnsi="Arial"/>
                <w:sz w:val="20"/>
                <w:szCs w:val="20"/>
                <w:color w:val="auto"/>
              </w:rPr>
              <w:t>– Term loan</w:t>
            </w: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w w:val="71"/>
                <w:shd w:val="clear" w:color="auto" w:fill="E9E9E9"/>
              </w:rPr>
              <w:t>$</w:t>
            </w:r>
          </w:p>
        </w:tc>
        <w:tc>
          <w:tcPr>
            <w:tcW w:w="132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112,424</w:t>
            </w:r>
          </w:p>
        </w:tc>
        <w:tc>
          <w:tcPr>
            <w:tcW w:w="220" w:type="dxa"/>
            <w:vAlign w:val="bottom"/>
            <w:shd w:val="clear" w:color="auto" w:fill="E9E9E9"/>
          </w:tcPr>
          <w:p>
            <w:pPr>
              <w:spacing w:after="0"/>
              <w:rPr>
                <w:sz w:val="19"/>
                <w:szCs w:val="19"/>
                <w:color w:val="auto"/>
              </w:rPr>
            </w:pPr>
          </w:p>
        </w:tc>
        <w:tc>
          <w:tcPr>
            <w:tcW w:w="460" w:type="dxa"/>
            <w:vAlign w:val="bottom"/>
            <w:shd w:val="clear" w:color="auto" w:fill="E9E9E9"/>
          </w:tcPr>
          <w:p>
            <w:pPr>
              <w:jc w:val="right"/>
              <w:ind w:right="261"/>
              <w:spacing w:after="0" w:line="226" w:lineRule="exact"/>
              <w:rPr>
                <w:sz w:val="20"/>
                <w:szCs w:val="20"/>
                <w:color w:val="auto"/>
              </w:rPr>
            </w:pPr>
            <w:r>
              <w:rPr>
                <w:rFonts w:ascii="Arial" w:cs="Arial" w:eastAsia="Arial" w:hAnsi="Arial"/>
                <w:sz w:val="20"/>
                <w:szCs w:val="20"/>
                <w:color w:val="auto"/>
                <w:w w:val="71"/>
                <w:shd w:val="clear" w:color="auto" w:fill="E9E9E9"/>
              </w:rPr>
              <w:t>$</w:t>
            </w:r>
          </w:p>
        </w:tc>
        <w:tc>
          <w:tcPr>
            <w:tcW w:w="100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41,309</w:t>
            </w:r>
          </w:p>
        </w:tc>
        <w:tc>
          <w:tcPr>
            <w:tcW w:w="100" w:type="dxa"/>
            <w:vAlign w:val="bottom"/>
            <w:shd w:val="clear" w:color="auto" w:fill="E9E9E9"/>
          </w:tcPr>
          <w:p>
            <w:pPr>
              <w:spacing w:after="0"/>
              <w:rPr>
                <w:sz w:val="19"/>
                <w:szCs w:val="19"/>
                <w:color w:val="auto"/>
              </w:rPr>
            </w:pPr>
          </w:p>
        </w:tc>
      </w:tr>
      <w:tr>
        <w:trPr>
          <w:trHeight w:val="228"/>
        </w:trPr>
        <w:tc>
          <w:tcPr>
            <w:tcW w:w="7460" w:type="dxa"/>
            <w:vAlign w:val="bottom"/>
            <w:gridSpan w:val="2"/>
          </w:tcPr>
          <w:p>
            <w:pPr>
              <w:ind w:left="200"/>
              <w:spacing w:after="0" w:line="228" w:lineRule="exact"/>
              <w:rPr>
                <w:sz w:val="20"/>
                <w:szCs w:val="20"/>
                <w:color w:val="auto"/>
              </w:rPr>
            </w:pPr>
            <w:r>
              <w:rPr>
                <w:rFonts w:ascii="Arial" w:cs="Arial" w:eastAsia="Arial" w:hAnsi="Arial"/>
                <w:sz w:val="20"/>
                <w:szCs w:val="20"/>
                <w:color w:val="auto"/>
              </w:rPr>
              <w:t>– Revolving Credit Loan</w:t>
            </w:r>
          </w:p>
        </w:tc>
        <w:tc>
          <w:tcPr>
            <w:tcW w:w="120" w:type="dxa"/>
            <w:vAlign w:val="bottom"/>
          </w:tcPr>
          <w:p>
            <w:pPr>
              <w:spacing w:after="0"/>
              <w:rPr>
                <w:sz w:val="19"/>
                <w:szCs w:val="19"/>
                <w:color w:val="auto"/>
              </w:rPr>
            </w:pPr>
          </w:p>
        </w:tc>
        <w:tc>
          <w:tcPr>
            <w:tcW w:w="1320" w:type="dxa"/>
            <w:vAlign w:val="bottom"/>
          </w:tcPr>
          <w:p>
            <w:pPr>
              <w:jc w:val="right"/>
              <w:spacing w:after="0" w:line="228" w:lineRule="exact"/>
              <w:rPr>
                <w:sz w:val="20"/>
                <w:szCs w:val="20"/>
                <w:color w:val="auto"/>
              </w:rPr>
            </w:pPr>
            <w:r>
              <w:rPr>
                <w:rFonts w:ascii="Arial" w:cs="Arial" w:eastAsia="Arial" w:hAnsi="Arial"/>
                <w:sz w:val="20"/>
                <w:szCs w:val="20"/>
                <w:color w:val="auto"/>
              </w:rPr>
              <w:t>17,300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61,300</w:t>
            </w:r>
          </w:p>
        </w:tc>
      </w:tr>
      <w:tr>
        <w:trPr>
          <w:trHeight w:val="218"/>
        </w:trPr>
        <w:tc>
          <w:tcPr>
            <w:tcW w:w="744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Total outstanding borrowings under the Credit Facility</w:t>
            </w: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3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129,724</w:t>
            </w:r>
          </w:p>
        </w:tc>
        <w:tc>
          <w:tcPr>
            <w:tcW w:w="220" w:type="dxa"/>
            <w:vAlign w:val="bottom"/>
            <w:tcBorders>
              <w:top w:val="single" w:sz="8" w:color="E9E9E9"/>
            </w:tcBorders>
            <w:shd w:val="clear" w:color="auto" w:fill="E9E9E9"/>
          </w:tcPr>
          <w:p>
            <w:pPr>
              <w:spacing w:after="0"/>
              <w:rPr>
                <w:sz w:val="18"/>
                <w:szCs w:val="18"/>
                <w:color w:val="auto"/>
              </w:rPr>
            </w:pPr>
          </w:p>
        </w:tc>
        <w:tc>
          <w:tcPr>
            <w:tcW w:w="460" w:type="dxa"/>
            <w:vAlign w:val="bottom"/>
            <w:tcBorders>
              <w:top w:val="single" w:sz="8" w:color="auto"/>
            </w:tcBorders>
            <w:shd w:val="clear" w:color="auto" w:fill="E9E9E9"/>
          </w:tcPr>
          <w:p>
            <w:pPr>
              <w:spacing w:after="0"/>
              <w:rPr>
                <w:sz w:val="18"/>
                <w:szCs w:val="18"/>
                <w:color w:val="auto"/>
              </w:rPr>
            </w:pPr>
          </w:p>
        </w:tc>
        <w:tc>
          <w:tcPr>
            <w:tcW w:w="10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102,609</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7460" w:type="dxa"/>
            <w:vAlign w:val="bottom"/>
            <w:gridSpan w:val="2"/>
          </w:tcPr>
          <w:p>
            <w:pPr>
              <w:spacing w:after="0" w:line="228" w:lineRule="exact"/>
              <w:rPr>
                <w:sz w:val="20"/>
                <w:szCs w:val="20"/>
                <w:color w:val="auto"/>
              </w:rPr>
            </w:pPr>
            <w:r>
              <w:rPr>
                <w:rFonts w:ascii="Arial" w:cs="Arial" w:eastAsia="Arial" w:hAnsi="Arial"/>
                <w:sz w:val="20"/>
                <w:szCs w:val="20"/>
                <w:color w:val="auto"/>
              </w:rPr>
              <w:t>Outstanding borrowings under the joint venture term debt</w:t>
            </w:r>
          </w:p>
        </w:tc>
        <w:tc>
          <w:tcPr>
            <w:tcW w:w="120" w:type="dxa"/>
            <w:vAlign w:val="bottom"/>
          </w:tcPr>
          <w:p>
            <w:pPr>
              <w:spacing w:after="0"/>
              <w:rPr>
                <w:sz w:val="19"/>
                <w:szCs w:val="19"/>
                <w:color w:val="auto"/>
              </w:rPr>
            </w:pPr>
          </w:p>
        </w:tc>
        <w:tc>
          <w:tcPr>
            <w:tcW w:w="1320" w:type="dxa"/>
            <w:vAlign w:val="bottom"/>
          </w:tcPr>
          <w:p>
            <w:pPr>
              <w:jc w:val="right"/>
              <w:spacing w:after="0" w:line="228" w:lineRule="exact"/>
              <w:rPr>
                <w:sz w:val="20"/>
                <w:szCs w:val="20"/>
                <w:color w:val="auto"/>
              </w:rPr>
            </w:pPr>
            <w:r>
              <w:rPr>
                <w:rFonts w:ascii="Arial" w:cs="Arial" w:eastAsia="Arial" w:hAnsi="Arial"/>
                <w:sz w:val="20"/>
                <w:szCs w:val="20"/>
                <w:color w:val="auto"/>
              </w:rPr>
              <w:t>8,855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10,083</w:t>
            </w:r>
          </w:p>
        </w:tc>
      </w:tr>
      <w:tr>
        <w:trPr>
          <w:trHeight w:val="228"/>
        </w:trPr>
        <w:tc>
          <w:tcPr>
            <w:tcW w:w="74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Unamortized debt discount</w:t>
            </w: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(1,296</w:t>
            </w:r>
          </w:p>
        </w:tc>
        <w:tc>
          <w:tcPr>
            <w:tcW w:w="220" w:type="dxa"/>
            <w:vAlign w:val="bottom"/>
            <w:shd w:val="clear" w:color="auto" w:fill="E9E9E9"/>
          </w:tcPr>
          <w:p>
            <w:pPr>
              <w:jc w:val="right"/>
              <w:ind w:right="41"/>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460" w:type="dxa"/>
            <w:vAlign w:val="bottom"/>
            <w:tcBorders>
              <w:bottom w:val="single" w:sz="8" w:color="auto"/>
            </w:tcBorders>
            <w:shd w:val="clear" w:color="auto" w:fill="E9E9E9"/>
          </w:tcPr>
          <w:p>
            <w:pPr>
              <w:spacing w:after="0"/>
              <w:rPr>
                <w:sz w:val="19"/>
                <w:szCs w:val="19"/>
                <w:color w:val="auto"/>
              </w:rPr>
            </w:pPr>
          </w:p>
        </w:tc>
        <w:tc>
          <w:tcPr>
            <w:tcW w:w="10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(1,488)</w:t>
            </w:r>
          </w:p>
        </w:tc>
        <w:tc>
          <w:tcPr>
            <w:tcW w:w="100" w:type="dxa"/>
            <w:vAlign w:val="bottom"/>
            <w:shd w:val="clear" w:color="auto" w:fill="E9E9E9"/>
          </w:tcPr>
          <w:p>
            <w:pPr>
              <w:spacing w:after="0"/>
              <w:rPr>
                <w:sz w:val="19"/>
                <w:szCs w:val="19"/>
                <w:color w:val="auto"/>
              </w:rPr>
            </w:pPr>
          </w:p>
        </w:tc>
      </w:tr>
      <w:tr>
        <w:trPr>
          <w:trHeight w:val="218"/>
        </w:trPr>
        <w:tc>
          <w:tcPr>
            <w:tcW w:w="7460" w:type="dxa"/>
            <w:vAlign w:val="bottom"/>
            <w:gridSpan w:val="2"/>
          </w:tcPr>
          <w:p>
            <w:pPr>
              <w:spacing w:after="0" w:line="217" w:lineRule="exact"/>
              <w:rPr>
                <w:sz w:val="20"/>
                <w:szCs w:val="20"/>
                <w:color w:val="auto"/>
              </w:rPr>
            </w:pPr>
            <w:r>
              <w:rPr>
                <w:rFonts w:ascii="Arial" w:cs="Arial" w:eastAsia="Arial" w:hAnsi="Arial"/>
                <w:sz w:val="20"/>
                <w:szCs w:val="20"/>
                <w:color w:val="auto"/>
              </w:rPr>
              <w:t>Total outstanding borrowings</w:t>
            </w:r>
          </w:p>
        </w:tc>
        <w:tc>
          <w:tcPr>
            <w:tcW w:w="120" w:type="dxa"/>
            <w:vAlign w:val="bottom"/>
          </w:tcPr>
          <w:p>
            <w:pPr>
              <w:spacing w:after="0"/>
              <w:rPr>
                <w:sz w:val="18"/>
                <w:szCs w:val="18"/>
                <w:color w:val="auto"/>
              </w:rPr>
            </w:pPr>
          </w:p>
        </w:tc>
        <w:tc>
          <w:tcPr>
            <w:tcW w:w="1320" w:type="dxa"/>
            <w:vAlign w:val="bottom"/>
          </w:tcPr>
          <w:p>
            <w:pPr>
              <w:jc w:val="right"/>
              <w:spacing w:after="0" w:line="217" w:lineRule="exact"/>
              <w:rPr>
                <w:sz w:val="20"/>
                <w:szCs w:val="20"/>
                <w:color w:val="auto"/>
              </w:rPr>
            </w:pPr>
            <w:r>
              <w:rPr>
                <w:rFonts w:ascii="Arial" w:cs="Arial" w:eastAsia="Arial" w:hAnsi="Arial"/>
                <w:sz w:val="20"/>
                <w:szCs w:val="20"/>
                <w:color w:val="auto"/>
              </w:rPr>
              <w:t>137,283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111,204</w:t>
            </w:r>
          </w:p>
        </w:tc>
      </w:tr>
      <w:tr>
        <w:trPr>
          <w:trHeight w:val="228"/>
        </w:trPr>
        <w:tc>
          <w:tcPr>
            <w:tcW w:w="7440" w:type="dxa"/>
            <w:vAlign w:val="bottom"/>
            <w:shd w:val="clear" w:color="auto" w:fill="E9E9E9"/>
          </w:tcPr>
          <w:p>
            <w:pPr>
              <w:ind w:left="140"/>
              <w:spacing w:after="0" w:line="228" w:lineRule="exact"/>
              <w:rPr>
                <w:sz w:val="20"/>
                <w:szCs w:val="20"/>
                <w:color w:val="auto"/>
              </w:rPr>
            </w:pPr>
            <w:r>
              <w:rPr>
                <w:rFonts w:ascii="Arial" w:cs="Arial" w:eastAsia="Arial" w:hAnsi="Arial"/>
                <w:sz w:val="20"/>
                <w:szCs w:val="20"/>
                <w:color w:val="auto"/>
              </w:rPr>
              <w:t>Less: current portion</w:t>
            </w: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(10,488)</w:t>
            </w:r>
          </w:p>
        </w:tc>
        <w:tc>
          <w:tcPr>
            <w:tcW w:w="220" w:type="dxa"/>
            <w:vAlign w:val="bottom"/>
            <w:shd w:val="clear" w:color="auto" w:fill="E9E9E9"/>
          </w:tcPr>
          <w:p>
            <w:pPr>
              <w:spacing w:after="0"/>
              <w:rPr>
                <w:sz w:val="19"/>
                <w:szCs w:val="19"/>
                <w:color w:val="auto"/>
              </w:rPr>
            </w:pPr>
          </w:p>
        </w:tc>
        <w:tc>
          <w:tcPr>
            <w:tcW w:w="460" w:type="dxa"/>
            <w:vAlign w:val="bottom"/>
            <w:tcBorders>
              <w:bottom w:val="single" w:sz="8" w:color="auto"/>
            </w:tcBorders>
            <w:shd w:val="clear" w:color="auto" w:fill="E9E9E9"/>
          </w:tcPr>
          <w:p>
            <w:pPr>
              <w:spacing w:after="0"/>
              <w:rPr>
                <w:sz w:val="19"/>
                <w:szCs w:val="19"/>
                <w:color w:val="auto"/>
              </w:rPr>
            </w:pPr>
          </w:p>
        </w:tc>
        <w:tc>
          <w:tcPr>
            <w:tcW w:w="10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(3,579)</w:t>
            </w:r>
          </w:p>
        </w:tc>
        <w:tc>
          <w:tcPr>
            <w:tcW w:w="100" w:type="dxa"/>
            <w:vAlign w:val="bottom"/>
            <w:shd w:val="clear" w:color="auto" w:fill="E9E9E9"/>
          </w:tcPr>
          <w:p>
            <w:pPr>
              <w:spacing w:after="0"/>
              <w:rPr>
                <w:sz w:val="19"/>
                <w:szCs w:val="19"/>
                <w:color w:val="auto"/>
              </w:rPr>
            </w:pPr>
          </w:p>
        </w:tc>
      </w:tr>
      <w:tr>
        <w:trPr>
          <w:trHeight w:val="218"/>
        </w:trPr>
        <w:tc>
          <w:tcPr>
            <w:tcW w:w="7460" w:type="dxa"/>
            <w:vAlign w:val="bottom"/>
            <w:gridSpan w:val="2"/>
          </w:tcPr>
          <w:p>
            <w:pPr>
              <w:spacing w:after="0" w:line="217" w:lineRule="exact"/>
              <w:rPr>
                <w:sz w:val="20"/>
                <w:szCs w:val="20"/>
                <w:color w:val="auto"/>
              </w:rPr>
            </w:pPr>
            <w:r>
              <w:rPr>
                <w:rFonts w:ascii="Arial" w:cs="Arial" w:eastAsia="Arial" w:hAnsi="Arial"/>
                <w:sz w:val="20"/>
                <w:szCs w:val="20"/>
                <w:color w:val="auto"/>
              </w:rPr>
              <w:t>Total debt, less current portion</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line="217" w:lineRule="exact"/>
              <w:rPr>
                <w:sz w:val="20"/>
                <w:szCs w:val="20"/>
                <w:color w:val="auto"/>
              </w:rPr>
            </w:pPr>
            <w:r>
              <w:rPr>
                <w:rFonts w:ascii="Arial" w:cs="Arial" w:eastAsia="Arial" w:hAnsi="Arial"/>
                <w:sz w:val="20"/>
                <w:szCs w:val="20"/>
                <w:color w:val="auto"/>
              </w:rPr>
              <w:t>126,795</w:t>
            </w:r>
          </w:p>
        </w:tc>
        <w:tc>
          <w:tcPr>
            <w:tcW w:w="220" w:type="dxa"/>
            <w:vAlign w:val="bottom"/>
          </w:tcPr>
          <w:p>
            <w:pPr>
              <w:spacing w:after="0"/>
              <w:rPr>
                <w:sz w:val="18"/>
                <w:szCs w:val="18"/>
                <w:color w:val="auto"/>
              </w:rPr>
            </w:pPr>
          </w:p>
        </w:tc>
        <w:tc>
          <w:tcPr>
            <w:tcW w:w="460" w:type="dxa"/>
            <w:vAlign w:val="bottom"/>
          </w:tcPr>
          <w:p>
            <w:pPr>
              <w:jc w:val="right"/>
              <w:ind w:right="261"/>
              <w:spacing w:after="0" w:line="217" w:lineRule="exact"/>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107,625</w:t>
            </w: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-1906905</wp:posOffset>
                </wp:positionV>
                <wp:extent cx="7112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50.1499pt" to="534.4pt,-150.1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-1784985</wp:posOffset>
                </wp:positionV>
                <wp:extent cx="7112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40.5499pt" to="534.4pt,-140.5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-470535</wp:posOffset>
                </wp:positionV>
                <wp:extent cx="7112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37.0499pt" to="534.4pt,-37.0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-174625</wp:posOffset>
                </wp:positionV>
                <wp:extent cx="7112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3.7499pt" to="534.4pt,-13.7499pt" o:allowincell="f" strokecolor="#FFFFFF" strokeweight="0.4751pt"/>
            </w:pict>
          </mc:Fallback>
        </mc:AlternateContent>
      </w:r>
    </w:p>
    <w:p>
      <w:pPr>
        <w:spacing w:after="0" w:line="109"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In 2023, the Company made repayments of $44.0 million on the revolving credit line and $1.2 million on the joint venture term debt, with net borrowings of $71.1 million on the term loan</w:t>
      </w:r>
      <w:r>
        <w:rPr>
          <w:rFonts w:ascii="Arial" w:cs="Arial" w:eastAsia="Arial" w:hAnsi="Arial"/>
          <w:sz w:val="20"/>
          <w:szCs w:val="20"/>
          <w:color w:val="292929"/>
        </w:rPr>
        <w: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Facility</w:t>
      </w:r>
    </w:p>
    <w:p>
      <w:pPr>
        <w:spacing w:after="0" w:line="24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w:t>
      </w:r>
    </w:p>
    <w:p>
      <w:pPr>
        <w:spacing w:after="0" w:line="215" w:lineRule="exact"/>
        <w:rPr>
          <w:sz w:val="20"/>
          <w:szCs w:val="20"/>
          <w:color w:val="auto"/>
        </w:rPr>
      </w:pPr>
    </w:p>
    <w:p>
      <w:pPr>
        <w:ind w:right="80"/>
        <w:spacing w:after="0" w:line="249" w:lineRule="auto"/>
        <w:rPr>
          <w:sz w:val="20"/>
          <w:szCs w:val="20"/>
          <w:color w:val="auto"/>
        </w:rPr>
      </w:pPr>
      <w:r>
        <w:rPr>
          <w:rFonts w:ascii="Arial" w:cs="Arial" w:eastAsia="Arial" w:hAnsi="Arial"/>
          <w:sz w:val="19"/>
          <w:szCs w:val="19"/>
          <w:color w:val="auto"/>
        </w:rPr>
        <w:t>On October 30, 2023, the Company entered into Amendment No. 4 to the Second Amended and Restated Credit Agreement. Pursuant to this amendment, the lenders provided an additional term loan in the aggregate principal amount of $75.0 million.</w:t>
      </w:r>
    </w:p>
    <w:p>
      <w:pPr>
        <w:spacing w:after="0" w:line="240"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Under the terms of the Credit Facility, the Company is required to maintain certain financial covenants, including the maintenance of a Consolidated Net Leverage Ratio (as defined in the Credit Facility). In the third quarter of 2023, the Company entered into an Elevated Ratio Period resulting in a maximum Consolidated Net Leverage Ratio of 4.00 through June 30, 2024, after which time it will decrease to 3.50 until the end of the term of the Credit Facility.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10680"/>
          </w:cols>
          <w:pgMar w:left="600" w:top="837" w:right="600" w:bottom="46" w:gutter="0" w:footer="0" w:header="0"/>
        </w:sectPr>
      </w:pPr>
    </w:p>
    <w:bookmarkStart w:id="43" w:name="page44"/>
    <w:bookmarkEnd w:id="43"/>
    <w:p>
      <w:pPr>
        <w:ind w:right="220"/>
        <w:spacing w:after="0" w:line="232" w:lineRule="auto"/>
        <w:rPr>
          <w:sz w:val="20"/>
          <w:szCs w:val="20"/>
          <w:color w:val="auto"/>
        </w:rPr>
      </w:pPr>
      <w:r>
        <w:rPr>
          <w:rFonts w:ascii="Arial" w:cs="Arial" w:eastAsia="Arial" w:hAnsi="Arial"/>
          <w:sz w:val="20"/>
          <w:szCs w:val="20"/>
          <w:color w:val="auto"/>
        </w:rPr>
        <w:t>As of December 31, 2023 and 2022, the Company was in compliance with all related financial and other restrictive covenants under the Credit Facility.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Joint Venture Debt</w:t>
      </w:r>
    </w:p>
    <w:p>
      <w:pPr>
        <w:spacing w:after="0" w:line="248"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to the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Debt</w:t>
      </w:r>
    </w:p>
    <w:p>
      <w:pPr>
        <w:spacing w:after="0" w:line="246"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 for further information on the Company’s debt facilities.</w:t>
      </w:r>
    </w:p>
    <w:p>
      <w:pPr>
        <w:spacing w:after="0" w:line="248" w:lineRule="exact"/>
        <w:rPr>
          <w:sz w:val="20"/>
          <w:szCs w:val="20"/>
          <w:color w:val="auto"/>
        </w:rPr>
      </w:pPr>
    </w:p>
    <w:p>
      <w:pPr>
        <w:ind w:right="740"/>
        <w:spacing w:after="0" w:line="232" w:lineRule="auto"/>
        <w:rPr>
          <w:sz w:val="20"/>
          <w:szCs w:val="20"/>
          <w:color w:val="auto"/>
        </w:rPr>
      </w:pPr>
      <w:r>
        <w:rPr>
          <w:rFonts w:ascii="Arial" w:cs="Arial" w:eastAsia="Arial" w:hAnsi="Arial"/>
          <w:sz w:val="20"/>
          <w:szCs w:val="20"/>
          <w:color w:val="auto"/>
        </w:rPr>
        <w:t>Total unused credit availability under our Credit Facility and other non-U.S. credit facilities and agreements, exclusive of any potential asset base limitations,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780" w:type="dxa"/>
            <w:vAlign w:val="bottom"/>
            <w:tcBorders>
              <w:bottom w:val="single" w:sz="8" w:color="E9E9E9"/>
            </w:tcBorders>
          </w:tcPr>
          <w:p>
            <w:pPr>
              <w:spacing w:after="0"/>
              <w:rPr>
                <w:sz w:val="14"/>
                <w:szCs w:val="14"/>
                <w:color w:val="auto"/>
              </w:rPr>
            </w:pPr>
          </w:p>
        </w:tc>
        <w:tc>
          <w:tcPr>
            <w:tcW w:w="100" w:type="dxa"/>
            <w:vAlign w:val="bottom"/>
            <w:tcBorders>
              <w:bottom w:val="single" w:sz="8" w:color="E9E9E9"/>
            </w:tcBorders>
          </w:tcPr>
          <w:p>
            <w:pPr>
              <w:spacing w:after="0"/>
              <w:rPr>
                <w:sz w:val="14"/>
                <w:szCs w:val="14"/>
                <w:color w:val="auto"/>
              </w:rPr>
            </w:pPr>
          </w:p>
        </w:tc>
        <w:tc>
          <w:tcPr>
            <w:tcW w:w="120" w:type="dxa"/>
            <w:vAlign w:val="bottom"/>
            <w:tcBorders>
              <w:bottom w:val="single" w:sz="8" w:color="E9E9E9"/>
            </w:tcBorders>
          </w:tcPr>
          <w:p>
            <w:pPr>
              <w:spacing w:after="0"/>
              <w:rPr>
                <w:sz w:val="14"/>
                <w:szCs w:val="14"/>
                <w:color w:val="auto"/>
              </w:rPr>
            </w:pPr>
          </w:p>
        </w:tc>
        <w:tc>
          <w:tcPr>
            <w:tcW w:w="1300" w:type="dxa"/>
            <w:vAlign w:val="bottom"/>
            <w:tcBorders>
              <w:bottom w:val="single" w:sz="8" w:color="E9E9E9"/>
            </w:tcBorders>
          </w:tcPr>
          <w:p>
            <w:pPr>
              <w:spacing w:after="0"/>
              <w:rPr>
                <w:sz w:val="14"/>
                <w:szCs w:val="14"/>
                <w:color w:val="auto"/>
              </w:rPr>
            </w:pPr>
          </w:p>
        </w:tc>
        <w:tc>
          <w:tcPr>
            <w:tcW w:w="14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6"/>
              <w:spacing w:after="0" w:line="172" w:lineRule="exact"/>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E9E9E9"/>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c>
          <w:tcPr>
            <w:tcW w:w="140" w:type="dxa"/>
            <w:vAlign w:val="bottom"/>
            <w:tcBorders>
              <w:bottom w:val="single" w:sz="8" w:color="E9E9E9"/>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5"/>
              <w:spacing w:after="0" w:line="172"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E9E9E9"/>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shd w:val="clear" w:color="auto" w:fill="E9E9E9"/>
          </w:tcPr>
          <w:p>
            <w:pPr>
              <w:spacing w:after="0" w:line="172" w:lineRule="exact"/>
              <w:rPr>
                <w:sz w:val="20"/>
                <w:szCs w:val="20"/>
                <w:color w:val="auto"/>
              </w:rPr>
            </w:pPr>
            <w:r>
              <w:rPr>
                <w:rFonts w:ascii="Arial" w:cs="Arial" w:eastAsia="Arial" w:hAnsi="Arial"/>
                <w:sz w:val="16"/>
                <w:szCs w:val="16"/>
                <w:b w:val="1"/>
                <w:bCs w:val="1"/>
                <w:color w:val="auto"/>
              </w:rPr>
              <w:t>(dollars in millions)</w:t>
            </w:r>
          </w:p>
        </w:tc>
        <w:tc>
          <w:tcPr>
            <w:tcW w:w="10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130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12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40" w:type="dxa"/>
            <w:vAlign w:val="bottom"/>
            <w:tcBorders>
              <w:right w:val="single" w:sz="8" w:color="E9E9E9"/>
            </w:tcBorders>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40" w:type="dxa"/>
            <w:vAlign w:val="bottom"/>
            <w:shd w:val="clear" w:color="auto" w:fill="E9E9E9"/>
          </w:tcPr>
          <w:p>
            <w:pPr>
              <w:spacing w:after="0"/>
              <w:rPr>
                <w:sz w:val="14"/>
                <w:szCs w:val="14"/>
                <w:color w:val="auto"/>
              </w:rPr>
            </w:pPr>
          </w:p>
        </w:tc>
        <w:tc>
          <w:tcPr>
            <w:tcW w:w="100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Credit Facility, revolving loans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spacing w:after="0" w:line="228" w:lineRule="exact"/>
              <w:rPr>
                <w:sz w:val="20"/>
                <w:szCs w:val="20"/>
                <w:color w:val="auto"/>
              </w:rPr>
            </w:pPr>
            <w:r>
              <w:rPr>
                <w:rFonts w:ascii="Arial" w:cs="Arial" w:eastAsia="Arial" w:hAnsi="Arial"/>
                <w:sz w:val="20"/>
                <w:szCs w:val="20"/>
                <w:color w:val="auto"/>
                <w:w w:val="71"/>
              </w:rPr>
              <w:t>$</w:t>
            </w:r>
          </w:p>
        </w:tc>
        <w:tc>
          <w:tcPr>
            <w:tcW w:w="1260" w:type="dxa"/>
            <w:vAlign w:val="bottom"/>
          </w:tcPr>
          <w:p>
            <w:pPr>
              <w:jc w:val="right"/>
              <w:spacing w:after="0" w:line="228" w:lineRule="exact"/>
              <w:rPr>
                <w:sz w:val="20"/>
                <w:szCs w:val="20"/>
                <w:color w:val="auto"/>
              </w:rPr>
            </w:pPr>
            <w:r>
              <w:rPr>
                <w:rFonts w:ascii="Arial" w:cs="Arial" w:eastAsia="Arial" w:hAnsi="Arial"/>
                <w:sz w:val="20"/>
                <w:szCs w:val="20"/>
                <w:color w:val="auto"/>
              </w:rPr>
              <w:t>140.0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color w:val="auto"/>
              </w:rPr>
              <w:t>140.0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Draw down</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6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(17.3</w:t>
            </w:r>
          </w:p>
        </w:tc>
        <w:tc>
          <w:tcPr>
            <w:tcW w:w="120" w:type="dxa"/>
            <w:vAlign w:val="bottom"/>
            <w:gridSpan w:val="2"/>
            <w:shd w:val="clear" w:color="auto" w:fill="E9E9E9"/>
          </w:tcPr>
          <w:p>
            <w:pPr>
              <w:jc w:val="right"/>
              <w:ind w:right="40"/>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140" w:type="dxa"/>
            <w:vAlign w:val="bottom"/>
            <w:tcBorders>
              <w:right w:val="single" w:sz="8" w:color="E9E9E9"/>
            </w:tcBorders>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(61.3)</w:t>
            </w:r>
          </w:p>
        </w:tc>
        <w:tc>
          <w:tcPr>
            <w:tcW w:w="0" w:type="dxa"/>
            <w:vAlign w:val="bottom"/>
          </w:tcPr>
          <w:p>
            <w:pPr>
              <w:spacing w:after="0"/>
              <w:rPr>
                <w:sz w:val="1"/>
                <w:szCs w:val="1"/>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Letters of credit open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(13.3)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(18.9)</w:t>
            </w:r>
          </w:p>
        </w:tc>
        <w:tc>
          <w:tcPr>
            <w:tcW w:w="0" w:type="dxa"/>
            <w:vAlign w:val="bottom"/>
          </w:tcPr>
          <w:p>
            <w:pPr>
              <w:spacing w:after="0"/>
              <w:rPr>
                <w:sz w:val="1"/>
                <w:szCs w:val="1"/>
                <w:color w:val="auto"/>
              </w:rPr>
            </w:pPr>
          </w:p>
        </w:tc>
      </w:tr>
      <w:tr>
        <w:trPr>
          <w:trHeight w:val="236"/>
        </w:trPr>
        <w:tc>
          <w:tcPr>
            <w:tcW w:w="5780" w:type="dxa"/>
            <w:vAlign w:val="bottom"/>
            <w:tcBorders>
              <w:top w:val="single" w:sz="8" w:color="E9E9E9"/>
            </w:tcBorders>
            <w:shd w:val="clear" w:color="auto" w:fill="E9E9E9"/>
          </w:tcPr>
          <w:p>
            <w:pPr>
              <w:spacing w:after="0" w:line="216" w:lineRule="exact"/>
              <w:rPr>
                <w:sz w:val="20"/>
                <w:szCs w:val="20"/>
                <w:color w:val="auto"/>
              </w:rPr>
            </w:pPr>
            <w:r>
              <w:rPr>
                <w:rFonts w:ascii="Arial" w:cs="Arial" w:eastAsia="Arial" w:hAnsi="Arial"/>
                <w:sz w:val="20"/>
                <w:szCs w:val="20"/>
                <w:color w:val="auto"/>
              </w:rPr>
              <w:t>Total unused credit availability</w:t>
            </w:r>
          </w:p>
        </w:tc>
        <w:tc>
          <w:tcPr>
            <w:tcW w:w="100" w:type="dxa"/>
            <w:vAlign w:val="bottom"/>
            <w:tcBorders>
              <w:top w:val="single" w:sz="8" w:color="E9E9E9"/>
            </w:tcBorders>
            <w:shd w:val="clear" w:color="auto" w:fill="E9E9E9"/>
          </w:tcPr>
          <w:p>
            <w:pPr>
              <w:spacing w:after="0"/>
              <w:rPr>
                <w:sz w:val="20"/>
                <w:szCs w:val="20"/>
                <w:color w:val="auto"/>
              </w:rPr>
            </w:pPr>
          </w:p>
        </w:tc>
        <w:tc>
          <w:tcPr>
            <w:tcW w:w="120" w:type="dxa"/>
            <w:vAlign w:val="bottom"/>
            <w:tcBorders>
              <w:top w:val="single" w:sz="8" w:color="E9E9E9"/>
            </w:tcBorders>
            <w:shd w:val="clear" w:color="auto" w:fill="E9E9E9"/>
          </w:tcPr>
          <w:p>
            <w:pPr>
              <w:spacing w:after="0"/>
              <w:rPr>
                <w:sz w:val="20"/>
                <w:szCs w:val="20"/>
                <w:color w:val="auto"/>
              </w:rPr>
            </w:pPr>
          </w:p>
        </w:tc>
        <w:tc>
          <w:tcPr>
            <w:tcW w:w="1300" w:type="dxa"/>
            <w:vAlign w:val="bottom"/>
            <w:tcBorders>
              <w:top w:val="single" w:sz="8" w:color="E9E9E9"/>
            </w:tcBorders>
            <w:shd w:val="clear" w:color="auto" w:fill="E9E9E9"/>
          </w:tcPr>
          <w:p>
            <w:pPr>
              <w:spacing w:after="0"/>
              <w:rPr>
                <w:sz w:val="20"/>
                <w:szCs w:val="20"/>
                <w:color w:val="auto"/>
              </w:rPr>
            </w:pPr>
          </w:p>
        </w:tc>
        <w:tc>
          <w:tcPr>
            <w:tcW w:w="14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180" w:type="dxa"/>
            <w:vAlign w:val="bottom"/>
            <w:tcBorders>
              <w:top w:val="single" w:sz="8" w:color="auto"/>
              <w:bottom w:val="single" w:sz="8" w:color="auto"/>
            </w:tcBorders>
            <w:gridSpan w:val="2"/>
            <w:shd w:val="clear" w:color="auto" w:fill="E9E9E9"/>
          </w:tcPr>
          <w:p>
            <w:pPr>
              <w:jc w:val="right"/>
              <w:spacing w:after="0" w:line="216" w:lineRule="exact"/>
              <w:rPr>
                <w:sz w:val="20"/>
                <w:szCs w:val="20"/>
                <w:color w:val="auto"/>
              </w:rPr>
            </w:pPr>
            <w:r>
              <w:rPr>
                <w:rFonts w:ascii="Arial" w:cs="Arial" w:eastAsia="Arial" w:hAnsi="Arial"/>
                <w:sz w:val="20"/>
                <w:szCs w:val="20"/>
                <w:color w:val="auto"/>
                <w:w w:val="71"/>
                <w:shd w:val="clear" w:color="auto" w:fill="E9E9E9"/>
              </w:rPr>
              <w:t>$</w:t>
            </w:r>
          </w:p>
        </w:tc>
        <w:tc>
          <w:tcPr>
            <w:tcW w:w="1260" w:type="dxa"/>
            <w:vAlign w:val="bottom"/>
            <w:tcBorders>
              <w:top w:val="single" w:sz="8" w:color="auto"/>
              <w:bottom w:val="single" w:sz="8" w:color="auto"/>
            </w:tcBorders>
            <w:shd w:val="clear" w:color="auto" w:fill="E9E9E9"/>
          </w:tcPr>
          <w:p>
            <w:pPr>
              <w:jc w:val="right"/>
              <w:spacing w:after="0" w:line="216" w:lineRule="exact"/>
              <w:rPr>
                <w:sz w:val="20"/>
                <w:szCs w:val="20"/>
                <w:color w:val="auto"/>
              </w:rPr>
            </w:pPr>
            <w:r>
              <w:rPr>
                <w:rFonts w:ascii="Arial" w:cs="Arial" w:eastAsia="Arial" w:hAnsi="Arial"/>
                <w:sz w:val="20"/>
                <w:szCs w:val="20"/>
                <w:color w:val="auto"/>
              </w:rPr>
              <w:t>109.4</w:t>
            </w:r>
          </w:p>
        </w:tc>
        <w:tc>
          <w:tcPr>
            <w:tcW w:w="40" w:type="dxa"/>
            <w:vAlign w:val="bottom"/>
            <w:tcBorders>
              <w:top w:val="single" w:sz="8" w:color="E9E9E9"/>
            </w:tcBorders>
            <w:shd w:val="clear" w:color="auto" w:fill="E9E9E9"/>
          </w:tcPr>
          <w:p>
            <w:pPr>
              <w:spacing w:after="0"/>
              <w:rPr>
                <w:sz w:val="20"/>
                <w:szCs w:val="20"/>
                <w:color w:val="auto"/>
              </w:rPr>
            </w:pPr>
          </w:p>
        </w:tc>
        <w:tc>
          <w:tcPr>
            <w:tcW w:w="80" w:type="dxa"/>
            <w:vAlign w:val="bottom"/>
            <w:tcBorders>
              <w:top w:val="single" w:sz="8" w:color="E9E9E9"/>
            </w:tcBorders>
            <w:shd w:val="clear" w:color="auto" w:fill="E9E9E9"/>
          </w:tcPr>
          <w:p>
            <w:pPr>
              <w:spacing w:after="0"/>
              <w:rPr>
                <w:sz w:val="20"/>
                <w:szCs w:val="20"/>
                <w:color w:val="auto"/>
              </w:rPr>
            </w:pPr>
          </w:p>
        </w:tc>
        <w:tc>
          <w:tcPr>
            <w:tcW w:w="140" w:type="dxa"/>
            <w:vAlign w:val="bottom"/>
            <w:tcBorders>
              <w:top w:val="single" w:sz="8" w:color="E9E9E9"/>
              <w:right w:val="single" w:sz="8" w:color="E9E9E9"/>
            </w:tcBorders>
            <w:shd w:val="clear" w:color="auto" w:fill="E9E9E9"/>
          </w:tcPr>
          <w:p>
            <w:pPr>
              <w:spacing w:after="0"/>
              <w:rPr>
                <w:sz w:val="20"/>
                <w:szCs w:val="20"/>
                <w:color w:val="auto"/>
              </w:rPr>
            </w:pPr>
          </w:p>
        </w:tc>
        <w:tc>
          <w:tcPr>
            <w:tcW w:w="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0"/>
                <w:szCs w:val="10"/>
                <w:color w:val="auto"/>
                <w:w w:val="71"/>
                <w:shd w:val="clear" w:color="auto" w:fill="E9E9E9"/>
              </w:rPr>
              <w:t>$</w:t>
            </w:r>
          </w:p>
        </w:tc>
        <w:tc>
          <w:tcPr>
            <w:tcW w:w="340" w:type="dxa"/>
            <w:vAlign w:val="bottom"/>
            <w:tcBorders>
              <w:top w:val="single" w:sz="8" w:color="auto"/>
              <w:bottom w:val="single" w:sz="8" w:color="auto"/>
            </w:tcBorders>
            <w:shd w:val="clear" w:color="auto" w:fill="E9E9E9"/>
          </w:tcPr>
          <w:p>
            <w:pPr>
              <w:spacing w:after="0"/>
              <w:rPr>
                <w:sz w:val="20"/>
                <w:szCs w:val="20"/>
                <w:color w:val="auto"/>
              </w:rPr>
            </w:pPr>
          </w:p>
        </w:tc>
        <w:tc>
          <w:tcPr>
            <w:tcW w:w="1000" w:type="dxa"/>
            <w:vAlign w:val="bottom"/>
            <w:tcBorders>
              <w:top w:val="single" w:sz="8" w:color="auto"/>
              <w:bottom w:val="single" w:sz="8" w:color="auto"/>
            </w:tcBorders>
            <w:shd w:val="clear" w:color="auto" w:fill="E9E9E9"/>
          </w:tcPr>
          <w:p>
            <w:pPr>
              <w:jc w:val="right"/>
              <w:spacing w:after="0" w:line="216" w:lineRule="exact"/>
              <w:rPr>
                <w:sz w:val="20"/>
                <w:szCs w:val="20"/>
                <w:color w:val="auto"/>
              </w:rPr>
            </w:pPr>
            <w:r>
              <w:rPr>
                <w:rFonts w:ascii="Arial" w:cs="Arial" w:eastAsia="Arial" w:hAnsi="Arial"/>
                <w:sz w:val="20"/>
                <w:szCs w:val="20"/>
                <w:color w:val="auto"/>
              </w:rPr>
              <w:t>59.8</w:t>
            </w:r>
          </w:p>
        </w:tc>
        <w:tc>
          <w:tcPr>
            <w:tcW w:w="20" w:type="dxa"/>
            <w:vAlign w:val="bottom"/>
            <w:tcBorders>
              <w:top w:val="single" w:sz="8" w:color="E9E9E9"/>
            </w:tcBorders>
            <w:shd w:val="clear" w:color="auto" w:fill="E9E9E9"/>
          </w:tcPr>
          <w:p>
            <w:pPr>
              <w:spacing w:after="0"/>
              <w:rPr>
                <w:sz w:val="20"/>
                <w:szCs w:val="20"/>
                <w:color w:val="auto"/>
              </w:rPr>
            </w:pPr>
          </w:p>
        </w:tc>
        <w:tc>
          <w:tcPr>
            <w:tcW w:w="80" w:type="dxa"/>
            <w:vAlign w:val="bottom"/>
            <w:tcBorders>
              <w:top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tcPr>
          <w:p>
            <w:pPr>
              <w:spacing w:after="0" w:line="192" w:lineRule="exact"/>
              <w:rPr>
                <w:sz w:val="20"/>
                <w:szCs w:val="20"/>
                <w:color w:val="auto"/>
              </w:rPr>
            </w:pPr>
            <w:r>
              <w:rPr>
                <w:rFonts w:ascii="Arial" w:cs="Arial" w:eastAsia="Arial" w:hAnsi="Arial"/>
                <w:sz w:val="20"/>
                <w:szCs w:val="20"/>
                <w:color w:val="auto"/>
              </w:rPr>
              <w:t>Amount available based on borrowing limitations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spacing w:after="0" w:line="192" w:lineRule="exact"/>
              <w:rPr>
                <w:sz w:val="20"/>
                <w:szCs w:val="20"/>
                <w:color w:val="auto"/>
              </w:rPr>
            </w:pPr>
            <w:r>
              <w:rPr>
                <w:rFonts w:ascii="Arial" w:cs="Arial" w:eastAsia="Arial" w:hAnsi="Arial"/>
                <w:sz w:val="20"/>
                <w:szCs w:val="20"/>
                <w:color w:val="auto"/>
                <w:w w:val="71"/>
              </w:rPr>
              <w:t>$</w:t>
            </w:r>
          </w:p>
        </w:tc>
        <w:tc>
          <w:tcPr>
            <w:tcW w:w="1260" w:type="dxa"/>
            <w:vAlign w:val="bottom"/>
          </w:tcPr>
          <w:p>
            <w:pPr>
              <w:jc w:val="right"/>
              <w:spacing w:after="0" w:line="192" w:lineRule="exact"/>
              <w:rPr>
                <w:sz w:val="20"/>
                <w:szCs w:val="20"/>
                <w:color w:val="auto"/>
              </w:rPr>
            </w:pPr>
            <w:r>
              <w:rPr>
                <w:rFonts w:ascii="Arial" w:cs="Arial" w:eastAsia="Arial" w:hAnsi="Arial"/>
                <w:sz w:val="20"/>
                <w:szCs w:val="20"/>
                <w:color w:val="auto"/>
              </w:rPr>
              <w:t>99.8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spacing w:after="0" w:line="192" w:lineRule="exact"/>
              <w:rPr>
                <w:sz w:val="20"/>
                <w:szCs w:val="20"/>
                <w:color w:val="auto"/>
              </w:rPr>
            </w:pPr>
            <w:r>
              <w:rPr>
                <w:rFonts w:ascii="Arial" w:cs="Arial" w:eastAsia="Arial" w:hAnsi="Arial"/>
                <w:sz w:val="20"/>
                <w:szCs w:val="20"/>
                <w:color w:val="auto"/>
              </w:rPr>
              <w:t>$</w:t>
            </w:r>
          </w:p>
        </w:tc>
        <w:tc>
          <w:tcPr>
            <w:tcW w:w="34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Arial" w:cs="Arial" w:eastAsia="Arial" w:hAnsi="Arial"/>
                <w:sz w:val="20"/>
                <w:szCs w:val="20"/>
                <w:color w:val="auto"/>
              </w:rPr>
              <w:t>59.8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20"/>
                <w:szCs w:val="20"/>
                <w:b w:val="1"/>
                <w:bCs w:val="1"/>
                <w:color w:val="auto"/>
              </w:rPr>
              <w:t>Overview of Cash Flows and Liquidity</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1"/>
          </w:tcPr>
          <w:p>
            <w:pPr>
              <w:jc w:val="right"/>
              <w:ind w:right="220"/>
              <w:spacing w:after="0"/>
              <w:rPr>
                <w:sz w:val="20"/>
                <w:szCs w:val="20"/>
                <w:color w:val="auto"/>
              </w:rPr>
            </w:pPr>
            <w:r>
              <w:rPr>
                <w:rFonts w:ascii="Arial" w:cs="Arial" w:eastAsia="Arial" w:hAnsi="Arial"/>
                <w:sz w:val="16"/>
                <w:szCs w:val="16"/>
                <w:b w:val="1"/>
                <w:bCs w:val="1"/>
                <w:color w:val="auto"/>
              </w:rPr>
              <w:t>For the year ended December 31,</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80" w:type="dxa"/>
            <w:vAlign w:val="bottom"/>
            <w:tcBorders>
              <w:bottom w:val="single" w:sz="8" w:color="E9E9E9"/>
            </w:tcBorders>
          </w:tcPr>
          <w:p>
            <w:pPr>
              <w:spacing w:after="0" w:line="172" w:lineRule="exact"/>
              <w:rPr>
                <w:sz w:val="20"/>
                <w:szCs w:val="20"/>
                <w:color w:val="auto"/>
              </w:rPr>
            </w:pPr>
            <w:r>
              <w:rPr>
                <w:rFonts w:ascii="Arial" w:cs="Arial" w:eastAsia="Arial" w:hAnsi="Arial"/>
                <w:sz w:val="16"/>
                <w:szCs w:val="16"/>
                <w:b w:val="1"/>
                <w:bCs w:val="1"/>
                <w:color w:val="auto"/>
              </w:rPr>
              <w:t>(dollars in thousands)</w:t>
            </w:r>
          </w:p>
        </w:tc>
        <w:tc>
          <w:tcPr>
            <w:tcW w:w="100" w:type="dxa"/>
            <w:vAlign w:val="bottom"/>
            <w:tcBorders>
              <w:bottom w:val="single" w:sz="8" w:color="E9E9E9"/>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7"/>
              <w:spacing w:after="0" w:line="172" w:lineRule="exact"/>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60" w:type="dxa"/>
            <w:vAlign w:val="bottom"/>
            <w:tcBorders>
              <w:bottom w:val="single" w:sz="8" w:color="E9E9E9"/>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6"/>
              <w:spacing w:after="0" w:line="172" w:lineRule="exact"/>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c>
          <w:tcPr>
            <w:tcW w:w="140" w:type="dxa"/>
            <w:vAlign w:val="bottom"/>
            <w:tcBorders>
              <w:bottom w:val="single" w:sz="8" w:color="E9E9E9"/>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5"/>
              <w:spacing w:after="0" w:line="172"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Total operating cash flow provided by operating activities</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44,647</w:t>
            </w:r>
          </w:p>
        </w:tc>
        <w:tc>
          <w:tcPr>
            <w:tcW w:w="1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rPr>
              <w:t>29,649</w:t>
            </w:r>
          </w:p>
        </w:tc>
        <w:tc>
          <w:tcPr>
            <w:tcW w:w="80" w:type="dxa"/>
            <w:vAlign w:val="bottom"/>
            <w:shd w:val="clear" w:color="auto" w:fill="E9E9E9"/>
          </w:tcPr>
          <w:p>
            <w:pPr>
              <w:spacing w:after="0"/>
              <w:rPr>
                <w:sz w:val="18"/>
                <w:szCs w:val="18"/>
                <w:color w:val="auto"/>
              </w:rPr>
            </w:pPr>
          </w:p>
        </w:tc>
        <w:tc>
          <w:tcPr>
            <w:tcW w:w="140" w:type="dxa"/>
            <w:vAlign w:val="bottom"/>
            <w:tcBorders>
              <w:right w:val="single" w:sz="8" w:color="E9E9E9"/>
            </w:tcBorders>
            <w:shd w:val="clear" w:color="auto" w:fill="E9E9E9"/>
          </w:tcPr>
          <w:p>
            <w:pPr>
              <w:spacing w:after="0"/>
              <w:rPr>
                <w:sz w:val="18"/>
                <w:szCs w:val="18"/>
                <w:color w:val="auto"/>
              </w:rPr>
            </w:pPr>
          </w:p>
        </w:tc>
        <w:tc>
          <w:tcPr>
            <w:tcW w:w="420" w:type="dxa"/>
            <w:vAlign w:val="bottom"/>
            <w:gridSpan w:val="2"/>
            <w:shd w:val="clear" w:color="auto" w:fill="E9E9E9"/>
          </w:tcPr>
          <w:p>
            <w:pPr>
              <w:jc w:val="right"/>
              <w:ind w:right="320"/>
              <w:spacing w:after="0" w:line="217"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13,298</w:t>
            </w: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Net cash used in investing 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auto"/>
              </w:rPr>
              <w:t>(56,486)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auto"/>
              </w:rPr>
              <w:t>(48,257)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(2,083)</w:t>
            </w:r>
          </w:p>
        </w:tc>
        <w:tc>
          <w:tcPr>
            <w:tcW w:w="0" w:type="dxa"/>
            <w:vAlign w:val="bottom"/>
          </w:tcPr>
          <w:p>
            <w:pPr>
              <w:spacing w:after="0"/>
              <w:rPr>
                <w:sz w:val="1"/>
                <w:szCs w:val="1"/>
                <w:color w:val="auto"/>
              </w:rPr>
            </w:pPr>
          </w:p>
        </w:tc>
      </w:tr>
      <w:tr>
        <w:trPr>
          <w:trHeight w:val="226"/>
        </w:trPr>
        <w:tc>
          <w:tcPr>
            <w:tcW w:w="578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Net cash provided by (used in) financing activities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21,144</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gridSpan w:val="2"/>
            <w:shd w:val="clear" w:color="auto" w:fill="E9E9E9"/>
          </w:tcPr>
          <w:p>
            <w:pPr>
              <w:jc w:val="right"/>
              <w:spacing w:after="0" w:line="226" w:lineRule="exact"/>
              <w:rPr>
                <w:sz w:val="20"/>
                <w:szCs w:val="20"/>
                <w:color w:val="auto"/>
              </w:rPr>
            </w:pPr>
            <w:r>
              <w:rPr>
                <w:rFonts w:ascii="Arial" w:cs="Arial" w:eastAsia="Arial" w:hAnsi="Arial"/>
                <w:sz w:val="20"/>
                <w:szCs w:val="20"/>
                <w:color w:val="auto"/>
              </w:rPr>
              <w:t>38,176</w:t>
            </w:r>
          </w:p>
        </w:tc>
        <w:tc>
          <w:tcPr>
            <w:tcW w:w="80" w:type="dxa"/>
            <w:vAlign w:val="bottom"/>
            <w:shd w:val="clear" w:color="auto" w:fill="E9E9E9"/>
          </w:tcPr>
          <w:p>
            <w:pPr>
              <w:spacing w:after="0"/>
              <w:rPr>
                <w:sz w:val="19"/>
                <w:szCs w:val="19"/>
                <w:color w:val="auto"/>
              </w:rPr>
            </w:pPr>
          </w:p>
        </w:tc>
        <w:tc>
          <w:tcPr>
            <w:tcW w:w="140" w:type="dxa"/>
            <w:vAlign w:val="bottom"/>
            <w:tcBorders>
              <w:right w:val="single" w:sz="8" w:color="E9E9E9"/>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340" w:type="dxa"/>
            <w:vAlign w:val="bottom"/>
            <w:shd w:val="clear" w:color="auto" w:fill="E9E9E9"/>
          </w:tcPr>
          <w:p>
            <w:pPr>
              <w:spacing w:after="0"/>
              <w:rPr>
                <w:sz w:val="19"/>
                <w:szCs w:val="19"/>
                <w:color w:val="auto"/>
              </w:rPr>
            </w:pPr>
          </w:p>
        </w:tc>
        <w:tc>
          <w:tcPr>
            <w:tcW w:w="100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(15,556)</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Effect of exchange rate changes on cash and cash equivalents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auto"/>
              </w:rPr>
              <w:t>(442)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auto"/>
              </w:rPr>
              <w:t>(4,978)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(1,475)</w:t>
            </w:r>
          </w:p>
        </w:tc>
        <w:tc>
          <w:tcPr>
            <w:tcW w:w="0" w:type="dxa"/>
            <w:vAlign w:val="bottom"/>
          </w:tcPr>
          <w:p>
            <w:pPr>
              <w:spacing w:after="0"/>
              <w:rPr>
                <w:sz w:val="1"/>
                <w:szCs w:val="1"/>
                <w:color w:val="auto"/>
              </w:rPr>
            </w:pPr>
          </w:p>
        </w:tc>
      </w:tr>
      <w:tr>
        <w:trPr>
          <w:trHeight w:val="219"/>
        </w:trPr>
        <w:tc>
          <w:tcPr>
            <w:tcW w:w="578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w w:val="93"/>
              </w:rPr>
              <w:t>Net increase (decrease) in cash, cash equivalents and restricted cash</w:t>
            </w:r>
          </w:p>
        </w:tc>
        <w:tc>
          <w:tcPr>
            <w:tcW w:w="1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8,863</w:t>
            </w:r>
          </w:p>
        </w:tc>
        <w:tc>
          <w:tcPr>
            <w:tcW w:w="14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tcBorders>
            <w:shd w:val="clear" w:color="auto" w:fill="E9E9E9"/>
          </w:tcPr>
          <w:p>
            <w:pPr>
              <w:spacing w:after="0"/>
              <w:rPr>
                <w:sz w:val="19"/>
                <w:szCs w:val="19"/>
                <w:color w:val="auto"/>
              </w:rPr>
            </w:pPr>
          </w:p>
        </w:tc>
        <w:tc>
          <w:tcPr>
            <w:tcW w:w="6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rPr>
              <w:t>14,590</w:t>
            </w:r>
          </w:p>
        </w:tc>
        <w:tc>
          <w:tcPr>
            <w:tcW w:w="80" w:type="dxa"/>
            <w:vAlign w:val="bottom"/>
            <w:tcBorders>
              <w:top w:val="single" w:sz="8" w:color="E9E9E9"/>
            </w:tcBorders>
            <w:shd w:val="clear" w:color="auto" w:fill="E9E9E9"/>
          </w:tcPr>
          <w:p>
            <w:pPr>
              <w:spacing w:after="0"/>
              <w:rPr>
                <w:sz w:val="19"/>
                <w:szCs w:val="19"/>
                <w:color w:val="auto"/>
              </w:rPr>
            </w:pPr>
          </w:p>
        </w:tc>
        <w:tc>
          <w:tcPr>
            <w:tcW w:w="140" w:type="dxa"/>
            <w:vAlign w:val="bottom"/>
            <w:tcBorders>
              <w:top w:val="single" w:sz="8" w:color="E9E9E9"/>
              <w:right w:val="single" w:sz="8" w:color="E9E9E9"/>
            </w:tcBorders>
            <w:shd w:val="clear" w:color="auto" w:fill="E9E9E9"/>
          </w:tcPr>
          <w:p>
            <w:pPr>
              <w:spacing w:after="0"/>
              <w:rPr>
                <w:sz w:val="19"/>
                <w:szCs w:val="19"/>
                <w:color w:val="auto"/>
              </w:rPr>
            </w:pPr>
          </w:p>
        </w:tc>
        <w:tc>
          <w:tcPr>
            <w:tcW w:w="420" w:type="dxa"/>
            <w:vAlign w:val="bottom"/>
            <w:tcBorders>
              <w:top w:val="single" w:sz="8" w:color="auto"/>
              <w:bottom w:val="single" w:sz="8" w:color="auto"/>
            </w:tcBorders>
            <w:gridSpan w:val="2"/>
            <w:shd w:val="clear" w:color="auto" w:fill="E9E9E9"/>
          </w:tcPr>
          <w:p>
            <w:pPr>
              <w:jc w:val="right"/>
              <w:ind w:right="320"/>
              <w:spacing w:after="0" w:line="217"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(5,816)</w:t>
            </w:r>
          </w:p>
        </w:tc>
        <w:tc>
          <w:tcPr>
            <w:tcW w:w="20" w:type="dxa"/>
            <w:vAlign w:val="bottom"/>
            <w:tcBorders>
              <w:top w:val="single" w:sz="8" w:color="auto"/>
              <w:bottom w:val="single" w:sz="8" w:color="auto"/>
            </w:tcBorders>
            <w:shd w:val="clear" w:color="auto" w:fill="E9E9E9"/>
          </w:tcPr>
          <w:p>
            <w:pPr>
              <w:spacing w:after="0"/>
              <w:rPr>
                <w:sz w:val="19"/>
                <w:szCs w:val="19"/>
                <w:color w:val="auto"/>
              </w:rPr>
            </w:pPr>
          </w:p>
        </w:tc>
        <w:tc>
          <w:tcPr>
            <w:tcW w:w="80" w:type="dxa"/>
            <w:vAlign w:val="bottom"/>
            <w:tcBorders>
              <w:top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-2462530</wp:posOffset>
                </wp:positionV>
                <wp:extent cx="7112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93.8999pt" to="534.4pt,-193.8999pt" o:allowincell="f" strokecolor="#FFFFFF" strokeweight="0.4751pt"/>
            </w:pict>
          </mc:Fallback>
        </mc:AlternateContent>
        <w:drawing>
          <wp:anchor simplePos="0" relativeHeight="251657728" behindDoc="1" locked="0" layoutInCell="0" allowOverlap="1">
            <wp:simplePos x="0" y="0"/>
            <wp:positionH relativeFrom="column">
              <wp:posOffset>5726430</wp:posOffset>
            </wp:positionH>
            <wp:positionV relativeFrom="paragraph">
              <wp:posOffset>-2075815</wp:posOffset>
            </wp:positionV>
            <wp:extent cx="989965" cy="144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8">
                      <a:extLst>
                        <a:ext uri="{28A0092B-C50C-407E-A947-70E740481C1C}"/>
                      </a:extLst>
                    </a:blip>
                    <a:srcRect/>
                    <a:stretch>
                      <a:fillRect/>
                    </a:stretch>
                  </pic:blipFill>
                  <pic:spPr bwMode="auto">
                    <a:xfrm>
                      <a:off x="0" y="0"/>
                      <a:ext cx="989965" cy="1447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6717665</wp:posOffset>
                </wp:positionH>
                <wp:positionV relativeFrom="paragraph">
                  <wp:posOffset>-882015</wp:posOffset>
                </wp:positionV>
                <wp:extent cx="6921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69.4499pt" to="534.4pt,-69.4499pt" o:allowincell="f" strokecolor="#FFFFFF" strokeweight="0.4752pt"/>
            </w:pict>
          </mc:Fallback>
        </mc:AlternateConten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Activities</w:t>
      </w:r>
    </w:p>
    <w:p>
      <w:pPr>
        <w:spacing w:after="0" w:line="248"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In 2023, $44.6 million of cash was provided by operating activities compared with $29.6 million provided by operating activities in 2022, an increase of $15.0 million. Cash flow from operating activities in 2023 had a favorable impact year-over-year primarily due to changes in net working capital.</w:t>
      </w:r>
    </w:p>
    <w:p>
      <w:pPr>
        <w:spacing w:after="0" w:line="25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2022, $29.6 million of cash was provided by operating activities compared with $13.2 million in 2021, an increase of $16.4 million. Cash flow from operating activities in 2022 had a favorable impact year-over-year primarily due to increases in net earnings, partially offset by increases in net working capital.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Activities</w:t>
      </w:r>
    </w:p>
    <w:p>
      <w:pPr>
        <w:spacing w:after="0" w:line="248"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In 2023, $56.5 million of cash was used in investing activities, which consisted of $48.1 for current year acquisitions and $8.4 million for acquisition of property and equipment.</w:t>
      </w:r>
    </w:p>
    <w:p>
      <w:pPr>
        <w:spacing w:after="0" w:line="249"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In 2022, $48.3 million of cash was used in investing activities, which consisted of $44.9 for current year acquisitions and $3.4 million for acquisition of property and equipment.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10680"/>
          </w:cols>
          <w:pgMar w:left="600" w:top="849" w:right="600" w:bottom="46" w:gutter="0" w:footer="0" w:header="0"/>
        </w:sectPr>
      </w:pPr>
    </w:p>
    <w:bookmarkStart w:id="44" w:name="page45"/>
    <w:bookmarkEnd w:id="44"/>
    <w:p>
      <w:pPr>
        <w:ind w:left="6"/>
        <w:spacing w:after="0"/>
        <w:rPr>
          <w:sz w:val="20"/>
          <w:szCs w:val="20"/>
          <w:color w:val="auto"/>
        </w:rPr>
      </w:pPr>
      <w:r>
        <w:rPr>
          <w:rFonts w:ascii="Arial" w:cs="Arial" w:eastAsia="Arial" w:hAnsi="Arial"/>
          <w:sz w:val="20"/>
          <w:szCs w:val="20"/>
          <w:b w:val="1"/>
          <w:bCs w:val="1"/>
          <w:color w:val="auto"/>
        </w:rPr>
        <w:t>Financing Activities</w:t>
      </w:r>
    </w:p>
    <w:p>
      <w:pPr>
        <w:spacing w:after="0" w:line="246" w:lineRule="exact"/>
        <w:rPr>
          <w:sz w:val="20"/>
          <w:szCs w:val="20"/>
          <w:color w:val="auto"/>
        </w:rPr>
      </w:pPr>
    </w:p>
    <w:p>
      <w:pPr>
        <w:ind w:left="6" w:right="180"/>
        <w:spacing w:after="0" w:line="235" w:lineRule="auto"/>
        <w:rPr>
          <w:sz w:val="20"/>
          <w:szCs w:val="20"/>
          <w:color w:val="auto"/>
        </w:rPr>
      </w:pPr>
      <w:r>
        <w:rPr>
          <w:rFonts w:ascii="Arial" w:cs="Arial" w:eastAsia="Arial" w:hAnsi="Arial"/>
          <w:sz w:val="20"/>
          <w:szCs w:val="20"/>
          <w:color w:val="auto"/>
        </w:rPr>
        <w:t>Financing activities in 2023 provided cash of $21.1 million, which consisted primarily of $27.1 million of net borrowings under the Credit Facility, used to finance current year acquisitions, as well as $1.4 million of proceeds from employee stock purchase plan and exercise of stock options. This was partially offset by $2.1 million of earnout payments, $1.7 million in distributions to non-controlling interest, $1.2 million of deferred consideration for acquisitions, $0.9 million in payments on our capital leases, and $0.4 million of financing fees.</w:t>
      </w:r>
    </w:p>
    <w:p>
      <w:pPr>
        <w:spacing w:after="0" w:line="252" w:lineRule="exact"/>
        <w:rPr>
          <w:sz w:val="20"/>
          <w:szCs w:val="20"/>
          <w:color w:val="auto"/>
        </w:rPr>
      </w:pPr>
    </w:p>
    <w:p>
      <w:pPr>
        <w:ind w:left="6" w:right="200"/>
        <w:spacing w:after="0" w:line="267" w:lineRule="auto"/>
        <w:rPr>
          <w:sz w:val="20"/>
          <w:szCs w:val="20"/>
          <w:color w:val="auto"/>
        </w:rPr>
      </w:pPr>
      <w:r>
        <w:rPr>
          <w:rFonts w:ascii="Arial" w:cs="Arial" w:eastAsia="Arial" w:hAnsi="Arial"/>
          <w:sz w:val="18"/>
          <w:szCs w:val="18"/>
          <w:color w:val="auto"/>
        </w:rPr>
        <w:t>Financing activities in 2022 provided cash of $38.2 million, which consisted primarily of $39.3 million net borrowings on our revolving credit line and $11.0 million borrowings of joint venture term debt, both of which were used to finance current year acquisitions. These were partially offset by $3.1 million paydown of our term debt, $7.0 million for the repurchase and retirement of our common stock, $1.4 million in distributions to non-controlling interest, and $0.6 million in payments on our capital leases.</w:t>
      </w:r>
    </w:p>
    <w:p>
      <w:pPr>
        <w:spacing w:after="0" w:line="227" w:lineRule="exact"/>
        <w:rPr>
          <w:sz w:val="20"/>
          <w:szCs w:val="20"/>
          <w:color w:val="auto"/>
        </w:rPr>
      </w:pPr>
    </w:p>
    <w:p>
      <w:pPr>
        <w:ind w:left="6" w:right="80"/>
        <w:spacing w:after="0" w:line="266" w:lineRule="auto"/>
        <w:rPr>
          <w:sz w:val="20"/>
          <w:szCs w:val="20"/>
          <w:color w:val="auto"/>
        </w:rPr>
      </w:pPr>
      <w:r>
        <w:rPr>
          <w:rFonts w:ascii="Arial" w:cs="Arial" w:eastAsia="Arial" w:hAnsi="Arial"/>
          <w:sz w:val="18"/>
          <w:szCs w:val="18"/>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228" w:lineRule="exact"/>
        <w:rPr>
          <w:sz w:val="20"/>
          <w:szCs w:val="20"/>
          <w:color w:val="auto"/>
        </w:rPr>
      </w:pPr>
    </w:p>
    <w:p>
      <w:pPr>
        <w:ind w:left="6" w:right="100"/>
        <w:spacing w:after="0" w:line="270" w:lineRule="auto"/>
        <w:rPr>
          <w:sz w:val="20"/>
          <w:szCs w:val="20"/>
          <w:color w:val="auto"/>
        </w:rPr>
      </w:pPr>
      <w:r>
        <w:rPr>
          <w:rFonts w:ascii="Arial" w:cs="Arial" w:eastAsia="Arial" w:hAnsi="Arial"/>
          <w:sz w:val="18"/>
          <w:szCs w:val="18"/>
          <w:color w:val="auto"/>
        </w:rPr>
        <w:t>Our material cash requirements included (i) debt repayments under with respect to our Credit Facility and joint venture term debt, (ii) interest expense, (iii) purchase obligations for costs associated with uncompleted sales contracts, (iv) operating and capital lease obligations and (v) contingent liabilities related to acquisitions, including earnout liabilities and retention payments.</w:t>
      </w:r>
    </w:p>
    <w:p>
      <w:pPr>
        <w:spacing w:after="0" w:line="221" w:lineRule="exact"/>
        <w:rPr>
          <w:sz w:val="20"/>
          <w:szCs w:val="20"/>
          <w:color w:val="auto"/>
        </w:rPr>
      </w:pPr>
    </w:p>
    <w:p>
      <w:pPr>
        <w:ind w:left="6" w:right="560"/>
        <w:spacing w:after="0" w:line="234" w:lineRule="auto"/>
        <w:rPr>
          <w:sz w:val="20"/>
          <w:szCs w:val="20"/>
          <w:color w:val="auto"/>
        </w:rPr>
      </w:pPr>
      <w:r>
        <w:rPr>
          <w:rFonts w:ascii="Arial" w:cs="Arial" w:eastAsia="Arial" w:hAnsi="Arial"/>
          <w:sz w:val="20"/>
          <w:szCs w:val="20"/>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2023:</w:t>
      </w:r>
    </w:p>
    <w:p>
      <w:pPr>
        <w:spacing w:after="0" w:line="119"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7"/>
              <w:spacing w:after="0" w:line="171" w:lineRule="exact"/>
              <w:rPr>
                <w:sz w:val="20"/>
                <w:szCs w:val="20"/>
                <w:color w:val="auto"/>
              </w:rPr>
            </w:pPr>
            <w:r>
              <w:rPr>
                <w:rFonts w:ascii="Arial" w:cs="Arial" w:eastAsia="Arial" w:hAnsi="Arial"/>
                <w:sz w:val="16"/>
                <w:szCs w:val="16"/>
                <w:b w:val="1"/>
                <w:bCs w:val="1"/>
                <w:color w:val="auto"/>
                <w:w w:val="84"/>
              </w:rPr>
              <w:t>Less than 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line="171" w:lineRule="exact"/>
              <w:rPr>
                <w:sz w:val="20"/>
                <w:szCs w:val="20"/>
                <w:color w:val="auto"/>
              </w:rPr>
            </w:pPr>
            <w:r>
              <w:rPr>
                <w:rFonts w:ascii="Arial" w:cs="Arial" w:eastAsia="Arial" w:hAnsi="Arial"/>
                <w:sz w:val="16"/>
                <w:szCs w:val="16"/>
                <w:b w:val="1"/>
                <w:bCs w:val="1"/>
                <w:color w:val="auto"/>
                <w:w w:val="94"/>
              </w:rPr>
              <w:t>More than</w:t>
            </w:r>
          </w:p>
        </w:tc>
      </w:tr>
      <w:tr>
        <w:trPr>
          <w:trHeight w:val="182"/>
        </w:trPr>
        <w:tc>
          <w:tcPr>
            <w:tcW w:w="468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5"/>
                <w:szCs w:val="15"/>
                <w:color w:val="auto"/>
              </w:rPr>
            </w:pPr>
          </w:p>
        </w:tc>
        <w:tc>
          <w:tcPr>
            <w:tcW w:w="900" w:type="dxa"/>
            <w:vAlign w:val="bottom"/>
          </w:tcPr>
          <w:p>
            <w:pPr>
              <w:jc w:val="right"/>
              <w:ind w:right="224"/>
              <w:spacing w:after="0" w:line="182"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47"/>
              <w:spacing w:after="0" w:line="182" w:lineRule="exact"/>
              <w:rPr>
                <w:sz w:val="20"/>
                <w:szCs w:val="20"/>
                <w:color w:val="auto"/>
              </w:rPr>
            </w:pPr>
            <w:r>
              <w:rPr>
                <w:rFonts w:ascii="Arial" w:cs="Arial" w:eastAsia="Arial" w:hAnsi="Arial"/>
                <w:sz w:val="16"/>
                <w:szCs w:val="16"/>
                <w:b w:val="1"/>
                <w:bCs w:val="1"/>
                <w:color w:val="auto"/>
              </w:rPr>
              <w:t>year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84"/>
              <w:spacing w:after="0" w:line="182" w:lineRule="exact"/>
              <w:rPr>
                <w:sz w:val="20"/>
                <w:szCs w:val="20"/>
                <w:color w:val="auto"/>
              </w:rPr>
            </w:pPr>
            <w:r>
              <w:rPr>
                <w:rFonts w:ascii="Arial" w:cs="Arial" w:eastAsia="Arial" w:hAnsi="Arial"/>
                <w:sz w:val="16"/>
                <w:szCs w:val="16"/>
                <w:b w:val="1"/>
                <w:bCs w:val="1"/>
                <w:color w:val="auto"/>
                <w:w w:val="97"/>
              </w:rPr>
              <w:t>1-3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04"/>
              <w:spacing w:after="0" w:line="182" w:lineRule="exact"/>
              <w:rPr>
                <w:sz w:val="20"/>
                <w:szCs w:val="20"/>
                <w:color w:val="auto"/>
              </w:rPr>
            </w:pPr>
            <w:r>
              <w:rPr>
                <w:rFonts w:ascii="Arial" w:cs="Arial" w:eastAsia="Arial" w:hAnsi="Arial"/>
                <w:sz w:val="16"/>
                <w:szCs w:val="16"/>
                <w:b w:val="1"/>
                <w:bCs w:val="1"/>
                <w:color w:val="auto"/>
                <w:w w:val="97"/>
              </w:rPr>
              <w:t>3-5 years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86"/>
              </w:rPr>
              <w:t>5 years</w:t>
            </w:r>
          </w:p>
        </w:tc>
      </w:tr>
      <w:tr>
        <w:trPr>
          <w:trHeight w:val="218"/>
        </w:trPr>
        <w:tc>
          <w:tcPr>
            <w:tcW w:w="46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Term Loan Debt, including joint venture debt</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9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shd w:val="clear" w:color="auto" w:fill="E9E9E9"/>
              </w:rPr>
              <w:t>121,279</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10,488</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8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shd w:val="clear" w:color="auto" w:fill="E9E9E9"/>
              </w:rPr>
              <w:t>107,023</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3,768</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4680" w:type="dxa"/>
            <w:vAlign w:val="bottom"/>
            <w:gridSpan w:val="2"/>
          </w:tcPr>
          <w:p>
            <w:pPr>
              <w:spacing w:after="0" w:line="228" w:lineRule="exact"/>
              <w:rPr>
                <w:sz w:val="20"/>
                <w:szCs w:val="20"/>
                <w:color w:val="auto"/>
              </w:rPr>
            </w:pPr>
            <w:r>
              <w:rPr>
                <w:rFonts w:ascii="Arial" w:cs="Arial" w:eastAsia="Arial" w:hAnsi="Arial"/>
                <w:sz w:val="20"/>
                <w:szCs w:val="20"/>
                <w:color w:val="auto"/>
              </w:rPr>
              <w:t>Revolving Credit Loan</w:t>
            </w:r>
          </w:p>
        </w:tc>
        <w:tc>
          <w:tcPr>
            <w:tcW w:w="10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17,300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color w:val="auto"/>
              </w:rPr>
              <w:t>17,300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w:t>
            </w:r>
          </w:p>
        </w:tc>
      </w:tr>
      <w:tr>
        <w:trPr>
          <w:trHeight w:val="228"/>
        </w:trPr>
        <w:tc>
          <w:tcPr>
            <w:tcW w:w="466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Interest expense (estimated)</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9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26,825</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8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11,154</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8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15,344</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9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328</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9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9"/>
                <w:szCs w:val="19"/>
                <w:color w:val="auto"/>
              </w:rPr>
            </w:pPr>
          </w:p>
        </w:tc>
      </w:tr>
      <w:tr>
        <w:trPr>
          <w:trHeight w:val="228"/>
        </w:trPr>
        <w:tc>
          <w:tcPr>
            <w:tcW w:w="4680" w:type="dxa"/>
            <w:vAlign w:val="bottom"/>
            <w:gridSpan w:val="2"/>
          </w:tcPr>
          <w:p>
            <w:pPr>
              <w:spacing w:after="0" w:line="228" w:lineRule="exact"/>
              <w:rPr>
                <w:sz w:val="20"/>
                <w:szCs w:val="20"/>
                <w:color w:val="auto"/>
              </w:rPr>
            </w:pPr>
            <w:r>
              <w:rPr>
                <w:rFonts w:ascii="Arial" w:cs="Arial" w:eastAsia="Arial" w:hAnsi="Arial"/>
                <w:sz w:val="20"/>
                <w:szCs w:val="20"/>
                <w:color w:val="auto"/>
              </w:rPr>
              <w:t>Purchase obligations (1)</w:t>
            </w:r>
          </w:p>
        </w:tc>
        <w:tc>
          <w:tcPr>
            <w:tcW w:w="10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109,957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color w:val="auto"/>
              </w:rPr>
              <w:t>109,957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w:t>
            </w:r>
          </w:p>
        </w:tc>
      </w:tr>
      <w:tr>
        <w:trPr>
          <w:trHeight w:val="226"/>
        </w:trPr>
        <w:tc>
          <w:tcPr>
            <w:tcW w:w="466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Operating lease obligations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90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16,938</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88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4,363</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88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6,372</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90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2,723</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90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3,480</w:t>
            </w:r>
          </w:p>
        </w:tc>
        <w:tc>
          <w:tcPr>
            <w:tcW w:w="100" w:type="dxa"/>
            <w:vAlign w:val="bottom"/>
            <w:shd w:val="clear" w:color="auto" w:fill="E9E9E9"/>
          </w:tcPr>
          <w:p>
            <w:pPr>
              <w:spacing w:after="0"/>
              <w:rPr>
                <w:sz w:val="19"/>
                <w:szCs w:val="19"/>
                <w:color w:val="auto"/>
              </w:rPr>
            </w:pPr>
          </w:p>
        </w:tc>
      </w:tr>
      <w:tr>
        <w:trPr>
          <w:trHeight w:val="228"/>
        </w:trPr>
        <w:tc>
          <w:tcPr>
            <w:tcW w:w="4680" w:type="dxa"/>
            <w:vAlign w:val="bottom"/>
            <w:gridSpan w:val="2"/>
          </w:tcPr>
          <w:p>
            <w:pPr>
              <w:spacing w:after="0" w:line="228" w:lineRule="exact"/>
              <w:rPr>
                <w:sz w:val="20"/>
                <w:szCs w:val="20"/>
                <w:color w:val="auto"/>
              </w:rPr>
            </w:pPr>
            <w:r>
              <w:rPr>
                <w:rFonts w:ascii="Arial" w:cs="Arial" w:eastAsia="Arial" w:hAnsi="Arial"/>
                <w:sz w:val="20"/>
                <w:szCs w:val="20"/>
                <w:color w:val="auto"/>
              </w:rPr>
              <w:t>Capital lease obligations</w:t>
            </w:r>
          </w:p>
        </w:tc>
        <w:tc>
          <w:tcPr>
            <w:tcW w:w="10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6,409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color w:val="auto"/>
              </w:rPr>
              <w:t>925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color w:val="auto"/>
              </w:rPr>
              <w:t>1,905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1,983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1,596</w:t>
            </w:r>
          </w:p>
        </w:tc>
      </w:tr>
      <w:tr>
        <w:trPr>
          <w:trHeight w:val="228"/>
        </w:trPr>
        <w:tc>
          <w:tcPr>
            <w:tcW w:w="466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Liabilities related to acquisitions (2)</w:t>
            </w: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3,700</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88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1,115</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88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2,585</w:t>
            </w:r>
          </w:p>
        </w:tc>
        <w:tc>
          <w:tcPr>
            <w:tcW w:w="2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9"/>
                <w:szCs w:val="19"/>
                <w:color w:val="auto"/>
              </w:rPr>
            </w:pPr>
          </w:p>
        </w:tc>
      </w:tr>
      <w:tr>
        <w:trPr>
          <w:trHeight w:val="219"/>
        </w:trPr>
        <w:tc>
          <w:tcPr>
            <w:tcW w:w="4680" w:type="dxa"/>
            <w:vAlign w:val="bottom"/>
            <w:gridSpan w:val="2"/>
          </w:tcPr>
          <w:p>
            <w:pPr>
              <w:ind w:left="140"/>
              <w:spacing w:after="0" w:line="217" w:lineRule="exact"/>
              <w:rPr>
                <w:sz w:val="20"/>
                <w:szCs w:val="20"/>
                <w:color w:val="auto"/>
              </w:rPr>
            </w:pPr>
            <w:r>
              <w:rPr>
                <w:rFonts w:ascii="Arial" w:cs="Arial" w:eastAsia="Arial" w:hAnsi="Arial"/>
                <w:sz w:val="20"/>
                <w:szCs w:val="20"/>
                <w:color w:val="auto"/>
              </w:rPr>
              <w:t>Totals</w:t>
            </w:r>
          </w:p>
        </w:tc>
        <w:tc>
          <w:tcPr>
            <w:tcW w:w="10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17" w:lineRule="exact"/>
              <w:rPr>
                <w:sz w:val="20"/>
                <w:szCs w:val="20"/>
                <w:color w:val="auto"/>
              </w:rPr>
            </w:pPr>
            <w:r>
              <w:rPr>
                <w:rFonts w:ascii="Arial" w:cs="Arial" w:eastAsia="Arial" w:hAnsi="Arial"/>
                <w:sz w:val="20"/>
                <w:szCs w:val="20"/>
                <w:color w:val="auto"/>
              </w:rPr>
              <w:t>302,408</w:t>
            </w:r>
          </w:p>
        </w:tc>
        <w:tc>
          <w:tcPr>
            <w:tcW w:w="34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880" w:type="dxa"/>
            <w:vAlign w:val="bottom"/>
          </w:tcPr>
          <w:p>
            <w:pPr>
              <w:jc w:val="right"/>
              <w:spacing w:after="0" w:line="217" w:lineRule="exact"/>
              <w:rPr>
                <w:sz w:val="20"/>
                <w:szCs w:val="20"/>
                <w:color w:val="auto"/>
              </w:rPr>
            </w:pPr>
            <w:r>
              <w:rPr>
                <w:rFonts w:ascii="Arial" w:cs="Arial" w:eastAsia="Arial" w:hAnsi="Arial"/>
                <w:sz w:val="20"/>
                <w:szCs w:val="20"/>
                <w:color w:val="auto"/>
              </w:rPr>
              <w:t>138,001</w:t>
            </w:r>
          </w:p>
        </w:tc>
        <w:tc>
          <w:tcPr>
            <w:tcW w:w="34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880" w:type="dxa"/>
            <w:vAlign w:val="bottom"/>
          </w:tcPr>
          <w:p>
            <w:pPr>
              <w:jc w:val="right"/>
              <w:spacing w:after="0" w:line="217" w:lineRule="exact"/>
              <w:rPr>
                <w:sz w:val="20"/>
                <w:szCs w:val="20"/>
                <w:color w:val="auto"/>
              </w:rPr>
            </w:pPr>
            <w:r>
              <w:rPr>
                <w:rFonts w:ascii="Arial" w:cs="Arial" w:eastAsia="Arial" w:hAnsi="Arial"/>
                <w:sz w:val="20"/>
                <w:szCs w:val="20"/>
                <w:color w:val="auto"/>
              </w:rPr>
              <w:t>150,529</w:t>
            </w:r>
          </w:p>
        </w:tc>
        <w:tc>
          <w:tcPr>
            <w:tcW w:w="34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17" w:lineRule="exact"/>
              <w:rPr>
                <w:sz w:val="20"/>
                <w:szCs w:val="20"/>
                <w:color w:val="auto"/>
              </w:rPr>
            </w:pPr>
            <w:r>
              <w:rPr>
                <w:rFonts w:ascii="Arial" w:cs="Arial" w:eastAsia="Arial" w:hAnsi="Arial"/>
                <w:sz w:val="20"/>
                <w:szCs w:val="20"/>
                <w:color w:val="auto"/>
              </w:rPr>
              <w:t>8,802</w:t>
            </w:r>
          </w:p>
        </w:tc>
        <w:tc>
          <w:tcPr>
            <w:tcW w:w="3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5,076</w:t>
            </w: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6719570</wp:posOffset>
                </wp:positionH>
                <wp:positionV relativeFrom="paragraph">
                  <wp:posOffset>-1431925</wp:posOffset>
                </wp:positionV>
                <wp:extent cx="7112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112.7499pt" to="534.7pt,-112.7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3609340</wp:posOffset>
                </wp:positionH>
                <wp:positionV relativeFrom="paragraph">
                  <wp:posOffset>-175895</wp:posOffset>
                </wp:positionV>
                <wp:extent cx="14033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33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2pt,-13.8499pt" to="295.25pt,-13.8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6719570</wp:posOffset>
                </wp:positionH>
                <wp:positionV relativeFrom="paragraph">
                  <wp:posOffset>-175895</wp:posOffset>
                </wp:positionV>
                <wp:extent cx="7112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13.8499pt" to="534.7pt,-13.8499pt" o:allowincell="f" strokecolor="#FFFFFF" strokeweight="0.4751pt"/>
            </w:pict>
          </mc:Fallback>
        </mc:AlternateContent>
      </w:r>
    </w:p>
    <w:p>
      <w:pPr>
        <w:spacing w:after="0" w:line="243" w:lineRule="exact"/>
        <w:rPr>
          <w:sz w:val="20"/>
          <w:szCs w:val="20"/>
          <w:color w:val="auto"/>
        </w:rPr>
      </w:pPr>
    </w:p>
    <w:p>
      <w:pPr>
        <w:ind w:left="486" w:hanging="486"/>
        <w:spacing w:after="0"/>
        <w:tabs>
          <w:tab w:leader="none" w:pos="486"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Primarily consists of purchase obligations for costs associated with uncompleted sales contracts.</w:t>
      </w:r>
    </w:p>
    <w:p>
      <w:pPr>
        <w:ind w:left="486" w:hanging="486"/>
        <w:spacing w:after="0" w:line="238" w:lineRule="auto"/>
        <w:tabs>
          <w:tab w:leader="none" w:pos="486"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Includes notes payable and expected earnout liability.</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ind w:left="6" w:right="60"/>
        <w:spacing w:after="0" w:line="266" w:lineRule="auto"/>
        <w:rPr>
          <w:sz w:val="20"/>
          <w:szCs w:val="20"/>
          <w:color w:val="auto"/>
        </w:rPr>
      </w:pPr>
      <w:r>
        <w:rPr>
          <w:rFonts w:ascii="Arial" w:cs="Arial" w:eastAsia="Arial" w:hAnsi="Arial"/>
          <w:sz w:val="18"/>
          <w:szCs w:val="18"/>
          <w:color w:val="auto"/>
        </w:rPr>
        <w:t>Our consolidated financial statements are prepared in conformity with GAAP. Preparation of the consolidated financial statements in accordance with GAAP requires management to make estimates, judgments and assumptions affecting the reported amounts of assets, liabilities, revenues and expenses and related contingent liabilities. Critical accounting estimates or assumptions are those where the nature of the estimates or assumptions is material given the level of subjectivity and judgment necessary to account for uncertain matters, and the potential impact of the estimates and assumptions on financial condition or operating performance is material. We consider the estimates discussed below to be critical to the understanding of our financial statements. Actual results may differ from our estimates and assumptions, and any such differences could be material to our consolidated financial statements.</w:t>
      </w:r>
    </w:p>
    <w:p>
      <w:pPr>
        <w:spacing w:after="0" w:line="213"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Revenue Recognition</w:t>
      </w:r>
    </w:p>
    <w:p>
      <w:pPr>
        <w:spacing w:after="0" w:line="246" w:lineRule="exact"/>
        <w:rPr>
          <w:sz w:val="20"/>
          <w:szCs w:val="20"/>
          <w:color w:val="auto"/>
        </w:rPr>
      </w:pPr>
    </w:p>
    <w:p>
      <w:pPr>
        <w:jc w:val="both"/>
        <w:ind w:left="6" w:right="80"/>
        <w:spacing w:after="0" w:line="234" w:lineRule="auto"/>
        <w:rPr>
          <w:sz w:val="20"/>
          <w:szCs w:val="20"/>
          <w:color w:val="auto"/>
        </w:rPr>
      </w:pPr>
      <w:r>
        <w:rPr>
          <w:rFonts w:ascii="Arial" w:cs="Arial" w:eastAsia="Arial" w:hAnsi="Arial"/>
          <w:sz w:val="20"/>
          <w:szCs w:val="20"/>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10686"/>
          </w:cols>
          <w:pgMar w:left="594" w:top="837" w:right="600" w:bottom="46" w:gutter="0" w:footer="0" w:header="0"/>
        </w:sectPr>
      </w:pPr>
    </w:p>
    <w:bookmarkStart w:id="45" w:name="page46"/>
    <w:bookmarkEnd w:id="45"/>
    <w:p>
      <w:pPr>
        <w:ind w:right="80"/>
        <w:spacing w:after="0" w:line="235" w:lineRule="auto"/>
        <w:rPr>
          <w:sz w:val="20"/>
          <w:szCs w:val="20"/>
          <w:color w:val="auto"/>
        </w:rPr>
      </w:pPr>
      <w:r>
        <w:rPr>
          <w:rFonts w:ascii="Arial" w:cs="Arial" w:eastAsia="Arial" w:hAnsi="Arial"/>
          <w:sz w:val="20"/>
          <w:szCs w:val="20"/>
          <w:color w:val="auto"/>
        </w:rPr>
        <w:t>We recognize revenue as performance obligations are satisfied.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253"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247"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Provisions for estimated losses on uncompleted contracts are made in the period in which such losses are determined. No provision for estimated losses on uncompleted contracts was needed at December 31, 2023, 2022 and 2021.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Inventories</w:t>
      </w:r>
    </w:p>
    <w:p>
      <w:pPr>
        <w:spacing w:after="0" w:line="24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our forecast of future demand and market conditions. Significant unanticipated changes to our forecasts could require a change in the provision for excess or obsolete inventory.</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Long-lived assets</w:t>
      </w:r>
    </w:p>
    <w:p>
      <w:pPr>
        <w:spacing w:after="0" w:line="248"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Property, plant and equipment and finite life intangible assets are reviewed whenever events or changes in circumstances occur that indicate possible impairment. If such events or changes in circumstances occur,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also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238"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Additionally, we review the remaining useful lives of assets to determine whether events and circumstances warrant a revision to the remaining period of depreciation or amortization. If the estimate of a long-lived asset’s remaining useful life is changed, the remaining carrying amount of the asset is depreciated/amortized prospectively over that revised remaining useful life.</w:t>
      </w:r>
    </w:p>
    <w:p>
      <w:pPr>
        <w:spacing w:after="0" w:line="24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We complete an impairment assessment of the Company's indefinite life intangible assets on an annual basis, or more often as circumstances require. As a part of its annual assessment, we first qualitatively assess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230" w:lineRule="exact"/>
        <w:rPr>
          <w:sz w:val="20"/>
          <w:szCs w:val="20"/>
          <w:color w:val="auto"/>
        </w:rPr>
      </w:pPr>
    </w:p>
    <w:p>
      <w:pPr>
        <w:ind w:right="140"/>
        <w:spacing w:after="0" w:line="249" w:lineRule="auto"/>
        <w:rPr>
          <w:sz w:val="20"/>
          <w:szCs w:val="20"/>
          <w:color w:val="auto"/>
        </w:rPr>
      </w:pPr>
      <w:r>
        <w:rPr>
          <w:rFonts w:ascii="Arial" w:cs="Arial" w:eastAsia="Arial" w:hAnsi="Arial"/>
          <w:sz w:val="19"/>
          <w:szCs w:val="19"/>
          <w:color w:val="auto"/>
        </w:rPr>
        <w:t>During 2023, 2022, and 2021, our annual impairment test indicated no impairment of our indefinite-lived tradenames. Accordingly, we recognized no impairment charges in our financial results for the years ended December 31, 2023, 2022, and 2021. For additional information on impairment testing results, see Note 6 to the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w:t>
      </w:r>
    </w:p>
    <w:p>
      <w:pPr>
        <w:spacing w:after="0" w:line="248" w:lineRule="exact"/>
        <w:rPr>
          <w:sz w:val="20"/>
          <w:szCs w:val="20"/>
          <w:color w:val="auto"/>
        </w:rPr>
      </w:pPr>
    </w:p>
    <w:p>
      <w:pPr>
        <w:ind w:right="120"/>
        <w:spacing w:after="0" w:line="317" w:lineRule="auto"/>
        <w:rPr>
          <w:sz w:val="20"/>
          <w:szCs w:val="20"/>
          <w:color w:val="auto"/>
        </w:rPr>
      </w:pPr>
      <w:r>
        <w:rPr>
          <w:rFonts w:ascii="Arial" w:cs="Arial" w:eastAsia="Arial" w:hAnsi="Arial"/>
          <w:sz w:val="16"/>
          <w:szCs w:val="16"/>
          <w:color w:val="auto"/>
        </w:rPr>
        <w:t>We complete a goodwill impairment assessment on an annual basis as of October 1, or more often as circumstances require, on a reporting unit level, at or below the operating segment level. As a part of the annual assessment, we first qualitatively assess whether current events or changes in circumstances lead to a determination that it is more likely than not (defined as a likelihood of more than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10680"/>
          </w:cols>
          <w:pgMar w:left="600" w:top="849" w:right="600" w:bottom="46" w:gutter="0" w:footer="0" w:header="0"/>
        </w:sectPr>
      </w:pPr>
    </w:p>
    <w:bookmarkStart w:id="46" w:name="page47"/>
    <w:bookmarkEnd w:id="46"/>
    <w:p>
      <w:pPr>
        <w:spacing w:after="0" w:line="249" w:lineRule="auto"/>
        <w:rPr>
          <w:sz w:val="20"/>
          <w:szCs w:val="20"/>
          <w:color w:val="auto"/>
        </w:rPr>
      </w:pPr>
      <w:r>
        <w:rPr>
          <w:rFonts w:ascii="Arial" w:cs="Arial" w:eastAsia="Arial" w:hAnsi="Arial"/>
          <w:sz w:val="19"/>
          <w:szCs w:val="19"/>
          <w:color w:val="auto"/>
        </w:rPr>
        <w:t>50 percent) that the fair value of a reporting unit is less than its carrying amount. If there is a qualitative determination that the fair value of a particular reporting unit is more likely than not greater than its carrying value, we do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24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We base our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projected operational profit and terminal growth rates are significant assumptions because they are three primary drivers of the projected cash flows in the discounted future cash flow approach. Cost of capital is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of the reporting units exceeded their carrying value as of December 31, 2023. For additional information on goodwill impairment testing results, see Note 6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48" w:lineRule="exact"/>
        <w:rPr>
          <w:sz w:val="20"/>
          <w:szCs w:val="20"/>
          <w:color w:val="auto"/>
        </w:rPr>
      </w:pPr>
    </w:p>
    <w:p>
      <w:pPr>
        <w:jc w:val="both"/>
        <w:ind w:right="700"/>
        <w:spacing w:after="0" w:line="234" w:lineRule="auto"/>
        <w:rPr>
          <w:sz w:val="20"/>
          <w:szCs w:val="20"/>
          <w:color w:val="auto"/>
        </w:rPr>
      </w:pPr>
      <w:r>
        <w:rPr>
          <w:rFonts w:ascii="Arial" w:cs="Arial" w:eastAsia="Arial" w:hAnsi="Arial"/>
          <w:sz w:val="20"/>
          <w:szCs w:val="20"/>
          <w:color w:val="auto"/>
        </w:rPr>
        <w:t>Income taxes are determined using the asset and liability method of accounting for income taxes in accordance with Financial Accounting Standards Board (“FASB”), Accounting Standards Codification (“ASC”) Topic 740, “Income Taxes”. Income tax expense includes federal, state and foreign income taxes.</w:t>
      </w:r>
    </w:p>
    <w:p>
      <w:pPr>
        <w:spacing w:after="0" w:line="24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228" w:lineRule="exact"/>
        <w:rPr>
          <w:sz w:val="20"/>
          <w:szCs w:val="20"/>
          <w:color w:val="auto"/>
        </w:rPr>
      </w:pPr>
    </w:p>
    <w:p>
      <w:pPr>
        <w:ind w:right="300"/>
        <w:spacing w:after="0" w:line="235" w:lineRule="auto"/>
        <w:rPr>
          <w:sz w:val="20"/>
          <w:szCs w:val="20"/>
          <w:color w:val="auto"/>
        </w:rPr>
      </w:pPr>
      <w:r>
        <w:rPr>
          <w:rFonts w:ascii="Arial" w:cs="Arial" w:eastAsia="Arial" w:hAnsi="Arial"/>
          <w:sz w:val="20"/>
          <w:szCs w:val="20"/>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We record the related interest expense and penalties, if any, as tax expense in the tax provision.</w:t>
      </w:r>
    </w:p>
    <w:p>
      <w:pPr>
        <w:spacing w:after="0" w:line="253"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246" w:lineRule="exact"/>
        <w:rPr>
          <w:sz w:val="20"/>
          <w:szCs w:val="20"/>
          <w:color w:val="auto"/>
        </w:rPr>
      </w:pPr>
    </w:p>
    <w:p>
      <w:pPr>
        <w:ind w:right="400"/>
        <w:spacing w:after="0" w:line="234" w:lineRule="auto"/>
        <w:rPr>
          <w:sz w:val="20"/>
          <w:szCs w:val="20"/>
          <w:color w:val="auto"/>
        </w:rPr>
      </w:pPr>
      <w:r>
        <w:rPr>
          <w:rFonts w:ascii="Arial" w:cs="Arial" w:eastAsia="Arial" w:hAnsi="Arial"/>
          <w:sz w:val="20"/>
          <w:szCs w:val="20"/>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247"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significant accounting policies</w:t>
      </w:r>
    </w:p>
    <w:p>
      <w:pPr>
        <w:spacing w:after="0" w:line="248" w:lineRule="exact"/>
        <w:rPr>
          <w:sz w:val="20"/>
          <w:szCs w:val="20"/>
          <w:color w:val="auto"/>
        </w:rPr>
      </w:pPr>
    </w:p>
    <w:p>
      <w:pPr>
        <w:ind w:right="760"/>
        <w:spacing w:after="0" w:line="338" w:lineRule="auto"/>
        <w:rPr>
          <w:sz w:val="20"/>
          <w:szCs w:val="20"/>
          <w:color w:val="auto"/>
        </w:rPr>
      </w:pPr>
      <w:r>
        <w:rPr>
          <w:rFonts w:ascii="Arial" w:cs="Arial" w:eastAsia="Arial" w:hAnsi="Arial"/>
          <w:sz w:val="16"/>
          <w:szCs w:val="16"/>
          <w:color w:val="auto"/>
        </w:rPr>
        <w:t>Other significant accounting policies, not involving the same level of uncertainties as those discussed above, are nevertheless important to an understanding of our financial statements. See Note 1 to the Consolidated Financial Statements, Summary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10680"/>
          </w:cols>
          <w:pgMar w:left="600" w:top="849" w:right="600" w:bottom="46" w:gutter="0" w:footer="0" w:header="0"/>
        </w:sectPr>
      </w:pPr>
    </w:p>
    <w:bookmarkStart w:id="47" w:name="page48"/>
    <w:bookmarkEnd w:id="47"/>
    <w:p>
      <w:pPr>
        <w:ind w:right="840"/>
        <w:spacing w:after="0" w:line="232" w:lineRule="auto"/>
        <w:rPr>
          <w:sz w:val="20"/>
          <w:szCs w:val="20"/>
          <w:color w:val="auto"/>
        </w:rPr>
      </w:pPr>
      <w:r>
        <w:rPr>
          <w:rFonts w:ascii="Arial" w:cs="Arial" w:eastAsia="Arial" w:hAnsi="Arial"/>
          <w:sz w:val="20"/>
          <w:szCs w:val="20"/>
          <w:color w:val="auto"/>
        </w:rPr>
        <w:t>Significant Accounting Policies, which discusses accounting policies that must be selected by us when there are acceptable alternatives.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Pronouncements</w:t>
      </w:r>
    </w:p>
    <w:p>
      <w:pPr>
        <w:spacing w:after="0" w:line="248"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For information regarding recent accounting pronouncements, see Note 1 to the Consolidated Financial Statements included in this annual report on Form 10-K.</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The amount of interest expense may increase because a substantial portion of our borrowings is at variable rates of interest, which, if interest rates increase, could result in higher interest expense. We do not currently hold any derivatives or other financial instruments purely for trading or speculative purposes.</w:t>
      </w:r>
    </w:p>
    <w:p>
      <w:pPr>
        <w:spacing w:after="0" w:line="229"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The carrying value of the Company’s total long-term debt and current maturities of long-term debt at December 31, 2023 was $138.6 million. Market risk was estimated as the potential decrease (increase) in future earnings and cash flows resulting from a hypothetical 10% increase (decrease) in the Company’s estimated weighted average borrowing rate at December 31, 2023. Most of the interest on the Company’s debt is indexed to SOFR market rates. The estimated annual impact of a hypothetical 10% change in the estimated weighted average borrowing rate at December 31, 2023 is $1.2 million.</w:t>
      </w:r>
    </w:p>
    <w:p>
      <w:pPr>
        <w:spacing w:after="0" w:line="24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United Kingdom, Singapore, India, United Arab Emirates and South Korea. In the past, we have not hedged our foreign currency exposure. Future changes in exchange rates may positively or negatively impact our revenues, operating expenses and earnings. Transaction gains (losses) included in “Other income (expense), net” line of the Consolidated Statements of Income were $1.2 million, $6.3 million, and $(3.1) million in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10580"/>
          </w:cols>
          <w:pgMar w:left="600" w:top="849" w:right="700" w:bottom="46"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46"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Consolidated Financial Statements of CECO Environmental Corp. and subsidiaries for the years ended December 31, 2023, 2022 and 2021 and other data are included in this report following the signature page of this report and incorporated into this Item 8 by reference: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92"/>
              </w:rPr>
              <w:t>Report of Independent Registered Public Accounting Firm (BDO USA, P.C., Cincinnati, Ohio, PCAOB #243)</w:t>
            </w:r>
          </w:p>
        </w:tc>
        <w:tc>
          <w:tcPr>
            <w:tcW w:w="1880" w:type="dxa"/>
            <w:vAlign w:val="bottom"/>
          </w:tcPr>
          <w:p>
            <w:pPr>
              <w:jc w:val="right"/>
              <w:spacing w:after="0"/>
              <w:rPr>
                <w:sz w:val="20"/>
                <w:szCs w:val="20"/>
                <w:color w:val="auto"/>
              </w:rPr>
            </w:pPr>
            <w:r>
              <w:rPr>
                <w:rFonts w:ascii="Arial" w:cs="Arial" w:eastAsia="Arial" w:hAnsi="Arial"/>
                <w:sz w:val="20"/>
                <w:szCs w:val="20"/>
                <w:color w:val="auto"/>
                <w:w w:val="86"/>
              </w:rPr>
              <w:t>......................F-1</w:t>
            </w:r>
          </w:p>
        </w:tc>
      </w:tr>
      <w:tr>
        <w:trPr>
          <w:trHeight w:val="222"/>
        </w:trPr>
        <w:tc>
          <w:tcPr>
            <w:tcW w:w="8800" w:type="dxa"/>
            <w:vAlign w:val="bottom"/>
            <w:gridSpan w:val="8"/>
          </w:tcPr>
          <w:p>
            <w:pPr>
              <w:spacing w:after="0" w:line="223" w:lineRule="exact"/>
              <w:rPr>
                <w:sz w:val="20"/>
                <w:szCs w:val="20"/>
                <w:color w:val="auto"/>
              </w:rPr>
            </w:pPr>
            <w:r>
              <w:rPr>
                <w:rFonts w:ascii="Arial" w:cs="Arial" w:eastAsia="Arial" w:hAnsi="Arial"/>
                <w:sz w:val="20"/>
                <w:szCs w:val="20"/>
                <w:color w:val="auto"/>
                <w:w w:val="78"/>
              </w:rPr>
              <w:t>Consolidated Balance Sheets ........................................................................................................................................................</w:t>
            </w:r>
          </w:p>
        </w:tc>
        <w:tc>
          <w:tcPr>
            <w:tcW w:w="1880" w:type="dxa"/>
            <w:vAlign w:val="bottom"/>
          </w:tcPr>
          <w:p>
            <w:pPr>
              <w:jc w:val="right"/>
              <w:spacing w:after="0" w:line="223" w:lineRule="exact"/>
              <w:rPr>
                <w:sz w:val="20"/>
                <w:szCs w:val="20"/>
                <w:color w:val="auto"/>
              </w:rPr>
            </w:pPr>
            <w:r>
              <w:rPr>
                <w:rFonts w:ascii="Arial" w:cs="Arial" w:eastAsia="Arial" w:hAnsi="Arial"/>
                <w:sz w:val="20"/>
                <w:szCs w:val="20"/>
                <w:color w:val="auto"/>
              </w:rPr>
              <w:t>F-3</w:t>
            </w:r>
          </w:p>
        </w:tc>
      </w:tr>
      <w:tr>
        <w:trPr>
          <w:trHeight w:val="20"/>
        </w:trPr>
        <w:tc>
          <w:tcPr>
            <w:tcW w:w="2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8800" w:type="dxa"/>
            <w:vAlign w:val="bottom"/>
            <w:gridSpan w:val="8"/>
          </w:tcPr>
          <w:p>
            <w:pPr>
              <w:spacing w:after="0" w:line="223" w:lineRule="exact"/>
              <w:rPr>
                <w:sz w:val="20"/>
                <w:szCs w:val="20"/>
                <w:color w:val="auto"/>
              </w:rPr>
            </w:pPr>
            <w:r>
              <w:rPr>
                <w:rFonts w:ascii="Arial" w:cs="Arial" w:eastAsia="Arial" w:hAnsi="Arial"/>
                <w:sz w:val="20"/>
                <w:szCs w:val="20"/>
                <w:color w:val="auto"/>
                <w:w w:val="79"/>
              </w:rPr>
              <w:t>Consolidated Statements of Income .............................................................................................................................................</w:t>
            </w:r>
          </w:p>
        </w:tc>
        <w:tc>
          <w:tcPr>
            <w:tcW w:w="1880" w:type="dxa"/>
            <w:vAlign w:val="bottom"/>
          </w:tcPr>
          <w:p>
            <w:pPr>
              <w:jc w:val="right"/>
              <w:spacing w:after="0" w:line="223" w:lineRule="exact"/>
              <w:rPr>
                <w:sz w:val="20"/>
                <w:szCs w:val="20"/>
                <w:color w:val="auto"/>
              </w:rPr>
            </w:pPr>
            <w:r>
              <w:rPr>
                <w:rFonts w:ascii="Arial" w:cs="Arial" w:eastAsia="Arial" w:hAnsi="Arial"/>
                <w:sz w:val="20"/>
                <w:szCs w:val="20"/>
                <w:color w:val="auto"/>
              </w:rPr>
              <w:t>F-4</w:t>
            </w:r>
          </w:p>
        </w:tc>
      </w:tr>
      <w:tr>
        <w:trPr>
          <w:trHeight w:val="20"/>
        </w:trPr>
        <w:tc>
          <w:tcPr>
            <w:tcW w:w="28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8800" w:type="dxa"/>
            <w:vAlign w:val="bottom"/>
            <w:gridSpan w:val="8"/>
          </w:tcPr>
          <w:p>
            <w:pPr>
              <w:spacing w:after="0" w:line="223" w:lineRule="exact"/>
              <w:rPr>
                <w:sz w:val="20"/>
                <w:szCs w:val="20"/>
                <w:color w:val="auto"/>
              </w:rPr>
            </w:pPr>
            <w:r>
              <w:rPr>
                <w:rFonts w:ascii="Arial" w:cs="Arial" w:eastAsia="Arial" w:hAnsi="Arial"/>
                <w:sz w:val="20"/>
                <w:szCs w:val="20"/>
                <w:color w:val="auto"/>
                <w:w w:val="79"/>
              </w:rPr>
              <w:t>Consolidated Statements of Comprehensive Income ...................................................................................................................</w:t>
            </w:r>
          </w:p>
        </w:tc>
        <w:tc>
          <w:tcPr>
            <w:tcW w:w="1880" w:type="dxa"/>
            <w:vAlign w:val="bottom"/>
          </w:tcPr>
          <w:p>
            <w:pPr>
              <w:jc w:val="right"/>
              <w:spacing w:after="0" w:line="223" w:lineRule="exact"/>
              <w:rPr>
                <w:sz w:val="20"/>
                <w:szCs w:val="20"/>
                <w:color w:val="auto"/>
              </w:rPr>
            </w:pPr>
            <w:r>
              <w:rPr>
                <w:rFonts w:ascii="Arial" w:cs="Arial" w:eastAsia="Arial" w:hAnsi="Arial"/>
                <w:sz w:val="20"/>
                <w:szCs w:val="20"/>
                <w:color w:val="auto"/>
              </w:rPr>
              <w:t>F-5</w:t>
            </w:r>
          </w:p>
        </w:tc>
      </w:tr>
      <w:tr>
        <w:trPr>
          <w:trHeight w:val="20"/>
        </w:trPr>
        <w:tc>
          <w:tcPr>
            <w:tcW w:w="31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8800" w:type="dxa"/>
            <w:vAlign w:val="bottom"/>
            <w:gridSpan w:val="8"/>
          </w:tcPr>
          <w:p>
            <w:pPr>
              <w:spacing w:after="0" w:line="223" w:lineRule="exact"/>
              <w:rPr>
                <w:sz w:val="20"/>
                <w:szCs w:val="20"/>
                <w:color w:val="auto"/>
              </w:rPr>
            </w:pPr>
            <w:r>
              <w:rPr>
                <w:rFonts w:ascii="Arial" w:cs="Arial" w:eastAsia="Arial" w:hAnsi="Arial"/>
                <w:sz w:val="20"/>
                <w:szCs w:val="20"/>
                <w:color w:val="auto"/>
                <w:w w:val="79"/>
              </w:rPr>
              <w:t>Consolidated Statements of Shareholders’ Equity ........................................................................................................................</w:t>
            </w:r>
          </w:p>
        </w:tc>
        <w:tc>
          <w:tcPr>
            <w:tcW w:w="1880" w:type="dxa"/>
            <w:vAlign w:val="bottom"/>
          </w:tcPr>
          <w:p>
            <w:pPr>
              <w:jc w:val="right"/>
              <w:spacing w:after="0" w:line="223" w:lineRule="exact"/>
              <w:rPr>
                <w:sz w:val="20"/>
                <w:szCs w:val="20"/>
                <w:color w:val="auto"/>
              </w:rPr>
            </w:pPr>
            <w:r>
              <w:rPr>
                <w:rFonts w:ascii="Arial" w:cs="Arial" w:eastAsia="Arial" w:hAnsi="Arial"/>
                <w:sz w:val="20"/>
                <w:szCs w:val="20"/>
                <w:color w:val="auto"/>
              </w:rPr>
              <w:t>F-6</w:t>
            </w:r>
          </w:p>
        </w:tc>
      </w:tr>
      <w:tr>
        <w:trPr>
          <w:trHeight w:val="20"/>
        </w:trPr>
        <w:tc>
          <w:tcPr>
            <w:tcW w:w="31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8800" w:type="dxa"/>
            <w:vAlign w:val="bottom"/>
            <w:gridSpan w:val="8"/>
          </w:tcPr>
          <w:p>
            <w:pPr>
              <w:spacing w:after="0" w:line="223" w:lineRule="exact"/>
              <w:rPr>
                <w:sz w:val="20"/>
                <w:szCs w:val="20"/>
                <w:color w:val="auto"/>
              </w:rPr>
            </w:pPr>
            <w:r>
              <w:rPr>
                <w:rFonts w:ascii="Arial" w:cs="Arial" w:eastAsia="Arial" w:hAnsi="Arial"/>
                <w:sz w:val="20"/>
                <w:szCs w:val="20"/>
                <w:color w:val="auto"/>
                <w:w w:val="79"/>
              </w:rPr>
              <w:t>Accumulated Other Comprehensive Loss ....................................................................................................................................</w:t>
            </w:r>
          </w:p>
        </w:tc>
        <w:tc>
          <w:tcPr>
            <w:tcW w:w="1880" w:type="dxa"/>
            <w:vAlign w:val="bottom"/>
          </w:tcPr>
          <w:p>
            <w:pPr>
              <w:jc w:val="right"/>
              <w:spacing w:after="0" w:line="223" w:lineRule="exact"/>
              <w:rPr>
                <w:sz w:val="20"/>
                <w:szCs w:val="20"/>
                <w:color w:val="auto"/>
              </w:rPr>
            </w:pPr>
            <w:r>
              <w:rPr>
                <w:rFonts w:ascii="Arial" w:cs="Arial" w:eastAsia="Arial" w:hAnsi="Arial"/>
                <w:sz w:val="20"/>
                <w:szCs w:val="20"/>
                <w:color w:val="auto"/>
              </w:rPr>
              <w:t>F-7</w:t>
            </w:r>
          </w:p>
        </w:tc>
      </w:tr>
      <w:tr>
        <w:trPr>
          <w:trHeight w:val="20"/>
        </w:trPr>
        <w:tc>
          <w:tcPr>
            <w:tcW w:w="31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8800" w:type="dxa"/>
            <w:vAlign w:val="bottom"/>
            <w:gridSpan w:val="8"/>
          </w:tcPr>
          <w:p>
            <w:pPr>
              <w:spacing w:after="0" w:line="223" w:lineRule="exact"/>
              <w:rPr>
                <w:sz w:val="20"/>
                <w:szCs w:val="20"/>
                <w:color w:val="auto"/>
              </w:rPr>
            </w:pPr>
            <w:r>
              <w:rPr>
                <w:rFonts w:ascii="Arial" w:cs="Arial" w:eastAsia="Arial" w:hAnsi="Arial"/>
                <w:sz w:val="20"/>
                <w:szCs w:val="20"/>
                <w:color w:val="auto"/>
                <w:w w:val="78"/>
              </w:rPr>
              <w:t>Consolidated Statements of Cash Flows .......................................................................................................................................</w:t>
            </w:r>
          </w:p>
        </w:tc>
        <w:tc>
          <w:tcPr>
            <w:tcW w:w="1880" w:type="dxa"/>
            <w:vAlign w:val="bottom"/>
          </w:tcPr>
          <w:p>
            <w:pPr>
              <w:jc w:val="right"/>
              <w:spacing w:after="0" w:line="223" w:lineRule="exact"/>
              <w:rPr>
                <w:sz w:val="20"/>
                <w:szCs w:val="20"/>
                <w:color w:val="auto"/>
              </w:rPr>
            </w:pPr>
            <w:r>
              <w:rPr>
                <w:rFonts w:ascii="Arial" w:cs="Arial" w:eastAsia="Arial" w:hAnsi="Arial"/>
                <w:sz w:val="20"/>
                <w:szCs w:val="20"/>
                <w:color w:val="auto"/>
              </w:rPr>
              <w:t>F-8</w:t>
            </w:r>
          </w:p>
        </w:tc>
      </w:tr>
      <w:tr>
        <w:trPr>
          <w:trHeight w:val="20"/>
        </w:trPr>
        <w:tc>
          <w:tcPr>
            <w:tcW w:w="316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8800" w:type="dxa"/>
            <w:vAlign w:val="bottom"/>
            <w:gridSpan w:val="8"/>
          </w:tcPr>
          <w:p>
            <w:pPr>
              <w:spacing w:after="0" w:line="223" w:lineRule="exact"/>
              <w:rPr>
                <w:sz w:val="20"/>
                <w:szCs w:val="20"/>
                <w:color w:val="auto"/>
              </w:rPr>
            </w:pPr>
            <w:r>
              <w:rPr>
                <w:rFonts w:ascii="Arial" w:cs="Arial" w:eastAsia="Arial" w:hAnsi="Arial"/>
                <w:sz w:val="20"/>
                <w:szCs w:val="20"/>
                <w:color w:val="auto"/>
                <w:w w:val="78"/>
              </w:rPr>
              <w:t>Notes to Consolidated Financial Statements .................................................................................................................................</w:t>
            </w:r>
          </w:p>
        </w:tc>
        <w:tc>
          <w:tcPr>
            <w:tcW w:w="1880" w:type="dxa"/>
            <w:vAlign w:val="bottom"/>
          </w:tcPr>
          <w:p>
            <w:pPr>
              <w:jc w:val="right"/>
              <w:spacing w:after="0" w:line="223" w:lineRule="exact"/>
              <w:rPr>
                <w:sz w:val="20"/>
                <w:szCs w:val="20"/>
                <w:color w:val="auto"/>
              </w:rPr>
            </w:pPr>
            <w:r>
              <w:rPr>
                <w:rFonts w:ascii="Arial" w:cs="Arial" w:eastAsia="Arial" w:hAnsi="Arial"/>
                <w:sz w:val="20"/>
                <w:szCs w:val="20"/>
                <w:color w:val="auto"/>
              </w:rPr>
              <w:t>F-9</w:t>
            </w:r>
          </w:p>
        </w:tc>
      </w:tr>
      <w:tr>
        <w:trPr>
          <w:trHeight w:val="20"/>
        </w:trPr>
        <w:tc>
          <w:tcPr>
            <w:tcW w:w="2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84" w:lineRule="exact"/>
        <w:rPr>
          <w:sz w:val="20"/>
          <w:szCs w:val="20"/>
          <w:color w:val="auto"/>
        </w:rPr>
      </w:pPr>
    </w:p>
    <w:p>
      <w:pPr>
        <w:ind w:right="2500"/>
        <w:spacing w:after="0" w:line="472" w:lineRule="auto"/>
        <w:rPr>
          <w:sz w:val="20"/>
          <w:szCs w:val="20"/>
          <w:color w:val="auto"/>
        </w:rPr>
      </w:pPr>
      <w:r>
        <w:rPr>
          <w:rFonts w:ascii="Arial" w:cs="Arial" w:eastAsia="Arial" w:hAnsi="Arial"/>
          <w:sz w:val="20"/>
          <w:szCs w:val="20"/>
          <w:b w:val="1"/>
          <w:bCs w:val="1"/>
          <w:color w:val="auto"/>
        </w:rPr>
        <w:t xml:space="preserve">Item 9. Changes in and Disagreements with Accountants on Accounting and Financial Disclosure </w:t>
      </w:r>
      <w:r>
        <w:rPr>
          <w:rFonts w:ascii="Arial" w:cs="Arial" w:eastAsia="Arial" w:hAnsi="Arial"/>
          <w:sz w:val="20"/>
          <w:szCs w:val="20"/>
          <w:color w:val="auto"/>
        </w:rPr>
        <w:t>None.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4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and Strategy Officer, as appropriate, to allow timely decisions regarding required disclosure.</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In connection with the preparation of this Annual Report on Form 10-K, our management, with the participation of our Chief Executive Officer and Chief Financial and Strategy Officer, carried out an evaluation of the effectiveness of the design and operation of our disclosure controls and procedures as of December 31, 2023. Based on that evaluation, our management, including our Chief Executive Officer and Chief Financial and Strategy Officer, concluded that our disclosure controls and procedures were not effective as of December 31, 2023, as a result of the material weaknesses in our internal control over financial reporting discussed below, which are currently being remediated.</w:t>
      </w:r>
    </w:p>
    <w:p>
      <w:pPr>
        <w:spacing w:after="0" w:line="253"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and Strategy Officer, the Company conducted an evaluation of the effectiveness of internal control over financial reporting as of December 31, 2023, based on the criteria set forth in Internal Control – Integrated Framework (2013) (the “Framework”) issued by the Committee of Sponsoring Organizations of the Treadway Commission (“COSO”). Based on this assessment, management concluded that, as of December 31, 2023, its internal control over financial reporting was not effective based on the Framework, as a result of the material weaknesses in our internal control over financial reporting discussed below.</w:t>
      </w:r>
    </w:p>
    <w:p>
      <w:pPr>
        <w:spacing w:after="0" w:line="226"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Notwithstanding these material weaknesses, management believes that the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10680"/>
          </w:cols>
          <w:pgMar w:left="600" w:top="837" w:right="600" w:bottom="46" w:gutter="0" w:footer="0" w:header="0"/>
        </w:sectPr>
      </w:pPr>
    </w:p>
    <w:bookmarkStart w:id="49" w:name="page50"/>
    <w:bookmarkEnd w:id="49"/>
    <w:p>
      <w:pPr>
        <w:ind w:left="40"/>
        <w:spacing w:after="0"/>
        <w:rPr>
          <w:sz w:val="20"/>
          <w:szCs w:val="20"/>
          <w:color w:val="auto"/>
        </w:rPr>
      </w:pPr>
      <w:r>
        <w:rPr>
          <w:rFonts w:ascii="Arial" w:cs="Arial" w:eastAsia="Arial" w:hAnsi="Arial"/>
          <w:sz w:val="20"/>
          <w:szCs w:val="20"/>
          <w:b w:val="1"/>
          <w:bCs w:val="1"/>
          <w:color w:val="auto"/>
        </w:rPr>
        <w:t>Material Weaknesses in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Recognition</w:t>
      </w:r>
    </w:p>
    <w:p>
      <w:pPr>
        <w:spacing w:after="0" w:line="239"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As previously reported, we identified a material weakness in internal control over financial reporting relating to management’s review of its revenue recognition for contracts recognized over time isolated to our Engineered Systems segment. Specifically, management did not retain appropriate documentation supporting the review of over time revenue recognition for customer contracts within the Engineered Systems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Reconciliations</w:t>
      </w:r>
    </w:p>
    <w:p>
      <w:pPr>
        <w:spacing w:after="0" w:line="239"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As previously reported, we identified a material weakness in internal control over financial reporting relating to management’s review of balance sheet reconciliations for certain divisions within our Engineered Systems segment. Specifically, management did not review the reconciliations prepared for balance sheet accounts for certain divisions within the Engineered Systems segment as required by Company policy.</w:t>
      </w:r>
    </w:p>
    <w:p>
      <w:pPr>
        <w:spacing w:after="0" w:line="242"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These material weaknesses did not result in any material misstatement in our interim or audited financial statements or disclosures, and there were no changes required to any of our previously released interim or audited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Remediation Efforts to Address Material Weaknesses</w:t>
      </w:r>
    </w:p>
    <w:p>
      <w:pPr>
        <w:spacing w:after="0" w:line="327" w:lineRule="exact"/>
        <w:rPr>
          <w:sz w:val="20"/>
          <w:szCs w:val="20"/>
          <w:color w:val="auto"/>
        </w:rPr>
      </w:pPr>
    </w:p>
    <w:p>
      <w:pPr>
        <w:ind w:right="160"/>
        <w:spacing w:after="0" w:line="249" w:lineRule="auto"/>
        <w:rPr>
          <w:sz w:val="20"/>
          <w:szCs w:val="20"/>
          <w:color w:val="auto"/>
        </w:rPr>
      </w:pPr>
      <w:r>
        <w:rPr>
          <w:rFonts w:ascii="Arial" w:cs="Arial" w:eastAsia="Arial" w:hAnsi="Arial"/>
          <w:sz w:val="19"/>
          <w:szCs w:val="19"/>
          <w:color w:val="auto"/>
        </w:rPr>
        <w:t>Management is committed to maintaining a strong internal control environment. In response to the identified material weaknesses, management, with the oversight of the Audit Committee of the Board of Directors, has taken actions toward the remediation of the material weaknesses in internal control over financial reporting, including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 As of December 31, 2023, management has reinforced policies through training sessions as well as ongoing communications, and implemented incremental monitoring activities, but remediation efforts are ongoing.</w:t>
      </w:r>
    </w:p>
    <w:p>
      <w:pPr>
        <w:spacing w:after="0" w:line="281"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The Company anticipates the actions described above and resulting improvements in controls will strengthen the Company’s processes, procedures and controls related to management’s review of over time revenue recognition and balance sheet reconciliations and will address the related material weaknesses. However, the material weaknesses cannot be considered remediated until the applicable controls have operated for a sufficient period of time, and management has concluded, through testing, that the controls are operating effectively.</w:t>
      </w:r>
    </w:p>
    <w:p>
      <w:pPr>
        <w:spacing w:after="0" w:line="250" w:lineRule="exact"/>
        <w:rPr>
          <w:sz w:val="20"/>
          <w:szCs w:val="20"/>
          <w:color w:val="auto"/>
        </w:rPr>
      </w:pPr>
    </w:p>
    <w:p>
      <w:pPr>
        <w:ind w:right="340"/>
        <w:spacing w:after="0" w:line="249" w:lineRule="auto"/>
        <w:rPr>
          <w:sz w:val="20"/>
          <w:szCs w:val="20"/>
          <w:color w:val="auto"/>
        </w:rPr>
      </w:pPr>
      <w:r>
        <w:rPr>
          <w:rFonts w:ascii="Arial" w:cs="Arial" w:eastAsia="Arial" w:hAnsi="Arial"/>
          <w:sz w:val="19"/>
          <w:szCs w:val="19"/>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242" w:lineRule="exact"/>
        <w:rPr>
          <w:sz w:val="20"/>
          <w:szCs w:val="20"/>
          <w:color w:val="auto"/>
        </w:rPr>
      </w:pPr>
    </w:p>
    <w:p>
      <w:pPr>
        <w:ind w:right="180"/>
        <w:spacing w:after="0" w:line="249" w:lineRule="auto"/>
        <w:rPr>
          <w:sz w:val="20"/>
          <w:szCs w:val="20"/>
          <w:color w:val="auto"/>
        </w:rPr>
      </w:pPr>
      <w:r>
        <w:rPr>
          <w:rFonts w:ascii="Arial" w:cs="Arial" w:eastAsia="Arial" w:hAnsi="Arial"/>
          <w:sz w:val="19"/>
          <w:szCs w:val="19"/>
          <w:color w:val="auto"/>
        </w:rPr>
        <w:t>Our independent registered public accounting firm has issued their attestation report on our internal control over financial reporting. The report is included below under the heading “Report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6" w:lineRule="exact"/>
        <w:rPr>
          <w:sz w:val="20"/>
          <w:szCs w:val="20"/>
          <w:color w:val="auto"/>
        </w:rPr>
      </w:pPr>
    </w:p>
    <w:p>
      <w:pPr>
        <w:ind w:right="140"/>
        <w:spacing w:after="0" w:line="249" w:lineRule="auto"/>
        <w:rPr>
          <w:sz w:val="20"/>
          <w:szCs w:val="20"/>
          <w:color w:val="auto"/>
        </w:rPr>
      </w:pPr>
      <w:r>
        <w:rPr>
          <w:rFonts w:ascii="Arial" w:cs="Arial" w:eastAsia="Arial" w:hAnsi="Arial"/>
          <w:sz w:val="19"/>
          <w:szCs w:val="19"/>
          <w:color w:val="auto"/>
        </w:rPr>
        <w:t>Except as noted above with respect to our ongoing remediation efforts, there were no changes in our internal control over financial reporting (as defined in Rule 13a-15(f) of the Exchange Act) during the fiscal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10640"/>
          </w:cols>
          <w:pgMar w:left="600" w:top="837" w:right="640" w:bottom="46"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Shareholders and Board of Directors</w:t>
      </w:r>
    </w:p>
    <w:p>
      <w:pPr>
        <w:spacing w:after="0" w:line="238" w:lineRule="auto"/>
        <w:rPr>
          <w:sz w:val="20"/>
          <w:szCs w:val="20"/>
          <w:color w:val="auto"/>
        </w:rPr>
      </w:pPr>
      <w:r>
        <w:rPr>
          <w:rFonts w:ascii="Arial" w:cs="Arial" w:eastAsia="Arial" w:hAnsi="Arial"/>
          <w:sz w:val="20"/>
          <w:szCs w:val="20"/>
          <w:color w:val="auto"/>
        </w:rPr>
        <w:t>CECO Environmental Corp.</w:t>
      </w:r>
    </w:p>
    <w:p>
      <w:pPr>
        <w:spacing w:after="0" w:line="238" w:lineRule="auto"/>
        <w:rPr>
          <w:sz w:val="20"/>
          <w:szCs w:val="20"/>
          <w:color w:val="auto"/>
        </w:rPr>
      </w:pPr>
      <w:r>
        <w:rPr>
          <w:rFonts w:ascii="Arial" w:cs="Arial" w:eastAsia="Arial" w:hAnsi="Arial"/>
          <w:sz w:val="20"/>
          <w:szCs w:val="20"/>
          <w:color w:val="auto"/>
        </w:rPr>
        <w:t>Dallas, Texas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 xml:space="preserve">We have audited CECO Environmental Corp.’s (the “Company’s”) internal control over financial reporting as of December 31, 2023, based on criteria established in </w:t>
      </w:r>
      <w:r>
        <w:rPr>
          <w:rFonts w:ascii="Arial" w:cs="Arial" w:eastAsia="Arial" w:hAnsi="Arial"/>
          <w:sz w:val="19"/>
          <w:szCs w:val="19"/>
          <w:i w:val="1"/>
          <w:iCs w:val="1"/>
          <w:color w:val="auto"/>
        </w:rPr>
        <w:t>Internal Control</w:t>
      </w:r>
      <w:r>
        <w:rPr>
          <w:rFonts w:ascii="Arial" w:cs="Arial" w:eastAsia="Arial" w:hAnsi="Arial"/>
          <w:sz w:val="19"/>
          <w:szCs w:val="19"/>
          <w:color w:val="auto"/>
        </w:rPr>
        <w:t xml:space="preserve"> </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Integrated Framework (2013)</w:t>
      </w:r>
      <w:r>
        <w:rPr>
          <w:rFonts w:ascii="Arial" w:cs="Arial" w:eastAsia="Arial" w:hAnsi="Arial"/>
          <w:sz w:val="19"/>
          <w:szCs w:val="19"/>
          <w:color w:val="auto"/>
        </w:rPr>
        <w:t xml:space="preserve"> issued by the Committee of Sponsoring Organizations of the Treadway Commission (the “COSO criteria”). In our opinion, the Company did not maintain, in all material respects, eff ective internal control over financial reporting as of December 31, 2023, based on the COSO criteria.</w:t>
      </w:r>
    </w:p>
    <w:p>
      <w:pPr>
        <w:spacing w:after="0" w:line="228"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We do not express an opinion or any other form of assurance on management’s statements referring to any corrective actions ta ken by the Company after the date of management’s assessment.</w:t>
      </w:r>
    </w:p>
    <w:p>
      <w:pPr>
        <w:spacing w:after="0" w:line="2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2023 and 2022, the related consolidated statements of income and comprehensive income, shareholders’ equity and accumulated other comprehensive loss, and cash flows for each of the three yea rs in the period ended December 31, 2023, and the related notes and our report dated March 5, 2024, expressed an unqualified opinion thereon.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 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8" w:lineRule="exact"/>
        <w:rPr>
          <w:sz w:val="20"/>
          <w:szCs w:val="20"/>
          <w:color w:val="auto"/>
        </w:rPr>
      </w:pPr>
    </w:p>
    <w:p>
      <w:pPr>
        <w:jc w:val="both"/>
        <w:ind w:right="20"/>
        <w:spacing w:after="0" w:line="305"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regarding management’s review of its revenue recognition for contracts recognized over time in the Engineered Systems segment and review of balance sheet reconciliations have been identified and described in management’s assessment. These material weaknesses were considered in determining the nature, timing, and extent of audit tests applied in our audit of the 2023 financial statements, and this report does not affect our report dated March 5, 2024 on those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10700"/>
          </w:cols>
          <w:pgMar w:left="600" w:top="837" w:right="580" w:bottom="46"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/s/ BDO USA, P.C.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March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00"/>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9840"/>
          </w:cols>
          <w:pgMar w:left="600" w:top="1063" w:right="1440" w:bottom="46"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Item 9B.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Rule 10b5-1 Trading Plans</w:t>
      </w:r>
    </w:p>
    <w:p>
      <w:pPr>
        <w:spacing w:after="0" w:line="238" w:lineRule="auto"/>
        <w:rPr>
          <w:sz w:val="20"/>
          <w:szCs w:val="20"/>
          <w:color w:val="auto"/>
        </w:rPr>
      </w:pPr>
      <w:r>
        <w:rPr>
          <w:rFonts w:ascii="Arial" w:cs="Arial" w:eastAsia="Arial" w:hAnsi="Arial"/>
          <w:sz w:val="20"/>
          <w:szCs w:val="20"/>
          <w:color w:val="auto"/>
        </w:rPr>
        <w:t>(b)</w:t>
      </w:r>
    </w:p>
    <w:p>
      <w:pPr>
        <w:spacing w:after="0" w:line="1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10180"/>
          </w:cols>
          <w:pgMar w:left="600" w:top="1303" w:right="1100" w:bottom="46" w:gutter="0" w:footer="0" w:header="0"/>
        </w:sectPr>
      </w:pPr>
    </w:p>
    <w:bookmarkStart w:id="53" w:name="page54"/>
    <w:bookmarkEnd w:id="53"/>
    <w:p>
      <w:pPr>
        <w:ind w:left="4980"/>
        <w:spacing w:after="0"/>
        <w:rPr>
          <w:sz w:val="20"/>
          <w:szCs w:val="20"/>
          <w:color w:val="auto"/>
        </w:rPr>
      </w:pPr>
      <w:r>
        <w:rPr>
          <w:rFonts w:ascii="Arial" w:cs="Arial" w:eastAsia="Arial" w:hAnsi="Arial"/>
          <w:sz w:val="20"/>
          <w:szCs w:val="20"/>
          <w:b w:val="1"/>
          <w:bCs w:val="1"/>
          <w:color w:val="auto"/>
        </w:rPr>
        <w:t>PART III</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29" w:lineRule="exact"/>
        <w:rPr>
          <w:sz w:val="20"/>
          <w:szCs w:val="20"/>
          <w:color w:val="auto"/>
        </w:rPr>
      </w:pPr>
    </w:p>
    <w:p>
      <w:pPr>
        <w:ind w:left="40" w:right="20"/>
        <w:spacing w:after="0" w:line="250" w:lineRule="auto"/>
        <w:rPr>
          <w:sz w:val="20"/>
          <w:szCs w:val="20"/>
          <w:color w:val="auto"/>
        </w:rPr>
      </w:pPr>
      <w:r>
        <w:rPr>
          <w:rFonts w:ascii="Arial" w:cs="Arial" w:eastAsia="Arial" w:hAnsi="Arial"/>
          <w:sz w:val="19"/>
          <w:szCs w:val="19"/>
          <w:color w:val="auto"/>
        </w:rPr>
        <w:t>The information called for by this Item 10 of Part III of Form 10-K is incorporated by reference to the information set forth in our definitive proxy statement relating to our 2024 Annual Meeting of Stockholders to be filed pursuant to Regulation 14A under the Exchange Act within 120 days from December 31, 2023 (the “Proxy Statement”). Reference is also made to the information appearing in Item 1 of Part I of this Annual Report on Form 10-K under the caption “Business— Executive Officers of CECO.”</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Item 11. Executive Compensation</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The information called for by this Item 11 of Part III of Form 10-K is incorporated by reference to the Proxy Statement.</w:t>
      </w:r>
    </w:p>
    <w:p>
      <w:pPr>
        <w:spacing w:after="0" w:line="23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36"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The information called for by this Item 12 of Part III of Form 10-K is incorporated by reference to the Proxy Statement.</w:t>
      </w:r>
    </w:p>
    <w:p>
      <w:pPr>
        <w:spacing w:after="0" w:line="23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260" w:type="dxa"/>
            <w:vAlign w:val="bottom"/>
            <w:gridSpan w:val="3"/>
          </w:tcPr>
          <w:p>
            <w:pPr>
              <w:spacing w:after="0"/>
              <w:rPr>
                <w:sz w:val="20"/>
                <w:szCs w:val="20"/>
                <w:color w:val="auto"/>
              </w:rPr>
            </w:pPr>
            <w:r>
              <w:rPr>
                <w:rFonts w:ascii="Arial" w:cs="Arial" w:eastAsia="Arial" w:hAnsi="Arial"/>
                <w:sz w:val="16"/>
                <w:szCs w:val="16"/>
                <w:b w:val="1"/>
                <w:bCs w:val="1"/>
                <w:color w:val="auto"/>
              </w:rPr>
              <w:t>December 31,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center"/>
              <w:ind w:right="110"/>
              <w:spacing w:after="0"/>
              <w:rPr>
                <w:sz w:val="20"/>
                <w:szCs w:val="20"/>
                <w:color w:val="auto"/>
              </w:rPr>
            </w:pPr>
            <w:r>
              <w:rPr>
                <w:rFonts w:ascii="Arial" w:cs="Arial" w:eastAsia="Arial" w:hAnsi="Arial"/>
                <w:sz w:val="16"/>
                <w:szCs w:val="16"/>
                <w:b w:val="1"/>
                <w:bCs w:val="1"/>
                <w:color w:val="auto"/>
                <w:w w:val="87"/>
              </w:rPr>
              <w:t>(b)</w:t>
            </w:r>
          </w:p>
        </w:tc>
        <w:tc>
          <w:tcPr>
            <w:tcW w:w="60" w:type="dxa"/>
            <w:vAlign w:val="bottom"/>
          </w:tcPr>
          <w:p>
            <w:pPr>
              <w:spacing w:after="0"/>
              <w:rPr>
                <w:sz w:val="16"/>
                <w:szCs w:val="16"/>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(c)</w:t>
            </w:r>
          </w:p>
        </w:tc>
      </w:tr>
      <w:tr>
        <w:trPr>
          <w:trHeight w:val="183"/>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2"/>
          </w:tcPr>
          <w:p>
            <w:pPr>
              <w:jc w:val="center"/>
              <w:ind w:right="20"/>
              <w:spacing w:after="0" w:line="183" w:lineRule="exact"/>
              <w:rPr>
                <w:sz w:val="20"/>
                <w:szCs w:val="20"/>
                <w:color w:val="auto"/>
              </w:rPr>
            </w:pPr>
            <w:r>
              <w:rPr>
                <w:rFonts w:ascii="Arial" w:cs="Arial" w:eastAsia="Arial" w:hAnsi="Arial"/>
                <w:sz w:val="16"/>
                <w:szCs w:val="16"/>
                <w:b w:val="1"/>
                <w:bCs w:val="1"/>
                <w:color w:val="auto"/>
                <w:w w:val="89"/>
              </w:rPr>
              <w:t>Number of securities</w:t>
            </w:r>
          </w:p>
        </w:tc>
      </w:tr>
      <w:tr>
        <w:trPr>
          <w:trHeight w:val="183"/>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60" w:type="dxa"/>
            <w:vAlign w:val="bottom"/>
            <w:gridSpan w:val="3"/>
          </w:tcPr>
          <w:p>
            <w:pPr>
              <w:jc w:val="center"/>
              <w:spacing w:after="0" w:line="183" w:lineRule="exact"/>
              <w:rPr>
                <w:sz w:val="20"/>
                <w:szCs w:val="20"/>
                <w:color w:val="auto"/>
              </w:rPr>
            </w:pPr>
            <w:r>
              <w:rPr>
                <w:rFonts w:ascii="Arial" w:cs="Arial" w:eastAsia="Arial" w:hAnsi="Arial"/>
                <w:sz w:val="16"/>
                <w:szCs w:val="16"/>
                <w:b w:val="1"/>
                <w:bCs w:val="1"/>
                <w:color w:val="auto"/>
                <w:w w:val="90"/>
              </w:rPr>
              <w:t>remaining available for</w:t>
            </w:r>
          </w:p>
        </w:tc>
      </w:tr>
      <w:tr>
        <w:trPr>
          <w:trHeight w:val="181"/>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2"/>
          </w:tcPr>
          <w:p>
            <w:pPr>
              <w:jc w:val="center"/>
              <w:ind w:right="20"/>
              <w:spacing w:after="0" w:line="181" w:lineRule="exact"/>
              <w:rPr>
                <w:sz w:val="20"/>
                <w:szCs w:val="20"/>
                <w:color w:val="auto"/>
              </w:rPr>
            </w:pPr>
            <w:r>
              <w:rPr>
                <w:rFonts w:ascii="Arial" w:cs="Arial" w:eastAsia="Arial" w:hAnsi="Arial"/>
                <w:sz w:val="16"/>
                <w:szCs w:val="16"/>
                <w:b w:val="1"/>
                <w:bCs w:val="1"/>
                <w:color w:val="auto"/>
                <w:w w:val="87"/>
              </w:rPr>
              <w:t>future issuance under</w:t>
            </w:r>
          </w:p>
        </w:tc>
      </w:tr>
      <w:tr>
        <w:trPr>
          <w:trHeight w:val="183"/>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3"/>
          </w:tcPr>
          <w:p>
            <w:pPr>
              <w:jc w:val="center"/>
              <w:ind w:right="20"/>
              <w:spacing w:after="0" w:line="183" w:lineRule="exact"/>
              <w:rPr>
                <w:sz w:val="20"/>
                <w:szCs w:val="20"/>
                <w:color w:val="auto"/>
              </w:rPr>
            </w:pPr>
            <w:r>
              <w:rPr>
                <w:rFonts w:ascii="Arial" w:cs="Arial" w:eastAsia="Arial" w:hAnsi="Arial"/>
                <w:sz w:val="16"/>
                <w:szCs w:val="16"/>
                <w:b w:val="1"/>
                <w:bCs w:val="1"/>
                <w:color w:val="auto"/>
                <w:w w:val="87"/>
              </w:rPr>
              <w:t>Number of securities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jc w:val="center"/>
              <w:ind w:right="110"/>
              <w:spacing w:after="0" w:line="183" w:lineRule="exact"/>
              <w:rPr>
                <w:sz w:val="20"/>
                <w:szCs w:val="20"/>
                <w:color w:val="auto"/>
              </w:rPr>
            </w:pPr>
            <w:r>
              <w:rPr>
                <w:rFonts w:ascii="Arial" w:cs="Arial" w:eastAsia="Arial" w:hAnsi="Arial"/>
                <w:sz w:val="16"/>
                <w:szCs w:val="16"/>
                <w:b w:val="1"/>
                <w:bCs w:val="1"/>
                <w:color w:val="auto"/>
                <w:w w:val="88"/>
              </w:rPr>
              <w:t>Weighted-average</w:t>
            </w:r>
          </w:p>
        </w:tc>
        <w:tc>
          <w:tcPr>
            <w:tcW w:w="60" w:type="dxa"/>
            <w:vAlign w:val="bottom"/>
          </w:tcPr>
          <w:p>
            <w:pPr>
              <w:spacing w:after="0"/>
              <w:rPr>
                <w:sz w:val="15"/>
                <w:szCs w:val="15"/>
                <w:color w:val="auto"/>
              </w:rPr>
            </w:pPr>
          </w:p>
        </w:tc>
        <w:tc>
          <w:tcPr>
            <w:tcW w:w="1600" w:type="dxa"/>
            <w:vAlign w:val="bottom"/>
            <w:gridSpan w:val="2"/>
          </w:tcPr>
          <w:p>
            <w:pPr>
              <w:jc w:val="center"/>
              <w:ind w:right="20"/>
              <w:spacing w:after="0" w:line="183" w:lineRule="exact"/>
              <w:rPr>
                <w:sz w:val="20"/>
                <w:szCs w:val="20"/>
                <w:color w:val="auto"/>
              </w:rPr>
            </w:pPr>
            <w:r>
              <w:rPr>
                <w:rFonts w:ascii="Arial" w:cs="Arial" w:eastAsia="Arial" w:hAnsi="Arial"/>
                <w:sz w:val="16"/>
                <w:szCs w:val="16"/>
                <w:b w:val="1"/>
                <w:bCs w:val="1"/>
                <w:color w:val="auto"/>
                <w:w w:val="86"/>
              </w:rPr>
              <w:t>equity compensation</w:t>
            </w:r>
          </w:p>
        </w:tc>
      </w:tr>
      <w:tr>
        <w:trPr>
          <w:trHeight w:val="183"/>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20"/>
              <w:spacing w:after="0" w:line="183" w:lineRule="exact"/>
              <w:rPr>
                <w:sz w:val="20"/>
                <w:szCs w:val="20"/>
                <w:color w:val="auto"/>
              </w:rPr>
            </w:pPr>
            <w:r>
              <w:rPr>
                <w:rFonts w:ascii="Arial" w:cs="Arial" w:eastAsia="Arial" w:hAnsi="Arial"/>
                <w:sz w:val="16"/>
                <w:szCs w:val="16"/>
                <w:b w:val="1"/>
                <w:bCs w:val="1"/>
                <w:color w:val="auto"/>
                <w:w w:val="84"/>
              </w:rPr>
              <w:t>to be issued upon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jc w:val="center"/>
              <w:ind w:right="110"/>
              <w:spacing w:after="0" w:line="183" w:lineRule="exact"/>
              <w:rPr>
                <w:sz w:val="20"/>
                <w:szCs w:val="20"/>
                <w:color w:val="auto"/>
              </w:rPr>
            </w:pPr>
            <w:r>
              <w:rPr>
                <w:rFonts w:ascii="Arial" w:cs="Arial" w:eastAsia="Arial" w:hAnsi="Arial"/>
                <w:sz w:val="16"/>
                <w:szCs w:val="16"/>
                <w:b w:val="1"/>
                <w:bCs w:val="1"/>
                <w:color w:val="auto"/>
                <w:w w:val="87"/>
              </w:rPr>
              <w:t>exercise price of</w:t>
            </w:r>
          </w:p>
        </w:tc>
        <w:tc>
          <w:tcPr>
            <w:tcW w:w="60" w:type="dxa"/>
            <w:vAlign w:val="bottom"/>
          </w:tcPr>
          <w:p>
            <w:pPr>
              <w:spacing w:after="0"/>
              <w:rPr>
                <w:sz w:val="15"/>
                <w:szCs w:val="15"/>
                <w:color w:val="auto"/>
              </w:rPr>
            </w:pPr>
          </w:p>
        </w:tc>
        <w:tc>
          <w:tcPr>
            <w:tcW w:w="1600" w:type="dxa"/>
            <w:vAlign w:val="bottom"/>
            <w:gridSpan w:val="2"/>
          </w:tcPr>
          <w:p>
            <w:pPr>
              <w:jc w:val="center"/>
              <w:ind w:right="20"/>
              <w:spacing w:after="0" w:line="183" w:lineRule="exact"/>
              <w:rPr>
                <w:sz w:val="20"/>
                <w:szCs w:val="20"/>
                <w:color w:val="auto"/>
              </w:rPr>
            </w:pPr>
            <w:r>
              <w:rPr>
                <w:rFonts w:ascii="Arial" w:cs="Arial" w:eastAsia="Arial" w:hAnsi="Arial"/>
                <w:sz w:val="16"/>
                <w:szCs w:val="16"/>
                <w:b w:val="1"/>
                <w:bCs w:val="1"/>
                <w:color w:val="auto"/>
                <w:w w:val="87"/>
              </w:rPr>
              <w:t>plans (excluding</w:t>
            </w:r>
          </w:p>
        </w:tc>
      </w:tr>
      <w:tr>
        <w:trPr>
          <w:trHeight w:val="181"/>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3"/>
          </w:tcPr>
          <w:p>
            <w:pPr>
              <w:jc w:val="center"/>
              <w:ind w:right="20"/>
              <w:spacing w:after="0" w:line="181" w:lineRule="exact"/>
              <w:rPr>
                <w:sz w:val="20"/>
                <w:szCs w:val="20"/>
                <w:color w:val="auto"/>
              </w:rPr>
            </w:pPr>
            <w:r>
              <w:rPr>
                <w:rFonts w:ascii="Arial" w:cs="Arial" w:eastAsia="Arial" w:hAnsi="Arial"/>
                <w:sz w:val="16"/>
                <w:szCs w:val="16"/>
                <w:b w:val="1"/>
                <w:bCs w:val="1"/>
                <w:color w:val="auto"/>
                <w:w w:val="86"/>
              </w:rPr>
              <w:t>exercise of outstanding</w:t>
            </w:r>
          </w:p>
        </w:tc>
        <w:tc>
          <w:tcPr>
            <w:tcW w:w="2120" w:type="dxa"/>
            <w:vAlign w:val="bottom"/>
            <w:gridSpan w:val="3"/>
          </w:tcPr>
          <w:p>
            <w:pPr>
              <w:ind w:left="20"/>
              <w:spacing w:after="0" w:line="181" w:lineRule="exact"/>
              <w:rPr>
                <w:sz w:val="20"/>
                <w:szCs w:val="20"/>
                <w:color w:val="auto"/>
              </w:rPr>
            </w:pPr>
            <w:r>
              <w:rPr>
                <w:rFonts w:ascii="Arial" w:cs="Arial" w:eastAsia="Arial" w:hAnsi="Arial"/>
                <w:sz w:val="16"/>
                <w:szCs w:val="16"/>
                <w:b w:val="1"/>
                <w:bCs w:val="1"/>
                <w:color w:val="auto"/>
                <w:w w:val="86"/>
              </w:rPr>
              <w:t>outstanding options and rights,</w:t>
            </w:r>
          </w:p>
        </w:tc>
        <w:tc>
          <w:tcPr>
            <w:tcW w:w="60" w:type="dxa"/>
            <w:vAlign w:val="bottom"/>
          </w:tcPr>
          <w:p>
            <w:pPr>
              <w:spacing w:after="0"/>
              <w:rPr>
                <w:sz w:val="15"/>
                <w:szCs w:val="15"/>
                <w:color w:val="auto"/>
              </w:rPr>
            </w:pPr>
          </w:p>
        </w:tc>
        <w:tc>
          <w:tcPr>
            <w:tcW w:w="1600" w:type="dxa"/>
            <w:vAlign w:val="bottom"/>
            <w:gridSpan w:val="2"/>
          </w:tcPr>
          <w:p>
            <w:pPr>
              <w:jc w:val="center"/>
              <w:ind w:right="20"/>
              <w:spacing w:after="0" w:line="181" w:lineRule="exact"/>
              <w:rPr>
                <w:sz w:val="20"/>
                <w:szCs w:val="20"/>
                <w:color w:val="auto"/>
              </w:rPr>
            </w:pPr>
            <w:r>
              <w:rPr>
                <w:rFonts w:ascii="Arial" w:cs="Arial" w:eastAsia="Arial" w:hAnsi="Arial"/>
                <w:sz w:val="16"/>
                <w:szCs w:val="16"/>
                <w:b w:val="1"/>
                <w:bCs w:val="1"/>
                <w:color w:val="auto"/>
                <w:w w:val="86"/>
              </w:rPr>
              <w:t>securities reflected in</w:t>
            </w:r>
          </w:p>
        </w:tc>
      </w:tr>
      <w:tr>
        <w:trPr>
          <w:trHeight w:val="182"/>
        </w:trPr>
        <w:tc>
          <w:tcPr>
            <w:tcW w:w="40" w:type="dxa"/>
            <w:vAlign w:val="bottom"/>
          </w:tcPr>
          <w:p>
            <w:pPr>
              <w:spacing w:after="0"/>
              <w:rPr>
                <w:sz w:val="15"/>
                <w:szCs w:val="15"/>
                <w:color w:val="auto"/>
              </w:rPr>
            </w:pPr>
          </w:p>
        </w:tc>
        <w:tc>
          <w:tcPr>
            <w:tcW w:w="52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Plan Category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88"/>
              </w:rPr>
              <w:t>options and rights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jc w:val="center"/>
              <w:ind w:right="110"/>
              <w:spacing w:after="0" w:line="182" w:lineRule="exact"/>
              <w:rPr>
                <w:sz w:val="20"/>
                <w:szCs w:val="20"/>
                <w:color w:val="auto"/>
              </w:rPr>
            </w:pPr>
            <w:r>
              <w:rPr>
                <w:rFonts w:ascii="Arial" w:cs="Arial" w:eastAsia="Arial" w:hAnsi="Arial"/>
                <w:sz w:val="16"/>
                <w:szCs w:val="16"/>
                <w:b w:val="1"/>
                <w:bCs w:val="1"/>
                <w:color w:val="auto"/>
                <w:w w:val="86"/>
              </w:rPr>
              <w:t>compensation plans</w:t>
            </w:r>
          </w:p>
        </w:tc>
        <w:tc>
          <w:tcPr>
            <w:tcW w:w="60" w:type="dxa"/>
            <w:vAlign w:val="bottom"/>
          </w:tcPr>
          <w:p>
            <w:pPr>
              <w:spacing w:after="0"/>
              <w:rPr>
                <w:sz w:val="15"/>
                <w:szCs w:val="15"/>
                <w:color w:val="auto"/>
              </w:rPr>
            </w:pPr>
          </w:p>
        </w:tc>
        <w:tc>
          <w:tcPr>
            <w:tcW w:w="1600" w:type="dxa"/>
            <w:vAlign w:val="bottom"/>
            <w:gridSpan w:val="2"/>
          </w:tcPr>
          <w:p>
            <w:pPr>
              <w:jc w:val="center"/>
              <w:ind w:right="20"/>
              <w:spacing w:after="0" w:line="182" w:lineRule="exact"/>
              <w:rPr>
                <w:sz w:val="20"/>
                <w:szCs w:val="20"/>
                <w:color w:val="auto"/>
              </w:rPr>
            </w:pPr>
            <w:r>
              <w:rPr>
                <w:rFonts w:ascii="Arial" w:cs="Arial" w:eastAsia="Arial" w:hAnsi="Arial"/>
                <w:sz w:val="16"/>
                <w:szCs w:val="16"/>
                <w:b w:val="1"/>
                <w:bCs w:val="1"/>
                <w:color w:val="auto"/>
                <w:w w:val="90"/>
              </w:rPr>
              <w:t>column (a))</w:t>
            </w:r>
          </w:p>
        </w:tc>
      </w:tr>
      <w:tr>
        <w:trPr>
          <w:trHeight w:val="217"/>
        </w:trPr>
        <w:tc>
          <w:tcPr>
            <w:tcW w:w="40" w:type="dxa"/>
            <w:vAlign w:val="bottom"/>
          </w:tcPr>
          <w:p>
            <w:pPr>
              <w:spacing w:after="0"/>
              <w:rPr>
                <w:sz w:val="18"/>
                <w:szCs w:val="18"/>
                <w:color w:val="auto"/>
              </w:rPr>
            </w:pPr>
          </w:p>
        </w:tc>
        <w:tc>
          <w:tcPr>
            <w:tcW w:w="5260" w:type="dxa"/>
            <w:vAlign w:val="bottom"/>
            <w:tcBorders>
              <w:top w:val="single" w:sz="8" w:color="auto"/>
            </w:tcBorders>
            <w:gridSpan w:val="3"/>
            <w:shd w:val="clear" w:color="auto" w:fill="E9E9E9"/>
          </w:tcPr>
          <w:p>
            <w:pPr>
              <w:spacing w:after="0" w:line="217" w:lineRule="exact"/>
              <w:rPr>
                <w:sz w:val="20"/>
                <w:szCs w:val="20"/>
                <w:color w:val="auto"/>
              </w:rPr>
            </w:pPr>
            <w:r>
              <w:rPr>
                <w:rFonts w:ascii="Arial" w:cs="Arial" w:eastAsia="Arial" w:hAnsi="Arial"/>
                <w:sz w:val="20"/>
                <w:szCs w:val="20"/>
                <w:color w:val="auto"/>
              </w:rPr>
              <w:t>Equity compensation plans approved by security</w:t>
            </w:r>
          </w:p>
        </w:tc>
        <w:tc>
          <w:tcPr>
            <w:tcW w:w="20" w:type="dxa"/>
            <w:vAlign w:val="bottom"/>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480" w:type="dxa"/>
            <w:vAlign w:val="bottom"/>
            <w:tcBorders>
              <w:top w:val="single" w:sz="8" w:color="auto"/>
            </w:tcBorders>
            <w:shd w:val="clear" w:color="auto" w:fill="E9E9E9"/>
          </w:tcPr>
          <w:p>
            <w:pPr>
              <w:spacing w:after="0"/>
              <w:rPr>
                <w:sz w:val="18"/>
                <w:szCs w:val="18"/>
                <w:color w:val="auto"/>
              </w:rPr>
            </w:pPr>
          </w:p>
        </w:tc>
        <w:tc>
          <w:tcPr>
            <w:tcW w:w="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00" w:type="dxa"/>
            <w:vAlign w:val="bottom"/>
            <w:tcBorders>
              <w:top w:val="single" w:sz="8" w:color="auto"/>
            </w:tcBorders>
            <w:shd w:val="clear" w:color="auto" w:fill="E9E9E9"/>
          </w:tcPr>
          <w:p>
            <w:pPr>
              <w:spacing w:after="0"/>
              <w:rPr>
                <w:sz w:val="18"/>
                <w:szCs w:val="18"/>
                <w:color w:val="auto"/>
              </w:rPr>
            </w:pPr>
          </w:p>
        </w:tc>
        <w:tc>
          <w:tcPr>
            <w:tcW w:w="1900" w:type="dxa"/>
            <w:vAlign w:val="bottom"/>
            <w:tcBorders>
              <w:top w:val="single" w:sz="8" w:color="auto"/>
            </w:tcBorders>
            <w:shd w:val="clear" w:color="auto" w:fill="E9E9E9"/>
          </w:tcPr>
          <w:p>
            <w:pPr>
              <w:spacing w:after="0"/>
              <w:rPr>
                <w:sz w:val="18"/>
                <w:szCs w:val="18"/>
                <w:color w:val="auto"/>
              </w:rPr>
            </w:pPr>
          </w:p>
        </w:tc>
        <w:tc>
          <w:tcPr>
            <w:tcW w:w="60" w:type="dxa"/>
            <w:vAlign w:val="bottom"/>
            <w:tcBorders>
              <w:top w:val="single" w:sz="8" w:color="E9E9E9"/>
            </w:tcBorders>
            <w:shd w:val="clear" w:color="auto" w:fill="E9E9E9"/>
          </w:tcPr>
          <w:p>
            <w:pPr>
              <w:spacing w:after="0"/>
              <w:rPr>
                <w:sz w:val="18"/>
                <w:szCs w:val="18"/>
                <w:color w:val="auto"/>
              </w:rPr>
            </w:pPr>
          </w:p>
        </w:tc>
        <w:tc>
          <w:tcPr>
            <w:tcW w:w="1580" w:type="dxa"/>
            <w:vAlign w:val="bottom"/>
            <w:tcBorders>
              <w:top w:val="single" w:sz="8" w:color="auto"/>
            </w:tcBorders>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260" w:type="dxa"/>
            <w:vAlign w:val="bottom"/>
            <w:gridSpan w:val="3"/>
            <w:shd w:val="clear" w:color="auto" w:fill="E9E9E9"/>
          </w:tcPr>
          <w:p>
            <w:pPr>
              <w:ind w:left="140"/>
              <w:spacing w:after="0" w:line="229" w:lineRule="exact"/>
              <w:rPr>
                <w:sz w:val="20"/>
                <w:szCs w:val="20"/>
                <w:color w:val="auto"/>
              </w:rPr>
            </w:pPr>
            <w:r>
              <w:rPr>
                <w:rFonts w:ascii="Arial" w:cs="Arial" w:eastAsia="Arial" w:hAnsi="Arial"/>
                <w:sz w:val="20"/>
                <w:szCs w:val="20"/>
                <w:color w:val="auto"/>
              </w:rPr>
              <w:t>holders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48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9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5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20" w:type="dxa"/>
            <w:vAlign w:val="bottom"/>
          </w:tcPr>
          <w:p>
            <w:pPr>
              <w:ind w:left="200"/>
              <w:spacing w:after="0" w:line="225" w:lineRule="exact"/>
              <w:rPr>
                <w:sz w:val="20"/>
                <w:szCs w:val="20"/>
                <w:color w:val="auto"/>
              </w:rPr>
            </w:pPr>
            <w:r>
              <w:rPr>
                <w:rFonts w:ascii="Arial" w:cs="Arial" w:eastAsia="Arial" w:hAnsi="Arial"/>
                <w:sz w:val="20"/>
                <w:szCs w:val="20"/>
                <w:color w:val="auto"/>
                <w:w w:val="89"/>
              </w:rPr>
              <w:t>2007</w:t>
            </w:r>
          </w:p>
        </w:tc>
        <w:tc>
          <w:tcPr>
            <w:tcW w:w="4640" w:type="dxa"/>
            <w:vAlign w:val="bottom"/>
            <w:gridSpan w:val="2"/>
          </w:tcPr>
          <w:p>
            <w:pPr>
              <w:ind w:left="20"/>
              <w:spacing w:after="0" w:line="226" w:lineRule="exact"/>
              <w:rPr>
                <w:sz w:val="20"/>
                <w:szCs w:val="20"/>
                <w:color w:val="auto"/>
              </w:rPr>
            </w:pPr>
            <w:r>
              <w:rPr>
                <w:rFonts w:ascii="Arial" w:cs="Arial" w:eastAsia="Arial" w:hAnsi="Arial"/>
                <w:sz w:val="20"/>
                <w:szCs w:val="20"/>
                <w:color w:val="auto"/>
              </w:rPr>
              <w:t xml:space="preserve">Equity Incentive Plan </w:t>
            </w:r>
            <w:r>
              <w:rPr>
                <w:rFonts w:ascii="Arial" w:cs="Arial" w:eastAsia="Arial" w:hAnsi="Arial"/>
                <w:sz w:val="25"/>
                <w:szCs w:val="25"/>
                <w:color w:val="auto"/>
                <w:vertAlign w:val="superscript"/>
              </w:rPr>
              <w:t>1</w:t>
            </w:r>
          </w:p>
        </w:tc>
        <w:tc>
          <w:tcPr>
            <w:tcW w:w="1640" w:type="dxa"/>
            <w:vAlign w:val="bottom"/>
            <w:gridSpan w:val="4"/>
          </w:tcPr>
          <w:p>
            <w:pPr>
              <w:jc w:val="right"/>
              <w:ind w:right="40"/>
              <w:spacing w:after="0" w:line="225" w:lineRule="exact"/>
              <w:rPr>
                <w:sz w:val="20"/>
                <w:szCs w:val="20"/>
                <w:color w:val="auto"/>
              </w:rPr>
            </w:pPr>
            <w:r>
              <w:rPr>
                <w:rFonts w:ascii="Arial" w:cs="Arial" w:eastAsia="Arial" w:hAnsi="Arial"/>
                <w:sz w:val="20"/>
                <w:szCs w:val="20"/>
                <w:color w:val="auto"/>
              </w:rPr>
              <w:t>30,600</w:t>
            </w:r>
          </w:p>
        </w:tc>
        <w:tc>
          <w:tcPr>
            <w:tcW w:w="220" w:type="dxa"/>
            <w:vAlign w:val="bottom"/>
            <w:gridSpan w:val="2"/>
          </w:tcPr>
          <w:p>
            <w:pPr>
              <w:ind w:left="20"/>
              <w:spacing w:after="0" w:line="225" w:lineRule="exact"/>
              <w:rPr>
                <w:sz w:val="20"/>
                <w:szCs w:val="20"/>
                <w:color w:val="auto"/>
              </w:rPr>
            </w:pPr>
            <w:r>
              <w:rPr>
                <w:rFonts w:ascii="Arial" w:cs="Arial" w:eastAsia="Arial" w:hAnsi="Arial"/>
                <w:sz w:val="20"/>
                <w:szCs w:val="20"/>
                <w:color w:val="auto"/>
              </w:rPr>
              <w:t>$</w:t>
            </w:r>
          </w:p>
        </w:tc>
        <w:tc>
          <w:tcPr>
            <w:tcW w:w="1900" w:type="dxa"/>
            <w:vAlign w:val="bottom"/>
          </w:tcPr>
          <w:p>
            <w:pPr>
              <w:jc w:val="right"/>
              <w:spacing w:after="0" w:line="225" w:lineRule="exact"/>
              <w:rPr>
                <w:sz w:val="20"/>
                <w:szCs w:val="20"/>
                <w:color w:val="auto"/>
              </w:rPr>
            </w:pPr>
            <w:r>
              <w:rPr>
                <w:rFonts w:ascii="Arial" w:cs="Arial" w:eastAsia="Arial" w:hAnsi="Arial"/>
                <w:sz w:val="20"/>
                <w:szCs w:val="20"/>
                <w:color w:val="auto"/>
              </w:rPr>
              <w:t>12.10</w:t>
            </w:r>
          </w:p>
        </w:tc>
        <w:tc>
          <w:tcPr>
            <w:tcW w:w="60" w:type="dxa"/>
            <w:vAlign w:val="bottom"/>
          </w:tcPr>
          <w:p>
            <w:pPr>
              <w:spacing w:after="0"/>
              <w:rPr>
                <w:sz w:val="19"/>
                <w:szCs w:val="19"/>
                <w:color w:val="auto"/>
              </w:rPr>
            </w:pPr>
          </w:p>
        </w:tc>
        <w:tc>
          <w:tcPr>
            <w:tcW w:w="1600" w:type="dxa"/>
            <w:vAlign w:val="bottom"/>
            <w:gridSpan w:val="2"/>
          </w:tcPr>
          <w:p>
            <w:pPr>
              <w:jc w:val="right"/>
              <w:ind w:right="20"/>
              <w:spacing w:after="0" w:line="225" w:lineRule="exact"/>
              <w:rPr>
                <w:sz w:val="20"/>
                <w:szCs w:val="20"/>
                <w:color w:val="auto"/>
              </w:rPr>
            </w:pPr>
            <w:r>
              <w:rPr>
                <w:rFonts w:ascii="Arial" w:cs="Arial" w:eastAsia="Arial" w:hAnsi="Arial"/>
                <w:sz w:val="20"/>
                <w:szCs w:val="20"/>
                <w:color w:val="auto"/>
              </w:rPr>
              <w:t>—</w:t>
            </w:r>
          </w:p>
        </w:tc>
      </w:tr>
      <w:tr>
        <w:trPr>
          <w:trHeight w:val="229"/>
        </w:trPr>
        <w:tc>
          <w:tcPr>
            <w:tcW w:w="40" w:type="dxa"/>
            <w:vAlign w:val="bottom"/>
          </w:tcPr>
          <w:p>
            <w:pPr>
              <w:spacing w:after="0"/>
              <w:rPr>
                <w:sz w:val="19"/>
                <w:szCs w:val="19"/>
                <w:color w:val="auto"/>
              </w:rPr>
            </w:pPr>
          </w:p>
        </w:tc>
        <w:tc>
          <w:tcPr>
            <w:tcW w:w="62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w w:val="89"/>
              </w:rPr>
              <w:t>2017</w:t>
            </w:r>
          </w:p>
        </w:tc>
        <w:tc>
          <w:tcPr>
            <w:tcW w:w="4640" w:type="dxa"/>
            <w:vAlign w:val="bottom"/>
            <w:gridSpan w:val="2"/>
            <w:shd w:val="clear" w:color="auto" w:fill="E9E9E9"/>
          </w:tcPr>
          <w:p>
            <w:pPr>
              <w:ind w:left="20"/>
              <w:spacing w:after="0" w:line="228" w:lineRule="exact"/>
              <w:rPr>
                <w:sz w:val="20"/>
                <w:szCs w:val="20"/>
                <w:color w:val="auto"/>
              </w:rPr>
            </w:pPr>
            <w:r>
              <w:rPr>
                <w:rFonts w:ascii="Arial" w:cs="Arial" w:eastAsia="Arial" w:hAnsi="Arial"/>
                <w:sz w:val="20"/>
                <w:szCs w:val="20"/>
                <w:color w:val="auto"/>
              </w:rPr>
              <w:t xml:space="preserve">Equity and Incentive Plan </w:t>
            </w:r>
            <w:r>
              <w:rPr>
                <w:rFonts w:ascii="Arial" w:cs="Arial" w:eastAsia="Arial" w:hAnsi="Arial"/>
                <w:sz w:val="25"/>
                <w:szCs w:val="25"/>
                <w:color w:val="auto"/>
                <w:vertAlign w:val="superscript"/>
              </w:rPr>
              <w:t>2</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4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188,207</w:t>
            </w:r>
          </w:p>
        </w:tc>
        <w:tc>
          <w:tcPr>
            <w:tcW w:w="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shd w:val="clear" w:color="auto" w:fill="E9E9E9"/>
              </w:rPr>
              <w:t>$</w:t>
            </w:r>
          </w:p>
        </w:tc>
        <w:tc>
          <w:tcPr>
            <w:tcW w:w="19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60" w:type="dxa"/>
            <w:vAlign w:val="bottom"/>
            <w:shd w:val="clear" w:color="auto" w:fill="E9E9E9"/>
          </w:tcPr>
          <w:p>
            <w:pPr>
              <w:spacing w:after="0"/>
              <w:rPr>
                <w:sz w:val="19"/>
                <w:szCs w:val="19"/>
                <w:color w:val="auto"/>
              </w:rPr>
            </w:pPr>
          </w:p>
        </w:tc>
        <w:tc>
          <w:tcPr>
            <w:tcW w:w="15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20" w:type="dxa"/>
            <w:vAlign w:val="bottom"/>
            <w:shd w:val="clear" w:color="auto" w:fill="E9E9E9"/>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620" w:type="dxa"/>
            <w:vAlign w:val="bottom"/>
          </w:tcPr>
          <w:p>
            <w:pPr>
              <w:ind w:left="200"/>
              <w:spacing w:after="0" w:line="228" w:lineRule="exact"/>
              <w:rPr>
                <w:sz w:val="20"/>
                <w:szCs w:val="20"/>
                <w:color w:val="auto"/>
              </w:rPr>
            </w:pPr>
            <w:r>
              <w:rPr>
                <w:rFonts w:ascii="Arial" w:cs="Arial" w:eastAsia="Arial" w:hAnsi="Arial"/>
                <w:sz w:val="20"/>
                <w:szCs w:val="20"/>
                <w:color w:val="auto"/>
                <w:w w:val="89"/>
              </w:rPr>
              <w:t>2021</w:t>
            </w:r>
          </w:p>
        </w:tc>
        <w:tc>
          <w:tcPr>
            <w:tcW w:w="4640" w:type="dxa"/>
            <w:vAlign w:val="bottom"/>
            <w:gridSpan w:val="2"/>
          </w:tcPr>
          <w:p>
            <w:pPr>
              <w:ind w:left="20"/>
              <w:spacing w:after="0" w:line="228" w:lineRule="exact"/>
              <w:rPr>
                <w:sz w:val="20"/>
                <w:szCs w:val="20"/>
                <w:color w:val="auto"/>
              </w:rPr>
            </w:pPr>
            <w:r>
              <w:rPr>
                <w:rFonts w:ascii="Arial" w:cs="Arial" w:eastAsia="Arial" w:hAnsi="Arial"/>
                <w:sz w:val="20"/>
                <w:szCs w:val="20"/>
                <w:color w:val="auto"/>
              </w:rPr>
              <w:t xml:space="preserve">Equity and Incentive Plan </w:t>
            </w:r>
            <w:r>
              <w:rPr>
                <w:rFonts w:ascii="Arial" w:cs="Arial" w:eastAsia="Arial" w:hAnsi="Arial"/>
                <w:sz w:val="25"/>
                <w:szCs w:val="25"/>
                <w:color w:val="auto"/>
                <w:vertAlign w:val="superscript"/>
              </w:rPr>
              <w:t>3</w:t>
            </w:r>
          </w:p>
        </w:tc>
        <w:tc>
          <w:tcPr>
            <w:tcW w:w="1640" w:type="dxa"/>
            <w:vAlign w:val="bottom"/>
            <w:gridSpan w:val="4"/>
          </w:tcPr>
          <w:p>
            <w:pPr>
              <w:jc w:val="right"/>
              <w:ind w:right="40"/>
              <w:spacing w:after="0" w:line="228" w:lineRule="exact"/>
              <w:rPr>
                <w:sz w:val="20"/>
                <w:szCs w:val="20"/>
                <w:color w:val="auto"/>
              </w:rPr>
            </w:pPr>
            <w:r>
              <w:rPr>
                <w:rFonts w:ascii="Arial" w:cs="Arial" w:eastAsia="Arial" w:hAnsi="Arial"/>
                <w:sz w:val="20"/>
                <w:szCs w:val="20"/>
                <w:color w:val="auto"/>
              </w:rPr>
              <w:t>1,107,794</w:t>
            </w:r>
          </w:p>
        </w:tc>
        <w:tc>
          <w:tcPr>
            <w:tcW w:w="220" w:type="dxa"/>
            <w:vAlign w:val="bottom"/>
            <w:gridSpan w:val="2"/>
          </w:tcPr>
          <w:p>
            <w:pPr>
              <w:ind w:left="20"/>
              <w:spacing w:after="0" w:line="228" w:lineRule="exact"/>
              <w:rPr>
                <w:sz w:val="20"/>
                <w:szCs w:val="20"/>
                <w:color w:val="auto"/>
              </w:rPr>
            </w:pPr>
            <w:r>
              <w:rPr>
                <w:rFonts w:ascii="Arial" w:cs="Arial" w:eastAsia="Arial" w:hAnsi="Arial"/>
                <w:sz w:val="20"/>
                <w:szCs w:val="20"/>
                <w:color w:val="auto"/>
              </w:rPr>
              <w:t>$</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164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1,597,135</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62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w w:val="89"/>
              </w:rPr>
              <w:t>2020</w:t>
            </w:r>
          </w:p>
        </w:tc>
        <w:tc>
          <w:tcPr>
            <w:tcW w:w="4640" w:type="dxa"/>
            <w:vAlign w:val="bottom"/>
            <w:gridSpan w:val="2"/>
            <w:shd w:val="clear" w:color="auto" w:fill="E9E9E9"/>
          </w:tcPr>
          <w:p>
            <w:pPr>
              <w:ind w:left="20"/>
              <w:spacing w:after="0" w:line="228" w:lineRule="exact"/>
              <w:rPr>
                <w:sz w:val="20"/>
                <w:szCs w:val="20"/>
                <w:color w:val="auto"/>
              </w:rPr>
            </w:pPr>
            <w:r>
              <w:rPr>
                <w:rFonts w:ascii="Arial" w:cs="Arial" w:eastAsia="Arial" w:hAnsi="Arial"/>
                <w:sz w:val="20"/>
                <w:szCs w:val="20"/>
                <w:color w:val="auto"/>
              </w:rPr>
              <w:t xml:space="preserve">Employee Stock Purchase Plan </w:t>
            </w:r>
            <w:r>
              <w:rPr>
                <w:rFonts w:ascii="Arial" w:cs="Arial" w:eastAsia="Arial" w:hAnsi="Arial"/>
                <w:sz w:val="25"/>
                <w:szCs w:val="25"/>
                <w:color w:val="auto"/>
                <w:vertAlign w:val="superscript"/>
              </w:rPr>
              <w:t>4</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4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shd w:val="clear" w:color="auto" w:fill="E9E9E9"/>
              </w:rPr>
              <w:t>$</w:t>
            </w:r>
          </w:p>
        </w:tc>
        <w:tc>
          <w:tcPr>
            <w:tcW w:w="19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60" w:type="dxa"/>
            <w:vAlign w:val="bottom"/>
            <w:shd w:val="clear" w:color="auto" w:fill="E9E9E9"/>
          </w:tcPr>
          <w:p>
            <w:pPr>
              <w:spacing w:after="0"/>
              <w:rPr>
                <w:sz w:val="19"/>
                <w:szCs w:val="19"/>
                <w:color w:val="auto"/>
              </w:rPr>
            </w:pPr>
          </w:p>
        </w:tc>
        <w:tc>
          <w:tcPr>
            <w:tcW w:w="15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1,180,156</w:t>
            </w:r>
          </w:p>
        </w:tc>
        <w:tc>
          <w:tcPr>
            <w:tcW w:w="20" w:type="dxa"/>
            <w:vAlign w:val="bottom"/>
            <w:shd w:val="clear" w:color="auto" w:fill="E9E9E9"/>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5260" w:type="dxa"/>
            <w:vAlign w:val="bottom"/>
            <w:gridSpan w:val="3"/>
          </w:tcPr>
          <w:p>
            <w:pPr>
              <w:spacing w:after="0" w:line="228" w:lineRule="exact"/>
              <w:rPr>
                <w:sz w:val="20"/>
                <w:szCs w:val="20"/>
                <w:color w:val="auto"/>
              </w:rPr>
            </w:pPr>
            <w:r>
              <w:rPr>
                <w:rFonts w:ascii="Arial" w:cs="Arial" w:eastAsia="Arial" w:hAnsi="Arial"/>
                <w:sz w:val="20"/>
                <w:szCs w:val="20"/>
                <w:color w:val="auto"/>
                <w:w w:val="95"/>
              </w:rPr>
              <w:t xml:space="preserve">Equity compensation plans not approved by security holders </w:t>
            </w:r>
            <w:r>
              <w:rPr>
                <w:rFonts w:ascii="Arial" w:cs="Arial" w:eastAsia="Arial" w:hAnsi="Arial"/>
                <w:sz w:val="25"/>
                <w:szCs w:val="25"/>
                <w:color w:val="auto"/>
                <w:w w:val="95"/>
                <w:vertAlign w:val="superscript"/>
              </w:rPr>
              <w:t>5</w:t>
            </w:r>
          </w:p>
        </w:tc>
        <w:tc>
          <w:tcPr>
            <w:tcW w:w="1640" w:type="dxa"/>
            <w:vAlign w:val="bottom"/>
            <w:gridSpan w:val="4"/>
          </w:tcPr>
          <w:p>
            <w:pPr>
              <w:jc w:val="right"/>
              <w:ind w:right="40"/>
              <w:spacing w:after="0" w:line="228" w:lineRule="exact"/>
              <w:rPr>
                <w:sz w:val="20"/>
                <w:szCs w:val="20"/>
                <w:color w:val="auto"/>
              </w:rPr>
            </w:pPr>
            <w:r>
              <w:rPr>
                <w:rFonts w:ascii="Arial" w:cs="Arial" w:eastAsia="Arial" w:hAnsi="Arial"/>
                <w:sz w:val="20"/>
                <w:szCs w:val="20"/>
                <w:color w:val="auto"/>
              </w:rPr>
              <w:t>1,238,691</w:t>
            </w:r>
          </w:p>
        </w:tc>
        <w:tc>
          <w:tcPr>
            <w:tcW w:w="220" w:type="dxa"/>
            <w:vAlign w:val="bottom"/>
            <w:gridSpan w:val="2"/>
          </w:tcPr>
          <w:p>
            <w:pPr>
              <w:ind w:left="20"/>
              <w:spacing w:after="0" w:line="228" w:lineRule="exact"/>
              <w:rPr>
                <w:sz w:val="20"/>
                <w:szCs w:val="20"/>
                <w:color w:val="auto"/>
              </w:rPr>
            </w:pPr>
            <w:r>
              <w:rPr>
                <w:rFonts w:ascii="Arial" w:cs="Arial" w:eastAsia="Arial" w:hAnsi="Arial"/>
                <w:sz w:val="20"/>
                <w:szCs w:val="20"/>
                <w:color w:val="auto"/>
              </w:rPr>
              <w:t>$</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10.85</w:t>
            </w:r>
          </w:p>
        </w:tc>
        <w:tc>
          <w:tcPr>
            <w:tcW w:w="60" w:type="dxa"/>
            <w:vAlign w:val="bottom"/>
          </w:tcPr>
          <w:p>
            <w:pPr>
              <w:spacing w:after="0"/>
              <w:rPr>
                <w:sz w:val="19"/>
                <w:szCs w:val="19"/>
                <w:color w:val="auto"/>
              </w:rPr>
            </w:pPr>
          </w:p>
        </w:tc>
        <w:tc>
          <w:tcPr>
            <w:tcW w:w="160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auto"/>
              </w:rPr>
              <w:t>—</w:t>
            </w:r>
          </w:p>
        </w:tc>
      </w:tr>
      <w:tr>
        <w:trPr>
          <w:trHeight w:val="218"/>
        </w:trPr>
        <w:tc>
          <w:tcPr>
            <w:tcW w:w="40" w:type="dxa"/>
            <w:vAlign w:val="bottom"/>
          </w:tcPr>
          <w:p>
            <w:pPr>
              <w:spacing w:after="0"/>
              <w:rPr>
                <w:sz w:val="18"/>
                <w:szCs w:val="18"/>
                <w:color w:val="auto"/>
              </w:rPr>
            </w:pPr>
          </w:p>
        </w:tc>
        <w:tc>
          <w:tcPr>
            <w:tcW w:w="62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Total</w:t>
            </w:r>
          </w:p>
        </w:tc>
        <w:tc>
          <w:tcPr>
            <w:tcW w:w="1180" w:type="dxa"/>
            <w:vAlign w:val="bottom"/>
            <w:tcBorders>
              <w:top w:val="single" w:sz="8" w:color="E9E9E9"/>
            </w:tcBorders>
            <w:shd w:val="clear" w:color="auto" w:fill="E9E9E9"/>
          </w:tcPr>
          <w:p>
            <w:pPr>
              <w:spacing w:after="0"/>
              <w:rPr>
                <w:sz w:val="18"/>
                <w:szCs w:val="18"/>
                <w:color w:val="auto"/>
              </w:rPr>
            </w:pPr>
          </w:p>
        </w:tc>
        <w:tc>
          <w:tcPr>
            <w:tcW w:w="346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4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2,565,292</w:t>
            </w:r>
          </w:p>
        </w:tc>
        <w:tc>
          <w:tcPr>
            <w:tcW w:w="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1900" w:type="dxa"/>
            <w:vAlign w:val="bottom"/>
            <w:tcBorders>
              <w:top w:val="single" w:sz="8" w:color="E9E9E9"/>
            </w:tcBorders>
            <w:shd w:val="clear" w:color="auto" w:fill="E9E9E9"/>
          </w:tcPr>
          <w:p>
            <w:pPr>
              <w:spacing w:after="0"/>
              <w:rPr>
                <w:sz w:val="18"/>
                <w:szCs w:val="18"/>
                <w:color w:val="auto"/>
              </w:rPr>
            </w:pPr>
          </w:p>
        </w:tc>
        <w:tc>
          <w:tcPr>
            <w:tcW w:w="60" w:type="dxa"/>
            <w:vAlign w:val="bottom"/>
            <w:tcBorders>
              <w:top w:val="single" w:sz="8" w:color="E9E9E9"/>
            </w:tcBorders>
            <w:shd w:val="clear" w:color="auto" w:fill="E9E9E9"/>
          </w:tcPr>
          <w:p>
            <w:pPr>
              <w:spacing w:after="0"/>
              <w:rPr>
                <w:sz w:val="18"/>
                <w:szCs w:val="18"/>
                <w:color w:val="auto"/>
              </w:rPr>
            </w:pPr>
          </w:p>
        </w:tc>
        <w:tc>
          <w:tcPr>
            <w:tcW w:w="15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2,777,291</w:t>
            </w:r>
          </w:p>
        </w:tc>
        <w:tc>
          <w:tcPr>
            <w:tcW w:w="20" w:type="dxa"/>
            <w:vAlign w:val="bottom"/>
            <w:shd w:val="clear" w:color="auto" w:fill="E9E9E9"/>
          </w:tcPr>
          <w:p>
            <w:pPr>
              <w:spacing w:after="0"/>
              <w:rPr>
                <w:sz w:val="18"/>
                <w:szCs w:val="18"/>
                <w:color w:val="auto"/>
              </w:rPr>
            </w:pPr>
          </w:p>
        </w:tc>
      </w:tr>
      <w:tr>
        <w:trPr>
          <w:trHeight w:val="157"/>
        </w:trPr>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3364230</wp:posOffset>
                </wp:positionH>
                <wp:positionV relativeFrom="paragraph">
                  <wp:posOffset>-1283970</wp:posOffset>
                </wp:positionV>
                <wp:extent cx="17780" cy="1206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065"/>
                        </a:xfrm>
                        <a:prstGeom prst="rect">
                          <a:avLst/>
                        </a:prstGeom>
                        <a:solidFill>
                          <a:srgbClr val="E9E9E9"/>
                        </a:solidFill>
                      </wps:spPr>
                      <wps:bodyPr/>
                    </wps:wsp>
                  </a:graphicData>
                </a:graphic>
              </wp:anchor>
            </w:drawing>
          </mc:Choice>
          <mc:Fallback>
            <w:pict>
              <v:rect id="Shape 86" o:spid="_x0000_s1111" style="position:absolute;margin-left:264.9pt;margin-top:-101.0999pt;width:1.4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-1277620</wp:posOffset>
                </wp:positionV>
                <wp:extent cx="3365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55" cy="4763"/>
                        </a:xfrm>
                        <a:prstGeom prst="line">
                          <a:avLst/>
                        </a:prstGeom>
                        <a:solidFill>
                          <a:srgbClr val="FFFFFF"/>
                        </a:solidFill>
                        <a:ln w="6034">
                          <a:solidFill>
                            <a:srgbClr val="E9E9E9"/>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3pt,-100.5999pt" to="347.95pt,-100.5999pt" o:allowincell="f" strokecolor="#E9E9E9" strokeweight="0.4751pt"/>
            </w:pict>
          </mc:Fallback>
        </mc:AlternateContent>
        <mc:AlternateContent>
          <mc:Choice Requires="wps">
            <w:drawing>
              <wp:anchor simplePos="0" relativeHeight="251657728" behindDoc="1" locked="0" layoutInCell="0" allowOverlap="1">
                <wp:simplePos x="0" y="0"/>
                <wp:positionH relativeFrom="column">
                  <wp:posOffset>6795770</wp:posOffset>
                </wp:positionH>
                <wp:positionV relativeFrom="paragraph">
                  <wp:posOffset>-1283970</wp:posOffset>
                </wp:positionV>
                <wp:extent cx="16510" cy="1206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10" cy="12065"/>
                        </a:xfrm>
                        <a:prstGeom prst="rect">
                          <a:avLst/>
                        </a:prstGeom>
                        <a:solidFill>
                          <a:srgbClr val="E9E9E9"/>
                        </a:solidFill>
                      </wps:spPr>
                      <wps:bodyPr/>
                    </wps:wsp>
                  </a:graphicData>
                </a:graphic>
              </wp:anchor>
            </w:drawing>
          </mc:Choice>
          <mc:Fallback>
            <w:pict>
              <v:rect id="Shape 88" o:spid="_x0000_s1113" style="position:absolute;margin-left:535.1pt;margin-top:-101.0999pt;width:1.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6795770</wp:posOffset>
                </wp:positionH>
                <wp:positionV relativeFrom="paragraph">
                  <wp:posOffset>-265430</wp:posOffset>
                </wp:positionV>
                <wp:extent cx="16510" cy="1270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10" cy="12700"/>
                        </a:xfrm>
                        <a:prstGeom prst="rect">
                          <a:avLst/>
                        </a:prstGeom>
                        <a:solidFill>
                          <a:srgbClr val="E9E9E9"/>
                        </a:solidFill>
                      </wps:spPr>
                      <wps:bodyPr/>
                    </wps:wsp>
                  </a:graphicData>
                </a:graphic>
              </wp:anchor>
            </w:drawing>
          </mc:Choice>
          <mc:Fallback>
            <w:pict>
              <v:rect id="Shape 89" o:spid="_x0000_s1114" style="position:absolute;margin-left:535.1pt;margin-top:-20.8999pt;width:1.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18" w:lineRule="exact"/>
        <w:rPr>
          <w:sz w:val="20"/>
          <w:szCs w:val="20"/>
          <w:color w:val="auto"/>
        </w:rPr>
      </w:pPr>
    </w:p>
    <w:p>
      <w:pPr>
        <w:ind w:left="520" w:right="160" w:hanging="486"/>
        <w:spacing w:after="0" w:line="233" w:lineRule="auto"/>
        <w:tabs>
          <w:tab w:leader="none" w:pos="5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2007 Equity Incentive Plan ("2007 Plan") was replaced with the 2017 Equity and Incentive Plan ("2017 Plan") and no further grants will be made under the 2007 Plan. The 2007 Plan remains in effect solely for the continued administration of the awards currently outstanding under the 2007 Plan.</w:t>
      </w:r>
    </w:p>
    <w:p>
      <w:pPr>
        <w:spacing w:after="0" w:line="12" w:lineRule="exact"/>
        <w:rPr>
          <w:rFonts w:ascii="Arial" w:cs="Arial" w:eastAsia="Arial" w:hAnsi="Arial"/>
          <w:sz w:val="20"/>
          <w:szCs w:val="20"/>
          <w:color w:val="auto"/>
        </w:rPr>
      </w:pPr>
    </w:p>
    <w:p>
      <w:pPr>
        <w:ind w:left="520" w:hanging="486"/>
        <w:spacing w:after="0" w:line="234" w:lineRule="auto"/>
        <w:tabs>
          <w:tab w:leader="none" w:pos="5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2017 Equity and Incentive Plan was replaced with the 2021 Equity and Incentive Plan and no further grants will be made under the 2017 Plan. The 2017 Plan remains in effect solely for the continued administration of the awards currently outstanding under the 2017 Plan.</w:t>
      </w:r>
    </w:p>
    <w:p>
      <w:pPr>
        <w:spacing w:after="0" w:line="11" w:lineRule="exact"/>
        <w:rPr>
          <w:rFonts w:ascii="Arial" w:cs="Arial" w:eastAsia="Arial" w:hAnsi="Arial"/>
          <w:sz w:val="20"/>
          <w:szCs w:val="20"/>
          <w:color w:val="auto"/>
        </w:rPr>
      </w:pPr>
    </w:p>
    <w:p>
      <w:pPr>
        <w:ind w:left="520" w:hanging="486"/>
        <w:spacing w:after="0" w:line="231" w:lineRule="auto"/>
        <w:tabs>
          <w:tab w:leader="none" w:pos="5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2021 Equity and Incentive Plan was approved by our stockholders on May 25, 2021. We have reserved 2.6 million shares of our common stock for issuance under our 2021 Equity Incentive Plan.</w:t>
      </w:r>
    </w:p>
    <w:p>
      <w:pPr>
        <w:ind w:left="520" w:hanging="486"/>
        <w:spacing w:after="0" w:line="238" w:lineRule="auto"/>
        <w:tabs>
          <w:tab w:leader="none" w:pos="5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Employee Stock Purchase Plan was approved by our stockholders on June 11, 2020.</w:t>
      </w:r>
    </w:p>
    <w:p>
      <w:pPr>
        <w:spacing w:after="0" w:line="11" w:lineRule="exact"/>
        <w:rPr>
          <w:rFonts w:ascii="Arial" w:cs="Arial" w:eastAsia="Arial" w:hAnsi="Arial"/>
          <w:sz w:val="20"/>
          <w:szCs w:val="20"/>
          <w:color w:val="auto"/>
        </w:rPr>
      </w:pPr>
    </w:p>
    <w:p>
      <w:pPr>
        <w:ind w:left="520" w:right="60" w:hanging="486"/>
        <w:spacing w:after="0" w:line="26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6, 2020, in connection with Mr. Gleason’s appointment as the Company’s Chief Executive Officer, the Company granted Mr. Gleason 0.1 million restricted stock units, 0.3 million in nonqualified stock options granted at market value, and approximately 0.9 million in premium-priced nonqualified stock options with an exercise price equal to two times market value.</w:t>
      </w:r>
    </w:p>
    <w:p>
      <w:pPr>
        <w:spacing w:after="0" w:line="1" w:lineRule="exact"/>
        <w:rPr>
          <w:rFonts w:ascii="Arial" w:cs="Arial" w:eastAsia="Arial" w:hAnsi="Arial"/>
          <w:sz w:val="18"/>
          <w:szCs w:val="18"/>
          <w:color w:val="auto"/>
        </w:rPr>
      </w:pPr>
    </w:p>
    <w:p>
      <w:pPr>
        <w:ind w:left="520" w:right="180"/>
        <w:spacing w:after="0" w:line="249" w:lineRule="auto"/>
        <w:rPr>
          <w:rFonts w:ascii="Arial" w:cs="Arial" w:eastAsia="Arial" w:hAnsi="Arial"/>
          <w:sz w:val="18"/>
          <w:szCs w:val="18"/>
          <w:color w:val="auto"/>
        </w:rPr>
      </w:pPr>
      <w:r>
        <w:rPr>
          <w:rFonts w:ascii="Arial" w:cs="Arial" w:eastAsia="Arial" w:hAnsi="Arial"/>
          <w:sz w:val="19"/>
          <w:szCs w:val="19"/>
          <w:color w:val="auto"/>
        </w:rPr>
        <w:t>Mr. Gleason’s restricted stock units and option grants were approved by the Board of Directors of the Company. See Note 9 to the Consolidated Financial Statements for additional information on Mr. Gleason’s inducement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10720"/>
          </w:cols>
          <w:pgMar w:left="560" w:top="837" w:right="600" w:bottom="46"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13 of Part III of Form 10-K is incorporated by reference to the Proxy Statement.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14 of Part III of Form 10-K is incorporated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9840"/>
          </w:cols>
          <w:pgMar w:left="600" w:top="837" w:right="1440" w:bottom="46" w:gutter="0" w:footer="0" w:header="0"/>
        </w:sectPr>
      </w:pPr>
    </w:p>
    <w:bookmarkStart w:id="55" w:name="page56"/>
    <w:bookmarkEnd w:id="55"/>
    <w:p>
      <w:pPr>
        <w:jc w:val="center"/>
        <w:ind w:right="-5"/>
        <w:spacing w:after="0"/>
        <w:rPr>
          <w:sz w:val="20"/>
          <w:szCs w:val="20"/>
          <w:color w:val="auto"/>
        </w:rPr>
      </w:pPr>
      <w:r>
        <w:rPr>
          <w:rFonts w:ascii="Arial" w:cs="Arial" w:eastAsia="Arial" w:hAnsi="Arial"/>
          <w:sz w:val="20"/>
          <w:szCs w:val="20"/>
          <w:b w:val="1"/>
          <w:bCs w:val="1"/>
          <w:color w:val="auto"/>
        </w:rPr>
        <w:t>PART IV</w:t>
      </w:r>
    </w:p>
    <w:p>
      <w:pPr>
        <w:spacing w:after="0" w:line="23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17" w:lineRule="exact"/>
        <w:rPr>
          <w:sz w:val="20"/>
          <w:szCs w:val="20"/>
          <w:color w:val="auto"/>
        </w:rPr>
      </w:pPr>
    </w:p>
    <w:p>
      <w:pPr>
        <w:ind w:left="346" w:hanging="346"/>
        <w:spacing w:after="0"/>
        <w:tabs>
          <w:tab w:leader="none" w:pos="346" w:val="left"/>
        </w:tabs>
        <w:numPr>
          <w:ilvl w:val="0"/>
          <w:numId w:val="21"/>
        </w:numPr>
        <w:rPr>
          <w:rFonts w:ascii="Arial" w:cs="Arial" w:eastAsia="Arial" w:hAnsi="Arial"/>
          <w:sz w:val="20"/>
          <w:szCs w:val="20"/>
          <w:color w:val="auto"/>
        </w:rPr>
      </w:pPr>
      <w:r>
        <w:rPr>
          <w:rFonts w:ascii="Arial" w:cs="Arial" w:eastAsia="Arial" w:hAnsi="Arial"/>
          <w:sz w:val="20"/>
          <w:szCs w:val="20"/>
          <w:color w:val="auto"/>
        </w:rPr>
        <w:t>Financial statements are set forth in this report following the signature page of this report.</w:t>
      </w:r>
    </w:p>
    <w:p>
      <w:pPr>
        <w:spacing w:after="0" w:line="248" w:lineRule="exact"/>
        <w:rPr>
          <w:rFonts w:ascii="Arial" w:cs="Arial" w:eastAsia="Arial" w:hAnsi="Arial"/>
          <w:sz w:val="20"/>
          <w:szCs w:val="20"/>
          <w:color w:val="auto"/>
        </w:rPr>
      </w:pPr>
    </w:p>
    <w:p>
      <w:pPr>
        <w:ind w:left="486" w:right="400" w:hanging="486"/>
        <w:spacing w:after="0" w:line="232" w:lineRule="auto"/>
        <w:tabs>
          <w:tab w:leader="none" w:pos="349" w:val="left"/>
        </w:tabs>
        <w:numPr>
          <w:ilvl w:val="0"/>
          <w:numId w:val="21"/>
        </w:numPr>
        <w:rPr>
          <w:rFonts w:ascii="Arial" w:cs="Arial" w:eastAsia="Arial" w:hAnsi="Arial"/>
          <w:sz w:val="20"/>
          <w:szCs w:val="20"/>
          <w:color w:val="auto"/>
        </w:rPr>
      </w:pPr>
      <w:r>
        <w:rPr>
          <w:rFonts w:ascii="Arial" w:cs="Arial" w:eastAsia="Arial" w:hAnsi="Arial"/>
          <w:sz w:val="20"/>
          <w:szCs w:val="20"/>
          <w:color w:val="auto"/>
        </w:rPr>
        <w:t>Financial statement schedules are omitted because they are not applicable or because the required information is shown in the financial statements or in the notes thereto.</w:t>
      </w:r>
    </w:p>
    <w:p>
      <w:pPr>
        <w:spacing w:after="0" w:line="249" w:lineRule="exact"/>
        <w:rPr>
          <w:rFonts w:ascii="Arial" w:cs="Arial" w:eastAsia="Arial" w:hAnsi="Arial"/>
          <w:sz w:val="20"/>
          <w:szCs w:val="20"/>
          <w:color w:val="auto"/>
        </w:rPr>
      </w:pPr>
    </w:p>
    <w:p>
      <w:pPr>
        <w:ind w:left="486" w:right="100" w:hanging="486"/>
        <w:spacing w:after="0" w:line="232" w:lineRule="auto"/>
        <w:tabs>
          <w:tab w:leader="none" w:pos="349"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Exhibit Index. The exhibits listed below, as part of Form 10-K, are numbered in conformity with the numbering used in Item 601 of Regulation S-K and relate to SEC File No. 0-07099, unless otherwise indicated.</w:t>
      </w:r>
    </w:p>
    <w:p>
      <w:pPr>
        <w:spacing w:after="0" w:line="248"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1060" w:type="dxa"/>
            <w:vAlign w:val="bottom"/>
          </w:tcPr>
          <w:p>
            <w:pPr>
              <w:spacing w:after="0"/>
              <w:rPr>
                <w:sz w:val="20"/>
                <w:szCs w:val="20"/>
                <w:color w:val="auto"/>
              </w:rPr>
            </w:pPr>
            <w:r>
              <w:rPr>
                <w:rFonts w:ascii="Arial" w:cs="Arial" w:eastAsia="Arial" w:hAnsi="Arial"/>
                <w:sz w:val="15"/>
                <w:szCs w:val="15"/>
                <w:b w:val="1"/>
                <w:bCs w:val="1"/>
                <w:color w:val="auto"/>
                <w:w w:val="93"/>
              </w:rPr>
              <w:t>Exhibit Number</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8"/>
        </w:trPr>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41"/>
        </w:trPr>
        <w:tc>
          <w:tcPr>
            <w:tcW w:w="1060" w:type="dxa"/>
            <w:vAlign w:val="bottom"/>
          </w:tcPr>
          <w:p>
            <w:pPr>
              <w:spacing w:after="0"/>
              <w:rPr>
                <w:sz w:val="20"/>
                <w:szCs w:val="20"/>
                <w:color w:val="auto"/>
              </w:rPr>
            </w:pPr>
            <w:r>
              <w:rPr>
                <w:rFonts w:ascii="Arial" w:cs="Arial" w:eastAsia="Arial" w:hAnsi="Arial"/>
                <w:sz w:val="19"/>
                <w:szCs w:val="19"/>
                <w:color w:val="auto"/>
              </w:rPr>
              <w:t>3.1</w:t>
            </w:r>
          </w:p>
        </w:tc>
        <w:tc>
          <w:tcPr>
            <w:tcW w:w="120" w:type="dxa"/>
            <w:vAlign w:val="bottom"/>
          </w:tcPr>
          <w:p>
            <w:pPr>
              <w:spacing w:after="0"/>
              <w:rPr>
                <w:sz w:val="24"/>
                <w:szCs w:val="24"/>
                <w:color w:val="auto"/>
              </w:rPr>
            </w:pPr>
          </w:p>
        </w:tc>
        <w:tc>
          <w:tcPr>
            <w:tcW w:w="944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1"/>
              </w:rPr>
              <w:t>Certificate of Incorporation (incorporated by reference to Exhibit 3(i) to the Company’s Annual Report on Form 10-K for the</w:t>
            </w:r>
          </w:p>
        </w:tc>
        <w:tc>
          <w:tcPr>
            <w:tcW w:w="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9"/>
                <w:szCs w:val="19"/>
                <w:color w:val="auto"/>
                <w:w w:val="88"/>
              </w:rPr>
              <w:t>fiscal year ended December 31, 2001)</w:t>
            </w:r>
          </w:p>
        </w:tc>
        <w:tc>
          <w:tcPr>
            <w:tcW w:w="6640" w:type="dxa"/>
            <w:vAlign w:val="bottom"/>
            <w:gridSpan w:val="23"/>
          </w:tcPr>
          <w:p>
            <w:pPr>
              <w:spacing w:after="0"/>
              <w:rPr>
                <w:sz w:val="17"/>
                <w:szCs w:val="17"/>
                <w:color w:val="auto"/>
              </w:rPr>
            </w:pPr>
          </w:p>
        </w:tc>
      </w:tr>
      <w:tr>
        <w:trPr>
          <w:trHeight w:val="442"/>
        </w:trPr>
        <w:tc>
          <w:tcPr>
            <w:tcW w:w="1060" w:type="dxa"/>
            <w:vAlign w:val="bottom"/>
          </w:tcPr>
          <w:p>
            <w:pPr>
              <w:spacing w:after="0"/>
              <w:rPr>
                <w:sz w:val="20"/>
                <w:szCs w:val="20"/>
                <w:color w:val="auto"/>
              </w:rPr>
            </w:pPr>
            <w:r>
              <w:rPr>
                <w:rFonts w:ascii="Arial" w:cs="Arial" w:eastAsia="Arial" w:hAnsi="Arial"/>
                <w:sz w:val="19"/>
                <w:szCs w:val="19"/>
                <w:color w:val="auto"/>
              </w:rPr>
              <w:t>3.2</w:t>
            </w:r>
          </w:p>
        </w:tc>
        <w:tc>
          <w:tcPr>
            <w:tcW w:w="120" w:type="dxa"/>
            <w:vAlign w:val="bottom"/>
          </w:tcPr>
          <w:p>
            <w:pPr>
              <w:spacing w:after="0"/>
              <w:rPr>
                <w:sz w:val="24"/>
                <w:szCs w:val="24"/>
                <w:color w:val="auto"/>
              </w:rPr>
            </w:pPr>
          </w:p>
        </w:tc>
        <w:tc>
          <w:tcPr>
            <w:tcW w:w="9460" w:type="dxa"/>
            <w:vAlign w:val="bottom"/>
            <w:tcBorders>
              <w:bottom w:val="single" w:sz="8" w:color="auto"/>
            </w:tcBorders>
            <w:gridSpan w:val="25"/>
          </w:tcPr>
          <w:p>
            <w:pPr>
              <w:spacing w:after="0"/>
              <w:rPr>
                <w:sz w:val="20"/>
                <w:szCs w:val="20"/>
                <w:color w:val="auto"/>
              </w:rPr>
            </w:pPr>
            <w:r>
              <w:rPr>
                <w:rFonts w:ascii="Arial" w:cs="Arial" w:eastAsia="Arial" w:hAnsi="Arial"/>
                <w:sz w:val="19"/>
                <w:szCs w:val="19"/>
                <w:color w:val="auto"/>
                <w:w w:val="90"/>
              </w:rPr>
              <w:t>Amended and Restated Bylaws (incorporated by reference to Exhibit 3.1 to the Company’s Current Report on Form 8-K filed</w:t>
            </w:r>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9"/>
                <w:szCs w:val="19"/>
                <w:color w:val="auto"/>
                <w:w w:val="89"/>
              </w:rPr>
              <w:t>with the SEC on March 9, 2023)</w:t>
            </w:r>
          </w:p>
        </w:tc>
        <w:tc>
          <w:tcPr>
            <w:tcW w:w="7060" w:type="dxa"/>
            <w:vAlign w:val="bottom"/>
            <w:gridSpan w:val="24"/>
          </w:tcPr>
          <w:p>
            <w:pPr>
              <w:spacing w:after="0"/>
              <w:rPr>
                <w:sz w:val="17"/>
                <w:szCs w:val="17"/>
                <w:color w:val="auto"/>
              </w:rPr>
            </w:pPr>
          </w:p>
        </w:tc>
      </w:tr>
      <w:tr>
        <w:trPr>
          <w:trHeight w:val="439"/>
        </w:trPr>
        <w:tc>
          <w:tcPr>
            <w:tcW w:w="1060" w:type="dxa"/>
            <w:vAlign w:val="bottom"/>
          </w:tcPr>
          <w:p>
            <w:pPr>
              <w:spacing w:after="0"/>
              <w:rPr>
                <w:sz w:val="20"/>
                <w:szCs w:val="20"/>
                <w:color w:val="auto"/>
              </w:rPr>
            </w:pPr>
            <w:r>
              <w:rPr>
                <w:rFonts w:ascii="Arial" w:cs="Arial" w:eastAsia="Arial" w:hAnsi="Arial"/>
                <w:sz w:val="19"/>
                <w:szCs w:val="19"/>
                <w:color w:val="auto"/>
              </w:rPr>
              <w:t>4.1</w:t>
            </w:r>
          </w:p>
        </w:tc>
        <w:tc>
          <w:tcPr>
            <w:tcW w:w="120" w:type="dxa"/>
            <w:vAlign w:val="bottom"/>
          </w:tcPr>
          <w:p>
            <w:pPr>
              <w:spacing w:after="0"/>
              <w:rPr>
                <w:sz w:val="24"/>
                <w:szCs w:val="24"/>
                <w:color w:val="auto"/>
              </w:rPr>
            </w:pPr>
          </w:p>
        </w:tc>
        <w:tc>
          <w:tcPr>
            <w:tcW w:w="9200" w:type="dxa"/>
            <w:vAlign w:val="bottom"/>
            <w:tcBorders>
              <w:bottom w:val="single" w:sz="8" w:color="auto"/>
            </w:tcBorders>
            <w:gridSpan w:val="18"/>
          </w:tcPr>
          <w:p>
            <w:pPr>
              <w:spacing w:after="0"/>
              <w:rPr>
                <w:sz w:val="20"/>
                <w:szCs w:val="20"/>
                <w:color w:val="auto"/>
              </w:rPr>
            </w:pPr>
            <w:r>
              <w:rPr>
                <w:rFonts w:ascii="Arial" w:cs="Arial" w:eastAsia="Arial" w:hAnsi="Arial"/>
                <w:sz w:val="19"/>
                <w:szCs w:val="19"/>
                <w:color w:val="auto"/>
                <w:w w:val="91"/>
              </w:rPr>
              <w:t>Description of Securities (incorporated by reference to Exhibit 4.1 to the Company’s Annual Report on Form 10-K for the</w:t>
            </w:r>
          </w:p>
        </w:tc>
        <w:tc>
          <w:tcPr>
            <w:tcW w:w="30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9"/>
                <w:szCs w:val="19"/>
                <w:color w:val="auto"/>
                <w:w w:val="88"/>
              </w:rPr>
              <w:t>fiscal year ended December 31, 2019)</w:t>
            </w:r>
          </w:p>
        </w:tc>
        <w:tc>
          <w:tcPr>
            <w:tcW w:w="6640" w:type="dxa"/>
            <w:vAlign w:val="bottom"/>
            <w:gridSpan w:val="23"/>
          </w:tcPr>
          <w:p>
            <w:pPr>
              <w:spacing w:after="0"/>
              <w:rPr>
                <w:sz w:val="17"/>
                <w:szCs w:val="17"/>
                <w:color w:val="auto"/>
              </w:rPr>
            </w:pPr>
          </w:p>
        </w:tc>
      </w:tr>
      <w:tr>
        <w:trPr>
          <w:trHeight w:val="441"/>
        </w:trPr>
        <w:tc>
          <w:tcPr>
            <w:tcW w:w="1060" w:type="dxa"/>
            <w:vAlign w:val="bottom"/>
          </w:tcPr>
          <w:p>
            <w:pPr>
              <w:spacing w:after="0"/>
              <w:rPr>
                <w:sz w:val="20"/>
                <w:szCs w:val="20"/>
                <w:color w:val="auto"/>
              </w:rPr>
            </w:pPr>
            <w:r>
              <w:rPr>
                <w:rFonts w:ascii="Arial" w:cs="Arial" w:eastAsia="Arial" w:hAnsi="Arial"/>
                <w:sz w:val="19"/>
                <w:szCs w:val="19"/>
                <w:color w:val="auto"/>
              </w:rPr>
              <w:t>^10.1</w:t>
            </w:r>
          </w:p>
        </w:tc>
        <w:tc>
          <w:tcPr>
            <w:tcW w:w="120" w:type="dxa"/>
            <w:vAlign w:val="bottom"/>
          </w:tcPr>
          <w:p>
            <w:pPr>
              <w:spacing w:after="0"/>
              <w:rPr>
                <w:sz w:val="24"/>
                <w:szCs w:val="24"/>
                <w:color w:val="auto"/>
              </w:rPr>
            </w:pPr>
          </w:p>
        </w:tc>
        <w:tc>
          <w:tcPr>
            <w:tcW w:w="8920" w:type="dxa"/>
            <w:vAlign w:val="bottom"/>
            <w:tcBorders>
              <w:bottom w:val="single" w:sz="8" w:color="auto"/>
            </w:tcBorders>
            <w:gridSpan w:val="13"/>
          </w:tcPr>
          <w:p>
            <w:pPr>
              <w:spacing w:after="0"/>
              <w:rPr>
                <w:sz w:val="20"/>
                <w:szCs w:val="20"/>
                <w:color w:val="auto"/>
              </w:rPr>
            </w:pPr>
            <w:r>
              <w:rPr>
                <w:rFonts w:ascii="Arial" w:cs="Arial" w:eastAsia="Arial" w:hAnsi="Arial"/>
                <w:sz w:val="19"/>
                <w:szCs w:val="19"/>
                <w:color w:val="auto"/>
                <w:w w:val="91"/>
              </w:rPr>
              <w:t>Form of Director and Officer Indemnification Agreement (incorporated by reference to Exhibit 10.1 to the Company’s</w:t>
            </w:r>
          </w:p>
        </w:tc>
        <w:tc>
          <w:tcPr>
            <w:tcW w:w="58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9"/>
                <w:szCs w:val="19"/>
                <w:color w:val="auto"/>
                <w:w w:val="91"/>
              </w:rPr>
              <w:t>Current Report on Form 8-K filed with the SEC on May 16, 2016)</w:t>
            </w:r>
          </w:p>
        </w:tc>
        <w:tc>
          <w:tcPr>
            <w:tcW w:w="4500" w:type="dxa"/>
            <w:vAlign w:val="bottom"/>
            <w:gridSpan w:val="19"/>
          </w:tcPr>
          <w:p>
            <w:pPr>
              <w:spacing w:after="0"/>
              <w:rPr>
                <w:sz w:val="17"/>
                <w:szCs w:val="17"/>
                <w:color w:val="auto"/>
              </w:rPr>
            </w:pPr>
          </w:p>
        </w:tc>
      </w:tr>
      <w:tr>
        <w:trPr>
          <w:trHeight w:val="441"/>
        </w:trPr>
        <w:tc>
          <w:tcPr>
            <w:tcW w:w="1060" w:type="dxa"/>
            <w:vAlign w:val="bottom"/>
          </w:tcPr>
          <w:p>
            <w:pPr>
              <w:spacing w:after="0"/>
              <w:rPr>
                <w:sz w:val="20"/>
                <w:szCs w:val="20"/>
                <w:color w:val="auto"/>
              </w:rPr>
            </w:pPr>
            <w:r>
              <w:rPr>
                <w:rFonts w:ascii="Arial" w:cs="Arial" w:eastAsia="Arial" w:hAnsi="Arial"/>
                <w:sz w:val="19"/>
                <w:szCs w:val="19"/>
                <w:color w:val="auto"/>
              </w:rPr>
              <w:t>^10.2</w:t>
            </w:r>
          </w:p>
        </w:tc>
        <w:tc>
          <w:tcPr>
            <w:tcW w:w="120" w:type="dxa"/>
            <w:vAlign w:val="bottom"/>
          </w:tcPr>
          <w:p>
            <w:pPr>
              <w:spacing w:after="0"/>
              <w:rPr>
                <w:sz w:val="24"/>
                <w:szCs w:val="24"/>
                <w:color w:val="auto"/>
              </w:rPr>
            </w:pPr>
          </w:p>
        </w:tc>
        <w:tc>
          <w:tcPr>
            <w:tcW w:w="9340" w:type="dxa"/>
            <w:vAlign w:val="bottom"/>
            <w:tcBorders>
              <w:bottom w:val="single" w:sz="8" w:color="auto"/>
            </w:tcBorders>
            <w:gridSpan w:val="20"/>
          </w:tcPr>
          <w:p>
            <w:pPr>
              <w:spacing w:after="0"/>
              <w:rPr>
                <w:sz w:val="20"/>
                <w:szCs w:val="20"/>
                <w:color w:val="auto"/>
              </w:rPr>
            </w:pPr>
            <w:r>
              <w:rPr>
                <w:rFonts w:ascii="Arial" w:cs="Arial" w:eastAsia="Arial" w:hAnsi="Arial"/>
                <w:sz w:val="19"/>
                <w:szCs w:val="19"/>
                <w:color w:val="auto"/>
                <w:w w:val="90"/>
              </w:rPr>
              <w:t>Nonqualified Stock Option Inducement Award Agreement, by and between CECO Environmental Corp. and Todd Gleason,</w:t>
            </w:r>
          </w:p>
        </w:tc>
        <w:tc>
          <w:tcPr>
            <w:tcW w:w="16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gridSpan w:val="27"/>
          </w:tcPr>
          <w:p>
            <w:pPr>
              <w:spacing w:after="0" w:line="196" w:lineRule="exact"/>
              <w:rPr>
                <w:sz w:val="20"/>
                <w:szCs w:val="20"/>
                <w:color w:val="auto"/>
              </w:rPr>
            </w:pPr>
            <w:r>
              <w:rPr>
                <w:rFonts w:ascii="Arial" w:cs="Arial" w:eastAsia="Arial" w:hAnsi="Arial"/>
                <w:sz w:val="19"/>
                <w:szCs w:val="19"/>
                <w:color w:val="auto"/>
                <w:w w:val="93"/>
              </w:rPr>
              <w:t>dated as of July 6, 2020 (incorporated by reference to Exhibit 4.3 to the Registrant’s Registration Statement on Form S-8</w:t>
            </w: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9"/>
                <w:szCs w:val="19"/>
                <w:color w:val="auto"/>
              </w:rPr>
              <w:t>(Commission File No. 333-239707) filed on July 6, 2020)</w:t>
            </w:r>
          </w:p>
        </w:tc>
        <w:tc>
          <w:tcPr>
            <w:tcW w:w="420" w:type="dxa"/>
            <w:vAlign w:val="bottom"/>
            <w:gridSpan w:val="11"/>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1"/>
        </w:trPr>
        <w:tc>
          <w:tcPr>
            <w:tcW w:w="1060" w:type="dxa"/>
            <w:vAlign w:val="bottom"/>
          </w:tcPr>
          <w:p>
            <w:pPr>
              <w:spacing w:after="0"/>
              <w:rPr>
                <w:sz w:val="20"/>
                <w:szCs w:val="20"/>
                <w:color w:val="auto"/>
              </w:rPr>
            </w:pPr>
            <w:r>
              <w:rPr>
                <w:rFonts w:ascii="Arial" w:cs="Arial" w:eastAsia="Arial" w:hAnsi="Arial"/>
                <w:sz w:val="19"/>
                <w:szCs w:val="19"/>
                <w:color w:val="auto"/>
              </w:rPr>
              <w:t>^10.3</w:t>
            </w:r>
          </w:p>
        </w:tc>
        <w:tc>
          <w:tcPr>
            <w:tcW w:w="120" w:type="dxa"/>
            <w:vAlign w:val="bottom"/>
          </w:tcPr>
          <w:p>
            <w:pPr>
              <w:spacing w:after="0"/>
              <w:rPr>
                <w:sz w:val="24"/>
                <w:szCs w:val="24"/>
                <w:color w:val="auto"/>
              </w:rPr>
            </w:pPr>
          </w:p>
        </w:tc>
        <w:tc>
          <w:tcPr>
            <w:tcW w:w="9360" w:type="dxa"/>
            <w:vAlign w:val="bottom"/>
            <w:tcBorders>
              <w:bottom w:val="single" w:sz="8" w:color="auto"/>
            </w:tcBorders>
            <w:gridSpan w:val="21"/>
          </w:tcPr>
          <w:p>
            <w:pPr>
              <w:spacing w:after="0"/>
              <w:rPr>
                <w:sz w:val="20"/>
                <w:szCs w:val="20"/>
                <w:color w:val="auto"/>
              </w:rPr>
            </w:pPr>
            <w:r>
              <w:rPr>
                <w:rFonts w:ascii="Arial" w:cs="Arial" w:eastAsia="Arial" w:hAnsi="Arial"/>
                <w:sz w:val="19"/>
                <w:szCs w:val="19"/>
                <w:color w:val="auto"/>
                <w:w w:val="90"/>
              </w:rPr>
              <w:t>Nonqualified Premium Stock Option Inducement Award Agreement, by and between CECO Environmental Corp. and Todd</w:t>
            </w:r>
          </w:p>
        </w:tc>
        <w:tc>
          <w:tcPr>
            <w:tcW w:w="140" w:type="dxa"/>
            <w:vAlign w:val="bottom"/>
            <w:gridSpan w:val="6"/>
          </w:tcPr>
          <w:p>
            <w:pPr>
              <w:spacing w:after="0"/>
              <w:rPr>
                <w:sz w:val="24"/>
                <w:szCs w:val="24"/>
                <w:color w:val="auto"/>
              </w:rPr>
            </w:pPr>
          </w:p>
        </w:tc>
      </w:tr>
      <w:tr>
        <w:trPr>
          <w:trHeight w:val="197"/>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gridSpan w:val="27"/>
          </w:tcPr>
          <w:p>
            <w:pPr>
              <w:spacing w:after="0" w:line="196" w:lineRule="exact"/>
              <w:rPr>
                <w:sz w:val="20"/>
                <w:szCs w:val="20"/>
                <w:color w:val="auto"/>
              </w:rPr>
            </w:pPr>
            <w:r>
              <w:rPr>
                <w:rFonts w:ascii="Arial" w:cs="Arial" w:eastAsia="Arial" w:hAnsi="Arial"/>
                <w:sz w:val="19"/>
                <w:szCs w:val="19"/>
                <w:color w:val="auto"/>
                <w:w w:val="89"/>
              </w:rPr>
              <w:t>Gleason, dated as of July 6, 2020 (incorporated by reference to Exhibit 4.4 to the Registrant’s Registration Statement on Form</w:t>
            </w: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9"/>
                <w:szCs w:val="19"/>
                <w:color w:val="auto"/>
                <w:w w:val="90"/>
              </w:rPr>
              <w:t>S-8 (Commission File No. 333-239707) filed on July 6, 2020)</w:t>
            </w:r>
          </w:p>
        </w:tc>
        <w:tc>
          <w:tcPr>
            <w:tcW w:w="4820" w:type="dxa"/>
            <w:vAlign w:val="bottom"/>
            <w:tcBorders>
              <w:top w:val="single" w:sz="8" w:color="auto"/>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060" w:type="dxa"/>
            <w:vAlign w:val="bottom"/>
          </w:tcPr>
          <w:p>
            <w:pPr>
              <w:spacing w:after="0"/>
              <w:rPr>
                <w:sz w:val="20"/>
                <w:szCs w:val="20"/>
                <w:color w:val="auto"/>
              </w:rPr>
            </w:pPr>
            <w:r>
              <w:rPr>
                <w:rFonts w:ascii="Arial" w:cs="Arial" w:eastAsia="Arial" w:hAnsi="Arial"/>
                <w:sz w:val="19"/>
                <w:szCs w:val="19"/>
                <w:color w:val="auto"/>
              </w:rPr>
              <w:t>^10.4</w:t>
            </w:r>
          </w:p>
        </w:tc>
        <w:tc>
          <w:tcPr>
            <w:tcW w:w="120" w:type="dxa"/>
            <w:vAlign w:val="bottom"/>
          </w:tcPr>
          <w:p>
            <w:pPr>
              <w:spacing w:after="0"/>
              <w:rPr>
                <w:sz w:val="24"/>
                <w:szCs w:val="24"/>
                <w:color w:val="auto"/>
              </w:rPr>
            </w:pPr>
          </w:p>
        </w:tc>
        <w:tc>
          <w:tcPr>
            <w:tcW w:w="944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89"/>
              </w:rPr>
              <w:t>Restricted Stock Units Inducement Award Agreement, by and between CECO Environmental Corp. and Todd Gleason, dated</w:t>
            </w:r>
          </w:p>
        </w:tc>
        <w:tc>
          <w:tcPr>
            <w:tcW w:w="60" w:type="dxa"/>
            <w:vAlign w:val="bottom"/>
            <w:gridSpan w:val="3"/>
          </w:tcPr>
          <w:p>
            <w:pPr>
              <w:spacing w:after="0"/>
              <w:rPr>
                <w:sz w:val="24"/>
                <w:szCs w:val="24"/>
                <w:color w:val="auto"/>
              </w:rPr>
            </w:pPr>
          </w:p>
        </w:tc>
      </w:tr>
      <w:tr>
        <w:trPr>
          <w:trHeight w:val="199"/>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40" w:type="dxa"/>
            <w:vAlign w:val="bottom"/>
            <w:tcBorders>
              <w:bottom w:val="single" w:sz="8" w:color="auto"/>
            </w:tcBorders>
            <w:gridSpan w:val="12"/>
          </w:tcPr>
          <w:p>
            <w:pPr>
              <w:spacing w:after="0" w:line="199" w:lineRule="exact"/>
              <w:rPr>
                <w:sz w:val="20"/>
                <w:szCs w:val="20"/>
                <w:color w:val="auto"/>
              </w:rPr>
            </w:pPr>
            <w:r>
              <w:rPr>
                <w:rFonts w:ascii="Arial" w:cs="Arial" w:eastAsia="Arial" w:hAnsi="Arial"/>
                <w:sz w:val="19"/>
                <w:szCs w:val="19"/>
                <w:color w:val="auto"/>
                <w:w w:val="89"/>
              </w:rPr>
              <w:t>as of July 6, 2020 (incorporated by reference to Exhibit 4.5 to the Registrant’s Registration Statement on Form S-8</w:t>
            </w:r>
          </w:p>
        </w:tc>
        <w:tc>
          <w:tcPr>
            <w:tcW w:w="860" w:type="dxa"/>
            <w:vAlign w:val="bottom"/>
            <w:gridSpan w:val="1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gridSpan w:val="27"/>
          </w:tcPr>
          <w:p>
            <w:pPr>
              <w:spacing w:after="0" w:line="196" w:lineRule="exact"/>
              <w:rPr>
                <w:sz w:val="20"/>
                <w:szCs w:val="20"/>
                <w:color w:val="auto"/>
              </w:rPr>
            </w:pPr>
            <w:r>
              <w:rPr>
                <w:rFonts w:ascii="Arial" w:cs="Arial" w:eastAsia="Arial" w:hAnsi="Arial"/>
                <w:sz w:val="19"/>
                <w:szCs w:val="19"/>
                <w:color w:val="auto"/>
              </w:rPr>
              <w:t>(Commission File No. 333-239707) filed on July 6, 2020)</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060" w:type="dxa"/>
            <w:vAlign w:val="bottom"/>
          </w:tcPr>
          <w:p>
            <w:pPr>
              <w:spacing w:after="0"/>
              <w:rPr>
                <w:sz w:val="20"/>
                <w:szCs w:val="20"/>
                <w:color w:val="auto"/>
              </w:rPr>
            </w:pPr>
            <w:r>
              <w:rPr>
                <w:rFonts w:ascii="Arial" w:cs="Arial" w:eastAsia="Arial" w:hAnsi="Arial"/>
                <w:sz w:val="19"/>
                <w:szCs w:val="19"/>
                <w:color w:val="auto"/>
              </w:rPr>
              <w:t>^10.5</w:t>
            </w:r>
          </w:p>
        </w:tc>
        <w:tc>
          <w:tcPr>
            <w:tcW w:w="120" w:type="dxa"/>
            <w:vAlign w:val="bottom"/>
          </w:tcPr>
          <w:p>
            <w:pPr>
              <w:spacing w:after="0"/>
              <w:rPr>
                <w:sz w:val="24"/>
                <w:szCs w:val="24"/>
                <w:color w:val="auto"/>
              </w:rPr>
            </w:pPr>
          </w:p>
        </w:tc>
        <w:tc>
          <w:tcPr>
            <w:tcW w:w="9460" w:type="dxa"/>
            <w:vAlign w:val="bottom"/>
            <w:tcBorders>
              <w:bottom w:val="single" w:sz="8" w:color="auto"/>
            </w:tcBorders>
            <w:gridSpan w:val="25"/>
          </w:tcPr>
          <w:p>
            <w:pPr>
              <w:spacing w:after="0"/>
              <w:rPr>
                <w:sz w:val="20"/>
                <w:szCs w:val="20"/>
                <w:color w:val="auto"/>
              </w:rPr>
            </w:pPr>
            <w:r>
              <w:rPr>
                <w:rFonts w:ascii="Arial" w:cs="Arial" w:eastAsia="Arial" w:hAnsi="Arial"/>
                <w:sz w:val="19"/>
                <w:szCs w:val="19"/>
                <w:color w:val="auto"/>
                <w:w w:val="89"/>
              </w:rPr>
              <w:t>Second Amended and Restated CECO Environmental Corp. 2007 Equity Incentive Plan (incorporated by reference to Exhibit</w:t>
            </w:r>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9"/>
                <w:szCs w:val="19"/>
                <w:color w:val="auto"/>
                <w:w w:val="90"/>
              </w:rPr>
              <w:t>10.</w:t>
            </w:r>
            <w:r>
              <w:rPr>
                <w:rFonts w:ascii="Arial" w:cs="Arial" w:eastAsia="Arial" w:hAnsi="Arial"/>
                <w:sz w:val="19"/>
                <w:szCs w:val="19"/>
                <w:u w:val="single" w:color="auto"/>
                <w:color w:val="auto"/>
                <w:w w:val="90"/>
              </w:rPr>
              <w:t>6</w:t>
            </w:r>
            <w:r>
              <w:rPr>
                <w:rFonts w:ascii="Arial" w:cs="Arial" w:eastAsia="Arial" w:hAnsi="Arial"/>
                <w:sz w:val="19"/>
                <w:szCs w:val="19"/>
                <w:color w:val="auto"/>
                <w:w w:val="90"/>
              </w:rPr>
              <w:t xml:space="preserve"> to the Company’s Current Report on Form 8-K filed with the SEC on September 3, 2015)</w:t>
            </w:r>
          </w:p>
        </w:tc>
        <w:tc>
          <w:tcPr>
            <w:tcW w:w="2380" w:type="dxa"/>
            <w:vAlign w:val="bottom"/>
            <w:gridSpan w:val="18"/>
          </w:tcPr>
          <w:p>
            <w:pPr>
              <w:spacing w:after="0"/>
              <w:rPr>
                <w:sz w:val="17"/>
                <w:szCs w:val="17"/>
                <w:color w:val="auto"/>
              </w:rPr>
            </w:pPr>
          </w:p>
        </w:tc>
      </w:tr>
      <w:tr>
        <w:trPr>
          <w:trHeight w:val="441"/>
        </w:trPr>
        <w:tc>
          <w:tcPr>
            <w:tcW w:w="1060" w:type="dxa"/>
            <w:vAlign w:val="bottom"/>
          </w:tcPr>
          <w:p>
            <w:pPr>
              <w:spacing w:after="0"/>
              <w:rPr>
                <w:sz w:val="20"/>
                <w:szCs w:val="20"/>
                <w:color w:val="auto"/>
              </w:rPr>
            </w:pPr>
            <w:r>
              <w:rPr>
                <w:rFonts w:ascii="Arial" w:cs="Arial" w:eastAsia="Arial" w:hAnsi="Arial"/>
                <w:sz w:val="19"/>
                <w:szCs w:val="19"/>
                <w:color w:val="auto"/>
              </w:rPr>
              <w:t>^10.6</w:t>
            </w:r>
          </w:p>
        </w:tc>
        <w:tc>
          <w:tcPr>
            <w:tcW w:w="120" w:type="dxa"/>
            <w:vAlign w:val="bottom"/>
          </w:tcPr>
          <w:p>
            <w:pPr>
              <w:spacing w:after="0"/>
              <w:rPr>
                <w:sz w:val="24"/>
                <w:szCs w:val="24"/>
                <w:color w:val="auto"/>
              </w:rPr>
            </w:pPr>
          </w:p>
        </w:tc>
        <w:tc>
          <w:tcPr>
            <w:tcW w:w="9040" w:type="dxa"/>
            <w:vAlign w:val="bottom"/>
            <w:tcBorders>
              <w:bottom w:val="single" w:sz="8" w:color="auto"/>
            </w:tcBorders>
            <w:gridSpan w:val="14"/>
          </w:tcPr>
          <w:p>
            <w:pPr>
              <w:spacing w:after="0"/>
              <w:rPr>
                <w:sz w:val="20"/>
                <w:szCs w:val="20"/>
                <w:color w:val="auto"/>
              </w:rPr>
            </w:pPr>
            <w:r>
              <w:rPr>
                <w:rFonts w:ascii="Arial" w:cs="Arial" w:eastAsia="Arial" w:hAnsi="Arial"/>
                <w:sz w:val="19"/>
                <w:szCs w:val="19"/>
                <w:color w:val="auto"/>
                <w:w w:val="89"/>
              </w:rPr>
              <w:t>Form of Incentive Stock Option Agreement under the Second Amended and Restated CECO Environmental Corp. 2007</w:t>
            </w:r>
          </w:p>
        </w:tc>
        <w:tc>
          <w:tcPr>
            <w:tcW w:w="460" w:type="dxa"/>
            <w:vAlign w:val="bottom"/>
            <w:gridSpan w:val="1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gridSpan w:val="27"/>
          </w:tcPr>
          <w:p>
            <w:pPr>
              <w:spacing w:after="0" w:line="196" w:lineRule="exact"/>
              <w:rPr>
                <w:sz w:val="20"/>
                <w:szCs w:val="20"/>
                <w:color w:val="auto"/>
              </w:rPr>
            </w:pPr>
            <w:r>
              <w:rPr>
                <w:rFonts w:ascii="Arial" w:cs="Arial" w:eastAsia="Arial" w:hAnsi="Arial"/>
                <w:sz w:val="19"/>
                <w:szCs w:val="19"/>
                <w:color w:val="auto"/>
                <w:w w:val="94"/>
              </w:rPr>
              <w:t>Equity Incentive Plan (incorporated by reference to Exhibit 10.12 to the Company’s Annual Report on Form 10-K for the</w:t>
            </w: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9"/>
                <w:szCs w:val="19"/>
                <w:color w:val="auto"/>
                <w:w w:val="88"/>
              </w:rPr>
              <w:t>fiscal year ended December 31, 2010)</w:t>
            </w:r>
          </w:p>
        </w:tc>
        <w:tc>
          <w:tcPr>
            <w:tcW w:w="6260" w:type="dxa"/>
            <w:vAlign w:val="bottom"/>
            <w:tcBorders>
              <w:top w:val="single" w:sz="8" w:color="auto"/>
            </w:tcBorders>
            <w:gridSpan w:val="12"/>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441"/>
        </w:trPr>
        <w:tc>
          <w:tcPr>
            <w:tcW w:w="1060" w:type="dxa"/>
            <w:vAlign w:val="bottom"/>
          </w:tcPr>
          <w:p>
            <w:pPr>
              <w:spacing w:after="0"/>
              <w:rPr>
                <w:sz w:val="20"/>
                <w:szCs w:val="20"/>
                <w:color w:val="auto"/>
              </w:rPr>
            </w:pPr>
            <w:r>
              <w:rPr>
                <w:rFonts w:ascii="Arial" w:cs="Arial" w:eastAsia="Arial" w:hAnsi="Arial"/>
                <w:sz w:val="19"/>
                <w:szCs w:val="19"/>
                <w:color w:val="auto"/>
              </w:rPr>
              <w:t>^10.7</w:t>
            </w:r>
          </w:p>
        </w:tc>
        <w:tc>
          <w:tcPr>
            <w:tcW w:w="120" w:type="dxa"/>
            <w:vAlign w:val="bottom"/>
          </w:tcPr>
          <w:p>
            <w:pPr>
              <w:spacing w:after="0"/>
              <w:rPr>
                <w:sz w:val="24"/>
                <w:szCs w:val="24"/>
                <w:color w:val="auto"/>
              </w:rPr>
            </w:pPr>
          </w:p>
        </w:tc>
        <w:tc>
          <w:tcPr>
            <w:tcW w:w="9400" w:type="dxa"/>
            <w:vAlign w:val="bottom"/>
            <w:tcBorders>
              <w:bottom w:val="single" w:sz="8" w:color="auto"/>
            </w:tcBorders>
            <w:gridSpan w:val="23"/>
          </w:tcPr>
          <w:p>
            <w:pPr>
              <w:spacing w:after="0"/>
              <w:rPr>
                <w:sz w:val="20"/>
                <w:szCs w:val="20"/>
                <w:color w:val="auto"/>
              </w:rPr>
            </w:pPr>
            <w:r>
              <w:rPr>
                <w:rFonts w:ascii="Arial" w:cs="Arial" w:eastAsia="Arial" w:hAnsi="Arial"/>
                <w:sz w:val="19"/>
                <w:szCs w:val="19"/>
                <w:color w:val="auto"/>
                <w:w w:val="89"/>
              </w:rPr>
              <w:t>Form of Non-Statutory Stock Option Agreement under the Second Amended and Restated CECO Environmental Corp. 2007</w:t>
            </w:r>
          </w:p>
        </w:tc>
        <w:tc>
          <w:tcPr>
            <w:tcW w:w="100" w:type="dxa"/>
            <w:vAlign w:val="bottom"/>
            <w:gridSpan w:val="4"/>
          </w:tcPr>
          <w:p>
            <w:pPr>
              <w:spacing w:after="0"/>
              <w:rPr>
                <w:sz w:val="24"/>
                <w:szCs w:val="24"/>
                <w:color w:val="auto"/>
              </w:rPr>
            </w:pPr>
          </w:p>
        </w:tc>
      </w:tr>
      <w:tr>
        <w:trPr>
          <w:trHeight w:val="197"/>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gridSpan w:val="27"/>
          </w:tcPr>
          <w:p>
            <w:pPr>
              <w:spacing w:after="0" w:line="197" w:lineRule="exact"/>
              <w:rPr>
                <w:sz w:val="20"/>
                <w:szCs w:val="20"/>
                <w:color w:val="auto"/>
              </w:rPr>
            </w:pPr>
            <w:r>
              <w:rPr>
                <w:rFonts w:ascii="Arial" w:cs="Arial" w:eastAsia="Arial" w:hAnsi="Arial"/>
                <w:sz w:val="19"/>
                <w:szCs w:val="19"/>
                <w:color w:val="auto"/>
                <w:w w:val="94"/>
              </w:rPr>
              <w:t>Equity Incentive Plan (incorporated by reference to Exhibit 10.13 to the Company’s Annual Report on Form 10-K for the</w:t>
            </w: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9"/>
                <w:szCs w:val="19"/>
                <w:color w:val="auto"/>
                <w:w w:val="88"/>
              </w:rPr>
              <w:t>fiscal year ended December 31, 2010)</w:t>
            </w:r>
          </w:p>
        </w:tc>
        <w:tc>
          <w:tcPr>
            <w:tcW w:w="6280" w:type="dxa"/>
            <w:vAlign w:val="bottom"/>
            <w:tcBorders>
              <w:top w:val="single" w:sz="8" w:color="auto"/>
            </w:tcBorders>
            <w:gridSpan w:val="13"/>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441"/>
        </w:trPr>
        <w:tc>
          <w:tcPr>
            <w:tcW w:w="1060" w:type="dxa"/>
            <w:vAlign w:val="bottom"/>
          </w:tcPr>
          <w:p>
            <w:pPr>
              <w:spacing w:after="0"/>
              <w:rPr>
                <w:sz w:val="20"/>
                <w:szCs w:val="20"/>
                <w:color w:val="auto"/>
              </w:rPr>
            </w:pPr>
            <w:r>
              <w:rPr>
                <w:rFonts w:ascii="Arial" w:cs="Arial" w:eastAsia="Arial" w:hAnsi="Arial"/>
                <w:sz w:val="19"/>
                <w:szCs w:val="19"/>
                <w:color w:val="auto"/>
              </w:rPr>
              <w:t>^10.8</w:t>
            </w:r>
          </w:p>
        </w:tc>
        <w:tc>
          <w:tcPr>
            <w:tcW w:w="120" w:type="dxa"/>
            <w:vAlign w:val="bottom"/>
          </w:tcPr>
          <w:p>
            <w:pPr>
              <w:spacing w:after="0"/>
              <w:rPr>
                <w:sz w:val="24"/>
                <w:szCs w:val="24"/>
                <w:color w:val="auto"/>
              </w:rPr>
            </w:pPr>
          </w:p>
        </w:tc>
        <w:tc>
          <w:tcPr>
            <w:tcW w:w="9280" w:type="dxa"/>
            <w:vAlign w:val="bottom"/>
            <w:tcBorders>
              <w:bottom w:val="single" w:sz="8" w:color="auto"/>
            </w:tcBorders>
            <w:gridSpan w:val="19"/>
          </w:tcPr>
          <w:p>
            <w:pPr>
              <w:spacing w:after="0"/>
              <w:rPr>
                <w:sz w:val="20"/>
                <w:szCs w:val="20"/>
                <w:color w:val="auto"/>
              </w:rPr>
            </w:pPr>
            <w:r>
              <w:rPr>
                <w:rFonts w:ascii="Arial" w:cs="Arial" w:eastAsia="Arial" w:hAnsi="Arial"/>
                <w:sz w:val="19"/>
                <w:szCs w:val="19"/>
                <w:color w:val="auto"/>
                <w:w w:val="90"/>
              </w:rPr>
              <w:t>CECO Environmental Corp. 2017 Equity and Incentive Compensation Plan (incorporated by reference to Exhibit 4.3 to the</w:t>
            </w:r>
          </w:p>
        </w:tc>
        <w:tc>
          <w:tcPr>
            <w:tcW w:w="22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gridSpan w:val="27"/>
          </w:tcPr>
          <w:p>
            <w:pPr>
              <w:spacing w:after="0" w:line="196" w:lineRule="exact"/>
              <w:rPr>
                <w:sz w:val="20"/>
                <w:szCs w:val="20"/>
                <w:color w:val="auto"/>
              </w:rPr>
            </w:pPr>
            <w:r>
              <w:rPr>
                <w:rFonts w:ascii="Arial" w:cs="Arial" w:eastAsia="Arial" w:hAnsi="Arial"/>
                <w:sz w:val="19"/>
                <w:szCs w:val="19"/>
                <w:color w:val="auto"/>
              </w:rPr>
              <w:t>Company’s Registration Statement on Form S-8 (Registration No. 333-218030) filed on May 16, 2017)</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60" w:type="dxa"/>
            <w:vAlign w:val="bottom"/>
            <w:gridSpan w:val="8"/>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39"/>
        </w:trPr>
        <w:tc>
          <w:tcPr>
            <w:tcW w:w="1060" w:type="dxa"/>
            <w:vAlign w:val="bottom"/>
          </w:tcPr>
          <w:p>
            <w:pPr>
              <w:spacing w:after="0"/>
              <w:rPr>
                <w:sz w:val="20"/>
                <w:szCs w:val="20"/>
                <w:color w:val="auto"/>
              </w:rPr>
            </w:pPr>
            <w:r>
              <w:rPr>
                <w:rFonts w:ascii="Arial" w:cs="Arial" w:eastAsia="Arial" w:hAnsi="Arial"/>
                <w:sz w:val="19"/>
                <w:szCs w:val="19"/>
                <w:color w:val="auto"/>
              </w:rPr>
              <w:t>^10.9</w:t>
            </w:r>
          </w:p>
        </w:tc>
        <w:tc>
          <w:tcPr>
            <w:tcW w:w="120" w:type="dxa"/>
            <w:vAlign w:val="bottom"/>
          </w:tcPr>
          <w:p>
            <w:pPr>
              <w:spacing w:after="0"/>
              <w:rPr>
                <w:sz w:val="24"/>
                <w:szCs w:val="24"/>
                <w:color w:val="auto"/>
              </w:rPr>
            </w:pPr>
          </w:p>
        </w:tc>
        <w:tc>
          <w:tcPr>
            <w:tcW w:w="9380" w:type="dxa"/>
            <w:vAlign w:val="bottom"/>
            <w:tcBorders>
              <w:bottom w:val="single" w:sz="8" w:color="auto"/>
            </w:tcBorders>
            <w:gridSpan w:val="22"/>
          </w:tcPr>
          <w:p>
            <w:pPr>
              <w:spacing w:after="0"/>
              <w:rPr>
                <w:sz w:val="20"/>
                <w:szCs w:val="20"/>
                <w:color w:val="auto"/>
              </w:rPr>
            </w:pPr>
            <w:r>
              <w:rPr>
                <w:rFonts w:ascii="Arial" w:cs="Arial" w:eastAsia="Arial" w:hAnsi="Arial"/>
                <w:sz w:val="19"/>
                <w:szCs w:val="19"/>
                <w:color w:val="auto"/>
                <w:w w:val="90"/>
              </w:rPr>
              <w:t>Form of Incentive Stock Option Agreement under the CECO Environmental Corp. 2017 Equity and Incentive Compensation</w:t>
            </w:r>
          </w:p>
        </w:tc>
        <w:tc>
          <w:tcPr>
            <w:tcW w:w="12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9"/>
                <w:szCs w:val="19"/>
                <w:color w:val="auto"/>
                <w:w w:val="90"/>
              </w:rPr>
              <w:t>Plan (incorporated by reference to Exhibit 10.2 to the Company’s Quarterly Report on Form 10-Q filed with the SEC on</w:t>
            </w:r>
          </w:p>
        </w:tc>
        <w:tc>
          <w:tcPr>
            <w:tcW w:w="44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gridSpan w:val="27"/>
          </w:tcPr>
          <w:p>
            <w:pPr>
              <w:spacing w:after="0" w:line="196" w:lineRule="exact"/>
              <w:rPr>
                <w:sz w:val="20"/>
                <w:szCs w:val="20"/>
                <w:color w:val="auto"/>
              </w:rPr>
            </w:pPr>
            <w:r>
              <w:rPr>
                <w:rFonts w:ascii="Arial" w:cs="Arial" w:eastAsia="Arial" w:hAnsi="Arial"/>
                <w:sz w:val="19"/>
                <w:szCs w:val="19"/>
                <w:color w:val="auto"/>
              </w:rPr>
              <w:t>August 9, 2017)</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20" w:type="dxa"/>
            <w:vAlign w:val="bottom"/>
            <w:gridSpan w:val="9"/>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441"/>
        </w:trPr>
        <w:tc>
          <w:tcPr>
            <w:tcW w:w="1060" w:type="dxa"/>
            <w:vAlign w:val="bottom"/>
          </w:tcPr>
          <w:p>
            <w:pPr>
              <w:spacing w:after="0"/>
              <w:rPr>
                <w:sz w:val="20"/>
                <w:szCs w:val="20"/>
                <w:color w:val="auto"/>
              </w:rPr>
            </w:pPr>
            <w:r>
              <w:rPr>
                <w:rFonts w:ascii="Arial" w:cs="Arial" w:eastAsia="Arial" w:hAnsi="Arial"/>
                <w:sz w:val="19"/>
                <w:szCs w:val="19"/>
                <w:color w:val="auto"/>
              </w:rPr>
              <w:t>^10.10</w:t>
            </w:r>
          </w:p>
        </w:tc>
        <w:tc>
          <w:tcPr>
            <w:tcW w:w="120" w:type="dxa"/>
            <w:vAlign w:val="bottom"/>
          </w:tcPr>
          <w:p>
            <w:pPr>
              <w:spacing w:after="0"/>
              <w:rPr>
                <w:sz w:val="24"/>
                <w:szCs w:val="24"/>
                <w:color w:val="auto"/>
              </w:rPr>
            </w:pPr>
          </w:p>
        </w:tc>
        <w:tc>
          <w:tcPr>
            <w:tcW w:w="8540" w:type="dxa"/>
            <w:vAlign w:val="bottom"/>
            <w:tcBorders>
              <w:bottom w:val="single" w:sz="8" w:color="auto"/>
            </w:tcBorders>
            <w:gridSpan w:val="11"/>
          </w:tcPr>
          <w:p>
            <w:pPr>
              <w:spacing w:after="0"/>
              <w:rPr>
                <w:sz w:val="20"/>
                <w:szCs w:val="20"/>
                <w:color w:val="auto"/>
              </w:rPr>
            </w:pPr>
            <w:r>
              <w:rPr>
                <w:rFonts w:ascii="Arial" w:cs="Arial" w:eastAsia="Arial" w:hAnsi="Arial"/>
                <w:sz w:val="19"/>
                <w:szCs w:val="19"/>
                <w:color w:val="auto"/>
                <w:w w:val="90"/>
              </w:rPr>
              <w:t>Form of Nonqualified Stock Option Agreement under the CECO Environmental Corp. 2017 Equity and Incentive</w:t>
            </w:r>
          </w:p>
        </w:tc>
        <w:tc>
          <w:tcPr>
            <w:tcW w:w="960" w:type="dxa"/>
            <w:vAlign w:val="bottom"/>
            <w:gridSpan w:val="1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9"/>
                <w:szCs w:val="19"/>
                <w:color w:val="auto"/>
                <w:w w:val="90"/>
              </w:rPr>
              <w:t>Compensation Plan (incorporated by reference to Exhibit 10.3 to the Company’s Quarterly Report on Form 10-Q filed with</w:t>
            </w:r>
          </w:p>
        </w:tc>
        <w:tc>
          <w:tcPr>
            <w:tcW w:w="22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9"/>
                <w:szCs w:val="19"/>
                <w:color w:val="auto"/>
                <w:w w:val="88"/>
              </w:rPr>
              <w:t>the SEC on August 9, 2017)</w:t>
            </w:r>
          </w:p>
        </w:tc>
        <w:tc>
          <w:tcPr>
            <w:tcW w:w="7380" w:type="dxa"/>
            <w:vAlign w:val="bottom"/>
            <w:gridSpan w:val="25"/>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10686"/>
          </w:cols>
          <w:pgMar w:left="594" w:top="837" w:right="600" w:bottom="46"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8"/>
        </w:trPr>
        <w:tc>
          <w:tcPr>
            <w:tcW w:w="1180" w:type="dxa"/>
            <w:vAlign w:val="bottom"/>
          </w:tcPr>
          <w:p>
            <w:pPr>
              <w:spacing w:after="0"/>
              <w:rPr>
                <w:sz w:val="20"/>
                <w:szCs w:val="20"/>
                <w:color w:val="auto"/>
              </w:rPr>
            </w:pPr>
            <w:r>
              <w:rPr>
                <w:rFonts w:ascii="Arial" w:cs="Arial" w:eastAsia="Arial" w:hAnsi="Arial"/>
                <w:sz w:val="19"/>
                <w:szCs w:val="19"/>
                <w:color w:val="auto"/>
              </w:rPr>
              <w:t>^10.11</w:t>
            </w:r>
          </w:p>
        </w:tc>
        <w:tc>
          <w:tcPr>
            <w:tcW w:w="9220" w:type="dxa"/>
            <w:vAlign w:val="bottom"/>
            <w:tcBorders>
              <w:bottom w:val="single" w:sz="8" w:color="auto"/>
            </w:tcBorders>
            <w:gridSpan w:val="18"/>
          </w:tcPr>
          <w:p>
            <w:pPr>
              <w:spacing w:after="0"/>
              <w:rPr>
                <w:sz w:val="20"/>
                <w:szCs w:val="20"/>
                <w:color w:val="auto"/>
              </w:rPr>
            </w:pPr>
            <w:r>
              <w:rPr>
                <w:rFonts w:ascii="Arial" w:cs="Arial" w:eastAsia="Arial" w:hAnsi="Arial"/>
                <w:sz w:val="19"/>
                <w:szCs w:val="19"/>
                <w:color w:val="auto"/>
                <w:w w:val="90"/>
              </w:rPr>
              <w:t>Form of Restricted Stock Units Agreement for Directors under the CECO Environmental Corp. 2017 Equity and Incentive</w:t>
            </w:r>
          </w:p>
        </w:tc>
        <w:tc>
          <w:tcPr>
            <w:tcW w:w="240" w:type="dxa"/>
            <w:vAlign w:val="bottom"/>
            <w:gridSpan w:val="8"/>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940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9"/>
                <w:szCs w:val="19"/>
                <w:color w:val="auto"/>
                <w:w w:val="91"/>
              </w:rPr>
              <w:t>Compensation Plan (incorporated by reference to Exhibit 10.4 to the Company’s Quarterly Report on Form  10-Q filed with</w:t>
            </w:r>
          </w:p>
        </w:tc>
        <w:tc>
          <w:tcPr>
            <w:tcW w:w="60" w:type="dxa"/>
            <w:vAlign w:val="bottom"/>
            <w:gridSpan w:val="2"/>
          </w:tcPr>
          <w:p>
            <w:pPr>
              <w:spacing w:after="0"/>
              <w:rPr>
                <w:sz w:val="17"/>
                <w:szCs w:val="17"/>
                <w:color w:val="auto"/>
              </w:rPr>
            </w:pPr>
          </w:p>
        </w:tc>
      </w:tr>
      <w:tr>
        <w:trPr>
          <w:trHeight w:val="197"/>
        </w:trPr>
        <w:tc>
          <w:tcPr>
            <w:tcW w:w="1180" w:type="dxa"/>
            <w:vAlign w:val="bottom"/>
          </w:tcPr>
          <w:p>
            <w:pPr>
              <w:spacing w:after="0"/>
              <w:rPr>
                <w:sz w:val="17"/>
                <w:szCs w:val="17"/>
                <w:color w:val="auto"/>
              </w:rPr>
            </w:pPr>
          </w:p>
        </w:tc>
        <w:tc>
          <w:tcPr>
            <w:tcW w:w="21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9"/>
                <w:szCs w:val="19"/>
                <w:color w:val="auto"/>
                <w:w w:val="89"/>
              </w:rPr>
              <w:t>the SEC on August 9, 2017)</w:t>
            </w:r>
          </w:p>
        </w:tc>
        <w:tc>
          <w:tcPr>
            <w:tcW w:w="7320" w:type="dxa"/>
            <w:vAlign w:val="bottom"/>
            <w:gridSpan w:val="23"/>
          </w:tcPr>
          <w:p>
            <w:pPr>
              <w:spacing w:after="0"/>
              <w:rPr>
                <w:sz w:val="17"/>
                <w:szCs w:val="17"/>
                <w:color w:val="auto"/>
              </w:rPr>
            </w:pPr>
          </w:p>
        </w:tc>
      </w:tr>
      <w:tr>
        <w:trPr>
          <w:trHeight w:val="439"/>
        </w:trPr>
        <w:tc>
          <w:tcPr>
            <w:tcW w:w="1180" w:type="dxa"/>
            <w:vAlign w:val="bottom"/>
          </w:tcPr>
          <w:p>
            <w:pPr>
              <w:spacing w:after="0"/>
              <w:rPr>
                <w:sz w:val="20"/>
                <w:szCs w:val="20"/>
                <w:color w:val="auto"/>
              </w:rPr>
            </w:pPr>
            <w:r>
              <w:rPr>
                <w:rFonts w:ascii="Arial" w:cs="Arial" w:eastAsia="Arial" w:hAnsi="Arial"/>
                <w:sz w:val="19"/>
                <w:szCs w:val="19"/>
                <w:color w:val="auto"/>
              </w:rPr>
              <w:t>^10.12</w:t>
            </w:r>
          </w:p>
        </w:tc>
        <w:tc>
          <w:tcPr>
            <w:tcW w:w="9360" w:type="dxa"/>
            <w:vAlign w:val="bottom"/>
            <w:tcBorders>
              <w:bottom w:val="single" w:sz="8" w:color="auto"/>
            </w:tcBorders>
            <w:gridSpan w:val="22"/>
          </w:tcPr>
          <w:p>
            <w:pPr>
              <w:spacing w:after="0"/>
              <w:rPr>
                <w:sz w:val="20"/>
                <w:szCs w:val="20"/>
                <w:color w:val="auto"/>
              </w:rPr>
            </w:pPr>
            <w:r>
              <w:rPr>
                <w:rFonts w:ascii="Arial" w:cs="Arial" w:eastAsia="Arial" w:hAnsi="Arial"/>
                <w:sz w:val="19"/>
                <w:szCs w:val="19"/>
                <w:color w:val="auto"/>
                <w:w w:val="90"/>
              </w:rPr>
              <w:t>Form of Restricted Stock Units Agreement for Employees under the CECO Environmental Corp. 2017 Equity and Incentive</w:t>
            </w:r>
          </w:p>
        </w:tc>
        <w:tc>
          <w:tcPr>
            <w:tcW w:w="10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28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9"/>
                <w:szCs w:val="19"/>
                <w:color w:val="auto"/>
                <w:w w:val="90"/>
              </w:rPr>
              <w:t>Compensation Plan (incorporated by reference to Exhibit 10.5 to the Company’s Quarterly Report on Form 10-Q filed with</w:t>
            </w:r>
          </w:p>
        </w:tc>
        <w:tc>
          <w:tcPr>
            <w:tcW w:w="180" w:type="dxa"/>
            <w:vAlign w:val="bottom"/>
            <w:gridSpan w:val="6"/>
          </w:tcPr>
          <w:p>
            <w:pPr>
              <w:spacing w:after="0"/>
              <w:rPr>
                <w:sz w:val="17"/>
                <w:szCs w:val="17"/>
                <w:color w:val="auto"/>
              </w:rPr>
            </w:pPr>
          </w:p>
        </w:tc>
      </w:tr>
      <w:tr>
        <w:trPr>
          <w:trHeight w:val="199"/>
        </w:trPr>
        <w:tc>
          <w:tcPr>
            <w:tcW w:w="1180" w:type="dxa"/>
            <w:vAlign w:val="bottom"/>
          </w:tcPr>
          <w:p>
            <w:pPr>
              <w:spacing w:after="0"/>
              <w:rPr>
                <w:sz w:val="17"/>
                <w:szCs w:val="17"/>
                <w:color w:val="auto"/>
              </w:rPr>
            </w:pPr>
          </w:p>
        </w:tc>
        <w:tc>
          <w:tcPr>
            <w:tcW w:w="21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9"/>
                <w:szCs w:val="19"/>
                <w:color w:val="auto"/>
                <w:w w:val="88"/>
              </w:rPr>
              <w:t>the SEC on August 9, 2017)</w:t>
            </w:r>
          </w:p>
        </w:tc>
        <w:tc>
          <w:tcPr>
            <w:tcW w:w="7340" w:type="dxa"/>
            <w:vAlign w:val="bottom"/>
            <w:gridSpan w:val="24"/>
          </w:tcPr>
          <w:p>
            <w:pPr>
              <w:spacing w:after="0"/>
              <w:rPr>
                <w:sz w:val="17"/>
                <w:szCs w:val="17"/>
                <w:color w:val="auto"/>
              </w:rPr>
            </w:pPr>
          </w:p>
        </w:tc>
      </w:tr>
      <w:tr>
        <w:trPr>
          <w:trHeight w:val="439"/>
        </w:trPr>
        <w:tc>
          <w:tcPr>
            <w:tcW w:w="1180" w:type="dxa"/>
            <w:vAlign w:val="bottom"/>
          </w:tcPr>
          <w:p>
            <w:pPr>
              <w:spacing w:after="0"/>
              <w:rPr>
                <w:sz w:val="20"/>
                <w:szCs w:val="20"/>
                <w:color w:val="auto"/>
              </w:rPr>
            </w:pPr>
            <w:r>
              <w:rPr>
                <w:rFonts w:ascii="Arial" w:cs="Arial" w:eastAsia="Arial" w:hAnsi="Arial"/>
                <w:sz w:val="19"/>
                <w:szCs w:val="19"/>
                <w:color w:val="auto"/>
              </w:rPr>
              <w:t>^10.13</w:t>
            </w:r>
          </w:p>
        </w:tc>
        <w:tc>
          <w:tcPr>
            <w:tcW w:w="8620" w:type="dxa"/>
            <w:vAlign w:val="bottom"/>
            <w:tcBorders>
              <w:bottom w:val="single" w:sz="8" w:color="auto"/>
            </w:tcBorders>
            <w:gridSpan w:val="11"/>
          </w:tcPr>
          <w:p>
            <w:pPr>
              <w:spacing w:after="0"/>
              <w:rPr>
                <w:sz w:val="20"/>
                <w:szCs w:val="20"/>
                <w:color w:val="auto"/>
              </w:rPr>
            </w:pPr>
            <w:r>
              <w:rPr>
                <w:rFonts w:ascii="Arial" w:cs="Arial" w:eastAsia="Arial" w:hAnsi="Arial"/>
                <w:sz w:val="19"/>
                <w:szCs w:val="19"/>
                <w:color w:val="auto"/>
                <w:w w:val="89"/>
              </w:rPr>
              <w:t>CECO Environmental Corp. 2020 Employee Stock Purchase Plan (incorporated by reference to Exhibit 10.1 to the</w:t>
            </w:r>
          </w:p>
        </w:tc>
        <w:tc>
          <w:tcPr>
            <w:tcW w:w="840" w:type="dxa"/>
            <w:vAlign w:val="bottom"/>
            <w:gridSpan w:val="1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6"/>
          </w:tcPr>
          <w:p>
            <w:pPr>
              <w:spacing w:after="0" w:line="196" w:lineRule="exact"/>
              <w:rPr>
                <w:sz w:val="20"/>
                <w:szCs w:val="20"/>
                <w:color w:val="auto"/>
              </w:rPr>
            </w:pPr>
            <w:r>
              <w:rPr>
                <w:rFonts w:ascii="Arial" w:cs="Arial" w:eastAsia="Arial" w:hAnsi="Arial"/>
                <w:sz w:val="19"/>
                <w:szCs w:val="19"/>
                <w:color w:val="auto"/>
              </w:rPr>
              <w:t>Company’s Current Report on Form 8-K filed with the SEC on June 16, 2020)</w:t>
            </w:r>
          </w:p>
        </w:tc>
      </w:tr>
      <w:tr>
        <w:trPr>
          <w:trHeight w:val="20"/>
        </w:trPr>
        <w:tc>
          <w:tcPr>
            <w:tcW w:w="1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^10.14</w:t>
            </w:r>
          </w:p>
        </w:tc>
        <w:tc>
          <w:tcPr>
            <w:tcW w:w="9380" w:type="dxa"/>
            <w:vAlign w:val="bottom"/>
            <w:tcBorders>
              <w:bottom w:val="single" w:sz="8" w:color="auto"/>
            </w:tcBorders>
            <w:gridSpan w:val="23"/>
          </w:tcPr>
          <w:p>
            <w:pPr>
              <w:spacing w:after="0"/>
              <w:rPr>
                <w:sz w:val="20"/>
                <w:szCs w:val="20"/>
                <w:color w:val="auto"/>
              </w:rPr>
            </w:pPr>
            <w:r>
              <w:rPr>
                <w:rFonts w:ascii="Arial" w:cs="Arial" w:eastAsia="Arial" w:hAnsi="Arial"/>
                <w:sz w:val="19"/>
                <w:szCs w:val="19"/>
                <w:color w:val="auto"/>
                <w:w w:val="90"/>
              </w:rPr>
              <w:t>CECO Environmental Corp. 2021 Equity and Incentive Compensation Plan (incorporated by reference to Exhibit 10.1 to the</w:t>
            </w:r>
          </w:p>
        </w:tc>
        <w:tc>
          <w:tcPr>
            <w:tcW w:w="8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6"/>
          </w:tcPr>
          <w:p>
            <w:pPr>
              <w:spacing w:after="0" w:line="196" w:lineRule="exact"/>
              <w:rPr>
                <w:sz w:val="20"/>
                <w:szCs w:val="20"/>
                <w:color w:val="auto"/>
              </w:rPr>
            </w:pPr>
            <w:r>
              <w:rPr>
                <w:rFonts w:ascii="Arial" w:cs="Arial" w:eastAsia="Arial" w:hAnsi="Arial"/>
                <w:sz w:val="19"/>
                <w:szCs w:val="19"/>
                <w:color w:val="auto"/>
              </w:rPr>
              <w:t>Company’s Current Report on Form 8-K filed with the SEC on May 27, 2021)</w:t>
            </w:r>
          </w:p>
        </w:tc>
      </w:tr>
      <w:tr>
        <w:trPr>
          <w:trHeight w:val="20"/>
        </w:trPr>
        <w:tc>
          <w:tcPr>
            <w:tcW w:w="1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^10.15</w:t>
            </w:r>
          </w:p>
        </w:tc>
        <w:tc>
          <w:tcPr>
            <w:tcW w:w="9220" w:type="dxa"/>
            <w:vAlign w:val="bottom"/>
            <w:tcBorders>
              <w:bottom w:val="single" w:sz="8" w:color="auto"/>
            </w:tcBorders>
            <w:gridSpan w:val="18"/>
          </w:tcPr>
          <w:p>
            <w:pPr>
              <w:spacing w:after="0"/>
              <w:rPr>
                <w:sz w:val="20"/>
                <w:szCs w:val="20"/>
                <w:color w:val="auto"/>
              </w:rPr>
            </w:pPr>
            <w:r>
              <w:rPr>
                <w:rFonts w:ascii="Arial" w:cs="Arial" w:eastAsia="Arial" w:hAnsi="Arial"/>
                <w:sz w:val="19"/>
                <w:szCs w:val="19"/>
                <w:color w:val="auto"/>
                <w:w w:val="90"/>
              </w:rPr>
              <w:t>Form of Restricted Stock Units Agreement for Directors under the CECO Environmental Corp. 2021 Equity and Incentive</w:t>
            </w:r>
          </w:p>
        </w:tc>
        <w:tc>
          <w:tcPr>
            <w:tcW w:w="24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9"/>
                <w:szCs w:val="19"/>
                <w:color w:val="auto"/>
                <w:w w:val="90"/>
              </w:rPr>
              <w:t>Compensation Plan (incorporated by reference to Exhibit 10.19 to the Company’s Annual Report on Form 10-K for the fiscal</w:t>
            </w:r>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4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9"/>
                <w:szCs w:val="19"/>
                <w:color w:val="auto"/>
                <w:w w:val="87"/>
              </w:rPr>
              <w:t>year ended December 31, 2021)</w:t>
            </w:r>
          </w:p>
        </w:tc>
        <w:tc>
          <w:tcPr>
            <w:tcW w:w="7040" w:type="dxa"/>
            <w:vAlign w:val="bottom"/>
            <w:gridSpan w:val="21"/>
          </w:tcPr>
          <w:p>
            <w:pPr>
              <w:spacing w:after="0"/>
              <w:rPr>
                <w:sz w:val="17"/>
                <w:szCs w:val="17"/>
                <w:color w:val="auto"/>
              </w:rPr>
            </w:pPr>
          </w:p>
        </w:tc>
      </w:tr>
      <w:tr>
        <w:trPr>
          <w:trHeight w:val="442"/>
        </w:trPr>
        <w:tc>
          <w:tcPr>
            <w:tcW w:w="1180" w:type="dxa"/>
            <w:vAlign w:val="bottom"/>
          </w:tcPr>
          <w:p>
            <w:pPr>
              <w:spacing w:after="0"/>
              <w:rPr>
                <w:sz w:val="20"/>
                <w:szCs w:val="20"/>
                <w:color w:val="auto"/>
              </w:rPr>
            </w:pPr>
            <w:r>
              <w:rPr>
                <w:rFonts w:ascii="Arial" w:cs="Arial" w:eastAsia="Arial" w:hAnsi="Arial"/>
                <w:sz w:val="19"/>
                <w:szCs w:val="19"/>
                <w:color w:val="auto"/>
              </w:rPr>
              <w:t>^10.16</w:t>
            </w:r>
          </w:p>
        </w:tc>
        <w:tc>
          <w:tcPr>
            <w:tcW w:w="9360" w:type="dxa"/>
            <w:vAlign w:val="bottom"/>
            <w:tcBorders>
              <w:bottom w:val="single" w:sz="8" w:color="auto"/>
            </w:tcBorders>
            <w:gridSpan w:val="22"/>
          </w:tcPr>
          <w:p>
            <w:pPr>
              <w:spacing w:after="0"/>
              <w:rPr>
                <w:sz w:val="20"/>
                <w:szCs w:val="20"/>
                <w:color w:val="auto"/>
              </w:rPr>
            </w:pPr>
            <w:r>
              <w:rPr>
                <w:rFonts w:ascii="Arial" w:cs="Arial" w:eastAsia="Arial" w:hAnsi="Arial"/>
                <w:sz w:val="19"/>
                <w:szCs w:val="19"/>
                <w:color w:val="auto"/>
                <w:w w:val="90"/>
              </w:rPr>
              <w:t>Form of Restricted Stock Units Agreement for Employees under the CECO Environmental Corp. 2021 Equity and Incentive</w:t>
            </w:r>
          </w:p>
        </w:tc>
        <w:tc>
          <w:tcPr>
            <w:tcW w:w="10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9"/>
                <w:szCs w:val="19"/>
                <w:color w:val="auto"/>
                <w:w w:val="90"/>
              </w:rPr>
              <w:t>Compensation Plan (incorporated by reference to Exhibit 10.20 to the Company’s Annual Report on Form 10-K for the fiscal</w:t>
            </w:r>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4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9"/>
                <w:szCs w:val="19"/>
                <w:color w:val="auto"/>
                <w:w w:val="87"/>
              </w:rPr>
              <w:t>year ended December 31, 2021)</w:t>
            </w:r>
          </w:p>
        </w:tc>
        <w:tc>
          <w:tcPr>
            <w:tcW w:w="7040" w:type="dxa"/>
            <w:vAlign w:val="bottom"/>
            <w:gridSpan w:val="21"/>
          </w:tcPr>
          <w:p>
            <w:pPr>
              <w:spacing w:after="0"/>
              <w:rPr>
                <w:sz w:val="17"/>
                <w:szCs w:val="17"/>
                <w:color w:val="auto"/>
              </w:rPr>
            </w:pPr>
          </w:p>
        </w:tc>
      </w:tr>
      <w:tr>
        <w:trPr>
          <w:trHeight w:val="439"/>
        </w:trPr>
        <w:tc>
          <w:tcPr>
            <w:tcW w:w="1180" w:type="dxa"/>
            <w:vAlign w:val="bottom"/>
          </w:tcPr>
          <w:p>
            <w:pPr>
              <w:spacing w:after="0"/>
              <w:rPr>
                <w:sz w:val="20"/>
                <w:szCs w:val="20"/>
                <w:color w:val="auto"/>
              </w:rPr>
            </w:pPr>
            <w:r>
              <w:rPr>
                <w:rFonts w:ascii="Arial" w:cs="Arial" w:eastAsia="Arial" w:hAnsi="Arial"/>
                <w:sz w:val="19"/>
                <w:szCs w:val="19"/>
                <w:color w:val="auto"/>
              </w:rPr>
              <w:t>^10.17</w:t>
            </w:r>
          </w:p>
        </w:tc>
        <w:tc>
          <w:tcPr>
            <w:tcW w:w="9260" w:type="dxa"/>
            <w:vAlign w:val="bottom"/>
            <w:tcBorders>
              <w:bottom w:val="single" w:sz="8" w:color="auto"/>
            </w:tcBorders>
            <w:gridSpan w:val="19"/>
          </w:tcPr>
          <w:p>
            <w:pPr>
              <w:spacing w:after="0"/>
              <w:rPr>
                <w:sz w:val="20"/>
                <w:szCs w:val="20"/>
                <w:color w:val="auto"/>
              </w:rPr>
            </w:pPr>
            <w:r>
              <w:rPr>
                <w:rFonts w:ascii="Arial" w:cs="Arial" w:eastAsia="Arial" w:hAnsi="Arial"/>
                <w:sz w:val="19"/>
                <w:szCs w:val="19"/>
                <w:color w:val="auto"/>
                <w:w w:val="90"/>
              </w:rPr>
              <w:t>CECO Environmental Corp. Executive Change in Control Severance Plan (incorporated by reference to Exhibit 10.1 to the</w:t>
            </w:r>
          </w:p>
        </w:tc>
        <w:tc>
          <w:tcPr>
            <w:tcW w:w="20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650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9"/>
                <w:szCs w:val="19"/>
                <w:color w:val="auto"/>
                <w:w w:val="90"/>
              </w:rPr>
              <w:t>Company’s Quarterly Report on Form 10-Q filed with the SEC on November 8, 2021)</w:t>
            </w:r>
          </w:p>
        </w:tc>
        <w:tc>
          <w:tcPr>
            <w:tcW w:w="2960" w:type="dxa"/>
            <w:vAlign w:val="bottom"/>
            <w:gridSpan w:val="18"/>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†10.18</w:t>
            </w:r>
          </w:p>
        </w:tc>
        <w:tc>
          <w:tcPr>
            <w:tcW w:w="8740" w:type="dxa"/>
            <w:vAlign w:val="bottom"/>
            <w:tcBorders>
              <w:bottom w:val="single" w:sz="8" w:color="auto"/>
            </w:tcBorders>
            <w:gridSpan w:val="14"/>
          </w:tcPr>
          <w:p>
            <w:pPr>
              <w:spacing w:after="0"/>
              <w:rPr>
                <w:sz w:val="20"/>
                <w:szCs w:val="20"/>
                <w:color w:val="auto"/>
              </w:rPr>
            </w:pPr>
            <w:r>
              <w:rPr>
                <w:rFonts w:ascii="Arial" w:cs="Arial" w:eastAsia="Arial" w:hAnsi="Arial"/>
                <w:sz w:val="19"/>
                <w:szCs w:val="19"/>
                <w:color w:val="auto"/>
                <w:w w:val="88"/>
              </w:rPr>
              <w:t>Second Amended and Restated Credit Agreement, dated as of June 11, 2019, among the Company and certain of its</w:t>
            </w:r>
          </w:p>
        </w:tc>
        <w:tc>
          <w:tcPr>
            <w:tcW w:w="720" w:type="dxa"/>
            <w:vAlign w:val="bottom"/>
            <w:gridSpan w:val="1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872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9"/>
                <w:szCs w:val="19"/>
                <w:color w:val="auto"/>
                <w:w w:val="90"/>
              </w:rPr>
              <w:t>subsidiaries, the Lenders party thereto, and Bank of America, N.A. (incorporated by reference to Exhibit 10.1 to the</w:t>
            </w:r>
          </w:p>
        </w:tc>
        <w:tc>
          <w:tcPr>
            <w:tcW w:w="740" w:type="dxa"/>
            <w:vAlign w:val="bottom"/>
            <w:gridSpan w:val="1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6"/>
          </w:tcPr>
          <w:p>
            <w:pPr>
              <w:spacing w:after="0" w:line="196" w:lineRule="exact"/>
              <w:rPr>
                <w:sz w:val="20"/>
                <w:szCs w:val="20"/>
                <w:color w:val="auto"/>
              </w:rPr>
            </w:pPr>
            <w:r>
              <w:rPr>
                <w:rFonts w:ascii="Arial" w:cs="Arial" w:eastAsia="Arial" w:hAnsi="Arial"/>
                <w:sz w:val="19"/>
                <w:szCs w:val="19"/>
                <w:color w:val="auto"/>
              </w:rPr>
              <w:t>Company’s Current Report on Form 8-K filed with the SEC on June 12, 2019)</w:t>
            </w:r>
          </w:p>
        </w:tc>
      </w:tr>
      <w:tr>
        <w:trPr>
          <w:trHeight w:val="20"/>
        </w:trPr>
        <w:tc>
          <w:tcPr>
            <w:tcW w:w="1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35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†10.19</w:t>
            </w:r>
          </w:p>
        </w:tc>
        <w:tc>
          <w:tcPr>
            <w:tcW w:w="9260" w:type="dxa"/>
            <w:vAlign w:val="bottom"/>
            <w:tcBorders>
              <w:bottom w:val="single" w:sz="8" w:color="auto"/>
            </w:tcBorders>
            <w:gridSpan w:val="19"/>
          </w:tcPr>
          <w:p>
            <w:pPr>
              <w:spacing w:after="0"/>
              <w:rPr>
                <w:sz w:val="20"/>
                <w:szCs w:val="20"/>
                <w:color w:val="auto"/>
              </w:rPr>
            </w:pPr>
            <w:r>
              <w:rPr>
                <w:rFonts w:ascii="Arial" w:cs="Arial" w:eastAsia="Arial" w:hAnsi="Arial"/>
                <w:sz w:val="19"/>
                <w:szCs w:val="19"/>
                <w:color w:val="auto"/>
                <w:w w:val="88"/>
              </w:rPr>
              <w:t>Amendment No. 1 to Second Amended and Restated Credit Agreement, dated as of October 30,2020, among the Company</w:t>
            </w:r>
          </w:p>
        </w:tc>
        <w:tc>
          <w:tcPr>
            <w:tcW w:w="20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0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9"/>
                <w:szCs w:val="19"/>
                <w:color w:val="auto"/>
                <w:w w:val="90"/>
              </w:rPr>
              <w:t>and certain of its subsidiaries, the lenders party thereto and Bank of America, N.A. (incorporated by reference to Exhibit</w:t>
            </w:r>
          </w:p>
        </w:tc>
        <w:tc>
          <w:tcPr>
            <w:tcW w:w="400" w:type="dxa"/>
            <w:vAlign w:val="bottom"/>
            <w:gridSpan w:val="11"/>
          </w:tcPr>
          <w:p>
            <w:pPr>
              <w:spacing w:after="0"/>
              <w:rPr>
                <w:sz w:val="17"/>
                <w:szCs w:val="17"/>
                <w:color w:val="auto"/>
              </w:rPr>
            </w:pPr>
          </w:p>
        </w:tc>
      </w:tr>
      <w:tr>
        <w:trPr>
          <w:trHeight w:val="197"/>
        </w:trPr>
        <w:tc>
          <w:tcPr>
            <w:tcW w:w="1180" w:type="dxa"/>
            <w:vAlign w:val="bottom"/>
          </w:tcPr>
          <w:p>
            <w:pPr>
              <w:spacing w:after="0"/>
              <w:rPr>
                <w:sz w:val="17"/>
                <w:szCs w:val="17"/>
                <w:color w:val="auto"/>
              </w:rPr>
            </w:pPr>
          </w:p>
        </w:tc>
        <w:tc>
          <w:tcPr>
            <w:tcW w:w="75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9"/>
                <w:szCs w:val="19"/>
                <w:color w:val="auto"/>
                <w:w w:val="90"/>
              </w:rPr>
              <w:t>10.</w:t>
            </w:r>
            <w:r>
              <w:rPr>
                <w:rFonts w:ascii="Arial" w:cs="Arial" w:eastAsia="Arial" w:hAnsi="Arial"/>
                <w:sz w:val="19"/>
                <w:szCs w:val="19"/>
                <w:u w:val="single" w:color="auto"/>
                <w:color w:val="auto"/>
                <w:w w:val="90"/>
              </w:rPr>
              <w:t>23</w:t>
            </w:r>
            <w:r>
              <w:rPr>
                <w:rFonts w:ascii="Arial" w:cs="Arial" w:eastAsia="Arial" w:hAnsi="Arial"/>
                <w:sz w:val="19"/>
                <w:szCs w:val="19"/>
                <w:color w:val="auto"/>
                <w:w w:val="90"/>
              </w:rPr>
              <w:t xml:space="preserve"> to the Company’s Annual Report on Form 10-K for the fiscal year ended December 31, 2021)</w:t>
            </w:r>
          </w:p>
        </w:tc>
        <w:tc>
          <w:tcPr>
            <w:tcW w:w="1920" w:type="dxa"/>
            <w:vAlign w:val="bottom"/>
            <w:gridSpan w:val="16"/>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†10.20</w:t>
            </w:r>
          </w:p>
        </w:tc>
        <w:tc>
          <w:tcPr>
            <w:tcW w:w="9460" w:type="dxa"/>
            <w:vAlign w:val="bottom"/>
            <w:tcBorders>
              <w:bottom w:val="single" w:sz="8" w:color="auto"/>
            </w:tcBorders>
            <w:gridSpan w:val="26"/>
          </w:tcPr>
          <w:p>
            <w:pPr>
              <w:spacing w:after="0"/>
              <w:rPr>
                <w:sz w:val="20"/>
                <w:szCs w:val="20"/>
                <w:color w:val="auto"/>
              </w:rPr>
            </w:pPr>
            <w:r>
              <w:rPr>
                <w:rFonts w:ascii="Arial" w:cs="Arial" w:eastAsia="Arial" w:hAnsi="Arial"/>
                <w:sz w:val="19"/>
                <w:szCs w:val="19"/>
                <w:color w:val="auto"/>
                <w:w w:val="88"/>
              </w:rPr>
              <w:t>Amendment No. 2 to Second Amended and Restated Credit Agreement, dated as of December 17, 2021, among the Company</w:t>
            </w:r>
          </w:p>
        </w:tc>
      </w:tr>
      <w:tr>
        <w:trPr>
          <w:trHeight w:val="196"/>
        </w:trPr>
        <w:tc>
          <w:tcPr>
            <w:tcW w:w="1180" w:type="dxa"/>
            <w:vAlign w:val="bottom"/>
          </w:tcPr>
          <w:p>
            <w:pPr>
              <w:spacing w:after="0"/>
              <w:rPr>
                <w:sz w:val="17"/>
                <w:szCs w:val="17"/>
                <w:color w:val="auto"/>
              </w:rPr>
            </w:pPr>
          </w:p>
        </w:tc>
        <w:tc>
          <w:tcPr>
            <w:tcW w:w="90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9"/>
                <w:szCs w:val="19"/>
                <w:color w:val="auto"/>
                <w:w w:val="90"/>
              </w:rPr>
              <w:t>and certain of its subsidiaries, the lenders party thereto and Bank of America, N.A. (incorporated by reference to Exhibit</w:t>
            </w:r>
          </w:p>
        </w:tc>
        <w:tc>
          <w:tcPr>
            <w:tcW w:w="400" w:type="dxa"/>
            <w:vAlign w:val="bottom"/>
            <w:gridSpan w:val="11"/>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75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9"/>
                <w:szCs w:val="19"/>
                <w:color w:val="auto"/>
                <w:w w:val="90"/>
              </w:rPr>
              <w:t>10.</w:t>
            </w:r>
            <w:r>
              <w:rPr>
                <w:rFonts w:ascii="Arial" w:cs="Arial" w:eastAsia="Arial" w:hAnsi="Arial"/>
                <w:sz w:val="19"/>
                <w:szCs w:val="19"/>
                <w:u w:val="single" w:color="auto"/>
                <w:color w:val="auto"/>
                <w:w w:val="90"/>
              </w:rPr>
              <w:t>25</w:t>
            </w:r>
            <w:r>
              <w:rPr>
                <w:rFonts w:ascii="Arial" w:cs="Arial" w:eastAsia="Arial" w:hAnsi="Arial"/>
                <w:sz w:val="19"/>
                <w:szCs w:val="19"/>
                <w:color w:val="auto"/>
                <w:w w:val="90"/>
              </w:rPr>
              <w:t xml:space="preserve"> to the Company’s Annual Report on Form 10-K for the fiscal year ended December 31, 2022)</w:t>
            </w:r>
          </w:p>
        </w:tc>
        <w:tc>
          <w:tcPr>
            <w:tcW w:w="1920" w:type="dxa"/>
            <w:vAlign w:val="bottom"/>
            <w:gridSpan w:val="16"/>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†10.21</w:t>
            </w:r>
          </w:p>
        </w:tc>
        <w:tc>
          <w:tcPr>
            <w:tcW w:w="9180" w:type="dxa"/>
            <w:vAlign w:val="bottom"/>
            <w:tcBorders>
              <w:bottom w:val="single" w:sz="8" w:color="auto"/>
            </w:tcBorders>
            <w:gridSpan w:val="17"/>
          </w:tcPr>
          <w:p>
            <w:pPr>
              <w:spacing w:after="0"/>
              <w:rPr>
                <w:sz w:val="20"/>
                <w:szCs w:val="20"/>
                <w:color w:val="auto"/>
              </w:rPr>
            </w:pPr>
            <w:r>
              <w:rPr>
                <w:rFonts w:ascii="Arial" w:cs="Arial" w:eastAsia="Arial" w:hAnsi="Arial"/>
                <w:sz w:val="19"/>
                <w:szCs w:val="19"/>
                <w:color w:val="auto"/>
                <w:w w:val="88"/>
              </w:rPr>
              <w:t>Amendment No. 3 to Second Amended and Restated Credit Agreement, dated as of March 20, 2023, among the Company</w:t>
            </w:r>
          </w:p>
        </w:tc>
        <w:tc>
          <w:tcPr>
            <w:tcW w:w="28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6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9"/>
                <w:szCs w:val="19"/>
                <w:color w:val="auto"/>
                <w:w w:val="90"/>
              </w:rPr>
              <w:t>and certain of its subsidiaries, the lenders party thereto and Bank of America, N.A. (incorporated by reference to Exhibit 10.2</w:t>
            </w:r>
          </w:p>
        </w:tc>
      </w:tr>
      <w:tr>
        <w:trPr>
          <w:trHeight w:val="196"/>
        </w:trPr>
        <w:tc>
          <w:tcPr>
            <w:tcW w:w="1180" w:type="dxa"/>
            <w:vAlign w:val="bottom"/>
          </w:tcPr>
          <w:p>
            <w:pPr>
              <w:spacing w:after="0"/>
              <w:rPr>
                <w:sz w:val="17"/>
                <w:szCs w:val="17"/>
                <w:color w:val="auto"/>
              </w:rPr>
            </w:pPr>
          </w:p>
        </w:tc>
        <w:tc>
          <w:tcPr>
            <w:tcW w:w="9460" w:type="dxa"/>
            <w:vAlign w:val="bottom"/>
            <w:gridSpan w:val="26"/>
          </w:tcPr>
          <w:p>
            <w:pPr>
              <w:spacing w:after="0" w:line="196" w:lineRule="exact"/>
              <w:rPr>
                <w:sz w:val="20"/>
                <w:szCs w:val="20"/>
                <w:color w:val="auto"/>
              </w:rPr>
            </w:pPr>
            <w:r>
              <w:rPr>
                <w:rFonts w:ascii="Arial" w:cs="Arial" w:eastAsia="Arial" w:hAnsi="Arial"/>
                <w:sz w:val="19"/>
                <w:szCs w:val="19"/>
                <w:color w:val="auto"/>
              </w:rPr>
              <w:t>to the Company’s Quarterly Report on Form 10-Q filed with the SEC on May 9, 2023)</w:t>
            </w:r>
          </w:p>
        </w:tc>
      </w:tr>
      <w:tr>
        <w:trPr>
          <w:trHeight w:val="20"/>
        </w:trPr>
        <w:tc>
          <w:tcPr>
            <w:tcW w:w="1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3780" w:type="dxa"/>
            <w:vAlign w:val="bottom"/>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39"/>
        </w:trPr>
        <w:tc>
          <w:tcPr>
            <w:tcW w:w="1180" w:type="dxa"/>
            <w:vAlign w:val="bottom"/>
          </w:tcPr>
          <w:p>
            <w:pPr>
              <w:spacing w:after="0"/>
              <w:rPr>
                <w:sz w:val="20"/>
                <w:szCs w:val="20"/>
                <w:color w:val="auto"/>
              </w:rPr>
            </w:pPr>
            <w:r>
              <w:rPr>
                <w:rFonts w:ascii="Arial" w:cs="Arial" w:eastAsia="Arial" w:hAnsi="Arial"/>
                <w:sz w:val="19"/>
                <w:szCs w:val="19"/>
                <w:color w:val="auto"/>
              </w:rPr>
              <w:t>*†10.22</w:t>
            </w:r>
          </w:p>
        </w:tc>
        <w:tc>
          <w:tcPr>
            <w:tcW w:w="9300" w:type="dxa"/>
            <w:vAlign w:val="bottom"/>
            <w:tcBorders>
              <w:bottom w:val="single" w:sz="8" w:color="auto"/>
            </w:tcBorders>
            <w:gridSpan w:val="21"/>
          </w:tcPr>
          <w:p>
            <w:pPr>
              <w:spacing w:after="0"/>
              <w:rPr>
                <w:sz w:val="20"/>
                <w:szCs w:val="20"/>
                <w:color w:val="auto"/>
              </w:rPr>
            </w:pPr>
            <w:r>
              <w:rPr>
                <w:rFonts w:ascii="Arial" w:cs="Arial" w:eastAsia="Arial" w:hAnsi="Arial"/>
                <w:sz w:val="19"/>
                <w:szCs w:val="19"/>
                <w:color w:val="auto"/>
                <w:w w:val="88"/>
              </w:rPr>
              <w:t>Amendment No. 4 to Second Amended and Restated Credit Agreement, dated as of October 30, 2023, among the Company</w:t>
            </w:r>
          </w:p>
        </w:tc>
        <w:tc>
          <w:tcPr>
            <w:tcW w:w="16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61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9"/>
                <w:szCs w:val="19"/>
                <w:color w:val="auto"/>
                <w:w w:val="89"/>
              </w:rPr>
              <w:t>and certain of its subsidiaries, the lenders party thereto and Bank of America, N.A</w:t>
            </w:r>
          </w:p>
        </w:tc>
        <w:tc>
          <w:tcPr>
            <w:tcW w:w="3280" w:type="dxa"/>
            <w:vAlign w:val="bottom"/>
            <w:gridSpan w:val="19"/>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^10.23</w:t>
            </w:r>
          </w:p>
        </w:tc>
        <w:tc>
          <w:tcPr>
            <w:tcW w:w="9360" w:type="dxa"/>
            <w:vAlign w:val="bottom"/>
            <w:tcBorders>
              <w:bottom w:val="single" w:sz="8" w:color="auto"/>
            </w:tcBorders>
            <w:gridSpan w:val="22"/>
          </w:tcPr>
          <w:p>
            <w:pPr>
              <w:spacing w:after="0"/>
              <w:rPr>
                <w:sz w:val="20"/>
                <w:szCs w:val="20"/>
                <w:color w:val="auto"/>
              </w:rPr>
            </w:pPr>
            <w:r>
              <w:rPr>
                <w:rFonts w:ascii="Arial" w:cs="Arial" w:eastAsia="Arial" w:hAnsi="Arial"/>
                <w:sz w:val="19"/>
                <w:szCs w:val="19"/>
                <w:color w:val="auto"/>
                <w:w w:val="90"/>
              </w:rPr>
              <w:t>Form of Restricted Stock Units Agreement for Employees under the CECO Environmental Corp. 2021 Equity and Incentive</w:t>
            </w:r>
          </w:p>
        </w:tc>
        <w:tc>
          <w:tcPr>
            <w:tcW w:w="10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9"/>
                <w:szCs w:val="19"/>
                <w:color w:val="auto"/>
                <w:w w:val="90"/>
              </w:rPr>
              <w:t>Compensation Plan (incorporated by reference to Exhibit 10.26 to the Company’s Annual Report on Form 10-K for the fiscal</w:t>
            </w:r>
          </w:p>
        </w:tc>
        <w:tc>
          <w:tcPr>
            <w:tcW w:w="20" w:type="dxa"/>
            <w:vAlign w:val="bottom"/>
          </w:tcPr>
          <w:p>
            <w:pPr>
              <w:spacing w:after="0"/>
              <w:rPr>
                <w:sz w:val="17"/>
                <w:szCs w:val="17"/>
                <w:color w:val="auto"/>
              </w:rPr>
            </w:pPr>
          </w:p>
        </w:tc>
      </w:tr>
      <w:tr>
        <w:trPr>
          <w:trHeight w:val="197"/>
        </w:trPr>
        <w:tc>
          <w:tcPr>
            <w:tcW w:w="1180" w:type="dxa"/>
            <w:vAlign w:val="bottom"/>
          </w:tcPr>
          <w:p>
            <w:pPr>
              <w:spacing w:after="0"/>
              <w:rPr>
                <w:sz w:val="17"/>
                <w:szCs w:val="17"/>
                <w:color w:val="auto"/>
              </w:rPr>
            </w:pPr>
          </w:p>
        </w:tc>
        <w:tc>
          <w:tcPr>
            <w:tcW w:w="2420" w:type="dxa"/>
            <w:vAlign w:val="bottom"/>
            <w:tcBorders>
              <w:bottom w:val="single" w:sz="8" w:color="auto"/>
            </w:tcBorders>
            <w:gridSpan w:val="5"/>
          </w:tcPr>
          <w:p>
            <w:pPr>
              <w:spacing w:after="0" w:line="197" w:lineRule="exact"/>
              <w:rPr>
                <w:sz w:val="20"/>
                <w:szCs w:val="20"/>
                <w:color w:val="auto"/>
              </w:rPr>
            </w:pPr>
            <w:r>
              <w:rPr>
                <w:rFonts w:ascii="Arial" w:cs="Arial" w:eastAsia="Arial" w:hAnsi="Arial"/>
                <w:sz w:val="19"/>
                <w:szCs w:val="19"/>
                <w:color w:val="auto"/>
                <w:w w:val="87"/>
              </w:rPr>
              <w:t>year ended December 31, 2022)</w:t>
            </w:r>
          </w:p>
        </w:tc>
        <w:tc>
          <w:tcPr>
            <w:tcW w:w="7040" w:type="dxa"/>
            <w:vAlign w:val="bottom"/>
            <w:gridSpan w:val="21"/>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^10.24</w:t>
            </w:r>
          </w:p>
        </w:tc>
        <w:tc>
          <w:tcPr>
            <w:tcW w:w="9220" w:type="dxa"/>
            <w:vAlign w:val="bottom"/>
            <w:tcBorders>
              <w:bottom w:val="single" w:sz="8" w:color="auto"/>
            </w:tcBorders>
            <w:gridSpan w:val="18"/>
          </w:tcPr>
          <w:p>
            <w:pPr>
              <w:spacing w:after="0"/>
              <w:rPr>
                <w:sz w:val="20"/>
                <w:szCs w:val="20"/>
                <w:color w:val="auto"/>
              </w:rPr>
            </w:pPr>
            <w:r>
              <w:rPr>
                <w:rFonts w:ascii="Arial" w:cs="Arial" w:eastAsia="Arial" w:hAnsi="Arial"/>
                <w:sz w:val="19"/>
                <w:szCs w:val="19"/>
                <w:color w:val="auto"/>
                <w:w w:val="90"/>
              </w:rPr>
              <w:t>Form of Restricted Stock Units Agreement for Directors under the CECO Environmental Corp. 2021 Equity and Incentive</w:t>
            </w:r>
          </w:p>
        </w:tc>
        <w:tc>
          <w:tcPr>
            <w:tcW w:w="24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9"/>
                <w:szCs w:val="19"/>
                <w:color w:val="auto"/>
                <w:w w:val="90"/>
              </w:rPr>
              <w:t>Compensation Plan (incorporated by reference to Exhibit 10.27 to the Company’s Annual Report on Form 10-K for the fiscal</w:t>
            </w:r>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4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9"/>
                <w:szCs w:val="19"/>
                <w:color w:val="auto"/>
                <w:w w:val="86"/>
              </w:rPr>
              <w:t>year ended December 31, 2022)</w:t>
            </w:r>
          </w:p>
        </w:tc>
        <w:tc>
          <w:tcPr>
            <w:tcW w:w="7060" w:type="dxa"/>
            <w:vAlign w:val="bottom"/>
            <w:gridSpan w:val="22"/>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^10.25</w:t>
            </w:r>
          </w:p>
        </w:tc>
        <w:tc>
          <w:tcPr>
            <w:tcW w:w="9160" w:type="dxa"/>
            <w:vAlign w:val="bottom"/>
            <w:tcBorders>
              <w:bottom w:val="single" w:sz="8" w:color="auto"/>
            </w:tcBorders>
            <w:gridSpan w:val="16"/>
          </w:tcPr>
          <w:p>
            <w:pPr>
              <w:spacing w:after="0"/>
              <w:rPr>
                <w:sz w:val="20"/>
                <w:szCs w:val="20"/>
                <w:color w:val="auto"/>
              </w:rPr>
            </w:pPr>
            <w:r>
              <w:rPr>
                <w:rFonts w:ascii="Arial" w:cs="Arial" w:eastAsia="Arial" w:hAnsi="Arial"/>
                <w:sz w:val="19"/>
                <w:szCs w:val="19"/>
                <w:color w:val="auto"/>
                <w:w w:val="89"/>
              </w:rPr>
              <w:t>Separation Agreement, dated as of August 21, 2023, by and between CECO Environmental Corp. and Ramesh Nuggihalli</w:t>
            </w:r>
          </w:p>
        </w:tc>
        <w:tc>
          <w:tcPr>
            <w:tcW w:w="300" w:type="dxa"/>
            <w:vAlign w:val="bottom"/>
            <w:gridSpan w:val="10"/>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6"/>
          </w:tcPr>
          <w:p>
            <w:pPr>
              <w:spacing w:after="0" w:line="196" w:lineRule="exact"/>
              <w:rPr>
                <w:sz w:val="20"/>
                <w:szCs w:val="20"/>
                <w:color w:val="auto"/>
              </w:rPr>
            </w:pPr>
            <w:r>
              <w:rPr>
                <w:rFonts w:ascii="Arial" w:cs="Arial" w:eastAsia="Arial" w:hAnsi="Arial"/>
                <w:sz w:val="19"/>
                <w:szCs w:val="19"/>
                <w:color w:val="auto"/>
                <w:w w:val="91"/>
              </w:rPr>
              <w:t>(incorporated by reference to Exhibit 10.1 to the Company’s Current Report on Form 10-Q filed with the SEC on November</w:t>
            </w:r>
          </w:p>
        </w:tc>
      </w:tr>
      <w:tr>
        <w:trPr>
          <w:trHeight w:val="196"/>
        </w:trPr>
        <w:tc>
          <w:tcPr>
            <w:tcW w:w="118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9"/>
                <w:szCs w:val="19"/>
                <w:color w:val="auto"/>
                <w:w w:val="86"/>
              </w:rPr>
              <w:t>7, 2023)</w:t>
            </w:r>
          </w:p>
        </w:tc>
        <w:tc>
          <w:tcPr>
            <w:tcW w:w="1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^10.26</w:t>
            </w:r>
          </w:p>
        </w:tc>
        <w:tc>
          <w:tcPr>
            <w:tcW w:w="8640" w:type="dxa"/>
            <w:vAlign w:val="bottom"/>
            <w:tcBorders>
              <w:bottom w:val="single" w:sz="8" w:color="auto"/>
            </w:tcBorders>
            <w:gridSpan w:val="12"/>
          </w:tcPr>
          <w:p>
            <w:pPr>
              <w:spacing w:after="0"/>
              <w:rPr>
                <w:sz w:val="20"/>
                <w:szCs w:val="20"/>
                <w:color w:val="auto"/>
              </w:rPr>
            </w:pPr>
            <w:r>
              <w:rPr>
                <w:rFonts w:ascii="Arial" w:cs="Arial" w:eastAsia="Arial" w:hAnsi="Arial"/>
                <w:sz w:val="19"/>
                <w:szCs w:val="19"/>
                <w:color w:val="auto"/>
                <w:w w:val="88"/>
              </w:rPr>
              <w:t>Separation Agreement, dated as of September 1, 2023, by and between CECO Environmental Corp. and Paul Gohr</w:t>
            </w:r>
          </w:p>
        </w:tc>
        <w:tc>
          <w:tcPr>
            <w:tcW w:w="820" w:type="dxa"/>
            <w:vAlign w:val="bottom"/>
            <w:gridSpan w:val="1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6"/>
          </w:tcPr>
          <w:p>
            <w:pPr>
              <w:spacing w:after="0" w:line="196" w:lineRule="exact"/>
              <w:rPr>
                <w:sz w:val="20"/>
                <w:szCs w:val="20"/>
                <w:color w:val="auto"/>
              </w:rPr>
            </w:pPr>
            <w:r>
              <w:rPr>
                <w:rFonts w:ascii="Arial" w:cs="Arial" w:eastAsia="Arial" w:hAnsi="Arial"/>
                <w:sz w:val="19"/>
                <w:szCs w:val="19"/>
                <w:color w:val="auto"/>
                <w:w w:val="91"/>
              </w:rPr>
              <w:t>(incorporated by reference to Exhibit 10.2 to the Company’s Current Report on Form 10-Q filed with the SEC on November</w:t>
            </w:r>
          </w:p>
        </w:tc>
      </w:tr>
      <w:tr>
        <w:trPr>
          <w:trHeight w:val="196"/>
        </w:trPr>
        <w:tc>
          <w:tcPr>
            <w:tcW w:w="118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9"/>
                <w:szCs w:val="19"/>
                <w:color w:val="auto"/>
                <w:w w:val="86"/>
              </w:rPr>
              <w:t>7, 2023)</w:t>
            </w:r>
          </w:p>
        </w:tc>
        <w:tc>
          <w:tcPr>
            <w:tcW w:w="1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10640"/>
          </w:cols>
          <w:pgMar w:left="600" w:top="833" w:right="640" w:bottom="46" w:gutter="0" w:footer="0" w:header="0"/>
        </w:sectPr>
      </w:pPr>
    </w:p>
    <w:bookmarkStart w:id="57" w:name="page58"/>
    <w:bookmarkEnd w:id="57"/>
    <w:tbl>
      <w:tblPr>
        <w:tblLayout w:type="fixed"/>
        <w:tblInd w:w="6" w:type="dxa"/>
        <w:tblCellMar>
          <w:top w:w="0" w:type="dxa"/>
          <w:left w:w="0" w:type="dxa"/>
          <w:bottom w:w="0" w:type="dxa"/>
          <w:right w:w="0" w:type="dxa"/>
        </w:tblCellMar>
      </w:tblPr>
      <w:tr>
        <w:trPr>
          <w:trHeight w:val="218"/>
        </w:trPr>
        <w:tc>
          <w:tcPr>
            <w:tcW w:w="1180" w:type="dxa"/>
            <w:vAlign w:val="bottom"/>
          </w:tcPr>
          <w:p>
            <w:pPr>
              <w:spacing w:after="0"/>
              <w:rPr>
                <w:sz w:val="20"/>
                <w:szCs w:val="20"/>
                <w:color w:val="auto"/>
              </w:rPr>
            </w:pPr>
            <w:r>
              <w:rPr>
                <w:rFonts w:ascii="Arial" w:cs="Arial" w:eastAsia="Arial" w:hAnsi="Arial"/>
                <w:sz w:val="19"/>
                <w:szCs w:val="19"/>
                <w:color w:val="auto"/>
              </w:rPr>
              <w:t>^10.27</w:t>
            </w:r>
          </w:p>
        </w:tc>
        <w:tc>
          <w:tcPr>
            <w:tcW w:w="9340" w:type="dxa"/>
            <w:vAlign w:val="bottom"/>
            <w:tcBorders>
              <w:bottom w:val="single" w:sz="8" w:color="auto"/>
            </w:tcBorders>
            <w:gridSpan w:val="18"/>
          </w:tcPr>
          <w:p>
            <w:pPr>
              <w:spacing w:after="0"/>
              <w:rPr>
                <w:sz w:val="20"/>
                <w:szCs w:val="20"/>
                <w:color w:val="auto"/>
              </w:rPr>
            </w:pPr>
            <w:r>
              <w:rPr>
                <w:rFonts w:ascii="Arial" w:cs="Arial" w:eastAsia="Arial" w:hAnsi="Arial"/>
                <w:sz w:val="19"/>
                <w:szCs w:val="19"/>
                <w:color w:val="auto"/>
                <w:w w:val="88"/>
              </w:rPr>
              <w:t>Equity Award Agreement between the Company and Peter Johansson, dated September 29, 2023 (incorporated by reference</w:t>
            </w:r>
          </w:p>
        </w:tc>
        <w:tc>
          <w:tcPr>
            <w:tcW w:w="120" w:type="dxa"/>
            <w:vAlign w:val="bottom"/>
            <w:gridSpan w:val="2"/>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77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9"/>
                <w:szCs w:val="19"/>
                <w:color w:val="auto"/>
                <w:w w:val="91"/>
              </w:rPr>
              <w:t>to Exhibit 10.1 to the Company’s Current Report on Form 8-K filed with the SEC on October 5, 2023)</w:t>
            </w:r>
          </w:p>
        </w:tc>
        <w:tc>
          <w:tcPr>
            <w:tcW w:w="1740" w:type="dxa"/>
            <w:vAlign w:val="bottom"/>
            <w:gridSpan w:val="8"/>
          </w:tcPr>
          <w:p>
            <w:pPr>
              <w:spacing w:after="0"/>
              <w:rPr>
                <w:sz w:val="17"/>
                <w:szCs w:val="17"/>
                <w:color w:val="auto"/>
              </w:rPr>
            </w:pPr>
          </w:p>
        </w:tc>
      </w:tr>
      <w:tr>
        <w:trPr>
          <w:trHeight w:val="439"/>
        </w:trPr>
        <w:tc>
          <w:tcPr>
            <w:tcW w:w="1180" w:type="dxa"/>
            <w:vAlign w:val="bottom"/>
          </w:tcPr>
          <w:p>
            <w:pPr>
              <w:spacing w:after="0"/>
              <w:rPr>
                <w:sz w:val="20"/>
                <w:szCs w:val="20"/>
                <w:color w:val="auto"/>
              </w:rPr>
            </w:pPr>
            <w:r>
              <w:rPr>
                <w:rFonts w:ascii="Arial" w:cs="Arial" w:eastAsia="Arial" w:hAnsi="Arial"/>
                <w:sz w:val="19"/>
                <w:szCs w:val="19"/>
                <w:color w:val="auto"/>
              </w:rPr>
              <w:t>^10.28</w:t>
            </w:r>
          </w:p>
        </w:tc>
        <w:tc>
          <w:tcPr>
            <w:tcW w:w="9340" w:type="dxa"/>
            <w:vAlign w:val="bottom"/>
            <w:tcBorders>
              <w:bottom w:val="single" w:sz="8" w:color="auto"/>
            </w:tcBorders>
            <w:gridSpan w:val="18"/>
          </w:tcPr>
          <w:p>
            <w:pPr>
              <w:spacing w:after="0"/>
              <w:rPr>
                <w:sz w:val="20"/>
                <w:szCs w:val="20"/>
                <w:color w:val="auto"/>
              </w:rPr>
            </w:pPr>
            <w:r>
              <w:rPr>
                <w:rFonts w:ascii="Arial" w:cs="Arial" w:eastAsia="Arial" w:hAnsi="Arial"/>
                <w:sz w:val="19"/>
                <w:szCs w:val="19"/>
                <w:color w:val="auto"/>
                <w:w w:val="89"/>
              </w:rPr>
              <w:t>Equity Award Agreement between the Company and Joycelynn Watkins-Asiyanbi, dated September 29, 2023 (incorporated</w:t>
            </w:r>
          </w:p>
        </w:tc>
        <w:tc>
          <w:tcPr>
            <w:tcW w:w="12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87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9"/>
                <w:szCs w:val="19"/>
                <w:color w:val="auto"/>
                <w:w w:val="90"/>
              </w:rPr>
              <w:t>by reference to Exhibit 10.2 to the Company’s Current Report on Form 8-K filed with the SEC on October 5, 2023)</w:t>
            </w:r>
          </w:p>
        </w:tc>
        <w:tc>
          <w:tcPr>
            <w:tcW w:w="760" w:type="dxa"/>
            <w:vAlign w:val="bottom"/>
            <w:gridSpan w:val="7"/>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^10.29</w:t>
            </w:r>
          </w:p>
        </w:tc>
        <w:tc>
          <w:tcPr>
            <w:tcW w:w="9460" w:type="dxa"/>
            <w:vAlign w:val="bottom"/>
            <w:tcBorders>
              <w:bottom w:val="single" w:sz="8" w:color="auto"/>
            </w:tcBorders>
            <w:gridSpan w:val="20"/>
          </w:tcPr>
          <w:p>
            <w:pPr>
              <w:spacing w:after="0"/>
              <w:rPr>
                <w:sz w:val="20"/>
                <w:szCs w:val="20"/>
                <w:color w:val="auto"/>
              </w:rPr>
            </w:pPr>
            <w:r>
              <w:rPr>
                <w:rFonts w:ascii="Arial" w:cs="Arial" w:eastAsia="Arial" w:hAnsi="Arial"/>
                <w:sz w:val="19"/>
                <w:szCs w:val="19"/>
                <w:color w:val="auto"/>
                <w:w w:val="89"/>
              </w:rPr>
              <w:t>Letter agreement with Todd Gleason, dated July 5, 2023 (incorporated by reference to Exhibit 10.1 to the Company’s Current</w:t>
            </w:r>
          </w:p>
        </w:tc>
      </w:tr>
      <w:tr>
        <w:trPr>
          <w:trHeight w:val="196"/>
        </w:trPr>
        <w:tc>
          <w:tcPr>
            <w:tcW w:w="1180" w:type="dxa"/>
            <w:vAlign w:val="bottom"/>
          </w:tcPr>
          <w:p>
            <w:pPr>
              <w:spacing w:after="0"/>
              <w:rPr>
                <w:sz w:val="17"/>
                <w:szCs w:val="17"/>
                <w:color w:val="auto"/>
              </w:rPr>
            </w:pPr>
          </w:p>
        </w:tc>
        <w:tc>
          <w:tcPr>
            <w:tcW w:w="434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9"/>
                <w:szCs w:val="19"/>
                <w:color w:val="auto"/>
                <w:w w:val="91"/>
              </w:rPr>
              <w:t>Report on Form 8-K filed with the SEC on July 11, 2023)</w:t>
            </w:r>
          </w:p>
        </w:tc>
        <w:tc>
          <w:tcPr>
            <w:tcW w:w="5120" w:type="dxa"/>
            <w:vAlign w:val="bottom"/>
            <w:gridSpan w:val="14"/>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^10.30</w:t>
            </w:r>
          </w:p>
        </w:tc>
        <w:tc>
          <w:tcPr>
            <w:tcW w:w="9460" w:type="dxa"/>
            <w:vAlign w:val="bottom"/>
            <w:gridSpan w:val="20"/>
          </w:tcPr>
          <w:p>
            <w:pPr>
              <w:spacing w:after="0"/>
              <w:rPr>
                <w:sz w:val="20"/>
                <w:szCs w:val="20"/>
                <w:color w:val="auto"/>
              </w:rPr>
            </w:pPr>
            <w:r>
              <w:rPr>
                <w:rFonts w:ascii="Arial" w:cs="Arial" w:eastAsia="Arial" w:hAnsi="Arial"/>
                <w:sz w:val="19"/>
                <w:szCs w:val="19"/>
                <w:color w:val="auto"/>
                <w:w w:val="90"/>
              </w:rPr>
              <w:t>Equity Award agreement between the Company and Todd Gleason, dated July 5, 2023 (incorporated by reference to Exhibit</w:t>
            </w:r>
          </w:p>
        </w:tc>
      </w:tr>
      <w:tr>
        <w:trPr>
          <w:trHeight w:val="196"/>
        </w:trPr>
        <w:tc>
          <w:tcPr>
            <w:tcW w:w="1180" w:type="dxa"/>
            <w:vAlign w:val="bottom"/>
          </w:tcPr>
          <w:p>
            <w:pPr>
              <w:spacing w:after="0"/>
              <w:rPr>
                <w:sz w:val="17"/>
                <w:szCs w:val="17"/>
                <w:color w:val="auto"/>
              </w:rPr>
            </w:pPr>
          </w:p>
        </w:tc>
        <w:tc>
          <w:tcPr>
            <w:tcW w:w="672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9"/>
                <w:szCs w:val="19"/>
                <w:color w:val="auto"/>
                <w:w w:val="90"/>
              </w:rPr>
              <w:t>10.</w:t>
            </w:r>
            <w:r>
              <w:rPr>
                <w:rFonts w:ascii="Arial" w:cs="Arial" w:eastAsia="Arial" w:hAnsi="Arial"/>
                <w:sz w:val="19"/>
                <w:szCs w:val="19"/>
                <w:u w:val="single" w:color="auto"/>
                <w:color w:val="auto"/>
                <w:w w:val="90"/>
              </w:rPr>
              <w:t>2</w:t>
            </w:r>
            <w:r>
              <w:rPr>
                <w:rFonts w:ascii="Arial" w:cs="Arial" w:eastAsia="Arial" w:hAnsi="Arial"/>
                <w:sz w:val="19"/>
                <w:szCs w:val="19"/>
                <w:color w:val="auto"/>
                <w:w w:val="90"/>
              </w:rPr>
              <w:t xml:space="preserve"> to the Company’s Current Report on Form 8-K filed with the SEC on July 11, 2023)</w:t>
            </w:r>
          </w:p>
        </w:tc>
        <w:tc>
          <w:tcPr>
            <w:tcW w:w="2620" w:type="dxa"/>
            <w:vAlign w:val="bottom"/>
            <w:tcBorders>
              <w:top w:val="single" w:sz="8" w:color="auto"/>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^10.31</w:t>
            </w:r>
          </w:p>
        </w:tc>
        <w:tc>
          <w:tcPr>
            <w:tcW w:w="8780" w:type="dxa"/>
            <w:vAlign w:val="bottom"/>
            <w:tcBorders>
              <w:bottom w:val="single" w:sz="8" w:color="auto"/>
            </w:tcBorders>
            <w:gridSpan w:val="14"/>
          </w:tcPr>
          <w:p>
            <w:pPr>
              <w:spacing w:after="0"/>
              <w:rPr>
                <w:sz w:val="20"/>
                <w:szCs w:val="20"/>
                <w:color w:val="auto"/>
              </w:rPr>
            </w:pPr>
            <w:r>
              <w:rPr>
                <w:rFonts w:ascii="Arial" w:cs="Arial" w:eastAsia="Arial" w:hAnsi="Arial"/>
                <w:sz w:val="19"/>
                <w:szCs w:val="19"/>
                <w:color w:val="auto"/>
                <w:w w:val="88"/>
              </w:rPr>
              <w:t>CECO Environmental Corp. Executive Change in Control and Severance Plan, as amended and restated July 6, 2023</w:t>
            </w:r>
          </w:p>
        </w:tc>
        <w:tc>
          <w:tcPr>
            <w:tcW w:w="68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Arial" w:cs="Arial" w:eastAsia="Arial" w:hAnsi="Arial"/>
                <w:sz w:val="19"/>
                <w:szCs w:val="19"/>
                <w:color w:val="auto"/>
                <w:w w:val="94"/>
              </w:rPr>
              <w:t>(incorporated by reference to Exhibit 10.3 to the Company’s Current Report on Form 8-K filed with the SEC on July 11,</w:t>
            </w:r>
          </w:p>
        </w:tc>
      </w:tr>
      <w:tr>
        <w:trPr>
          <w:trHeight w:val="196"/>
        </w:trPr>
        <w:tc>
          <w:tcPr>
            <w:tcW w:w="118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9"/>
                <w:szCs w:val="19"/>
                <w:color w:val="auto"/>
                <w:w w:val="86"/>
              </w:rPr>
              <w:t>2023)</w:t>
            </w:r>
          </w:p>
        </w:tc>
        <w:tc>
          <w:tcPr>
            <w:tcW w:w="1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*†^10.32</w:t>
            </w:r>
          </w:p>
        </w:tc>
        <w:tc>
          <w:tcPr>
            <w:tcW w:w="9360" w:type="dxa"/>
            <w:vAlign w:val="bottom"/>
            <w:tcBorders>
              <w:bottom w:val="single" w:sz="8" w:color="auto"/>
            </w:tcBorders>
            <w:gridSpan w:val="19"/>
          </w:tcPr>
          <w:p>
            <w:pPr>
              <w:spacing w:after="0"/>
              <w:rPr>
                <w:sz w:val="20"/>
                <w:szCs w:val="20"/>
                <w:color w:val="auto"/>
              </w:rPr>
            </w:pPr>
            <w:r>
              <w:rPr>
                <w:rFonts w:ascii="Arial" w:cs="Arial" w:eastAsia="Arial" w:hAnsi="Arial"/>
                <w:sz w:val="19"/>
                <w:szCs w:val="19"/>
                <w:color w:val="auto"/>
                <w:w w:val="90"/>
              </w:rPr>
              <w:t>Form of Restricted Stock Units Agreement for Employees under the CECO Environmental Corp. 2021 Equity and Incentive</w:t>
            </w:r>
          </w:p>
        </w:tc>
        <w:tc>
          <w:tcPr>
            <w:tcW w:w="100" w:type="dxa"/>
            <w:vAlign w:val="bottom"/>
          </w:tcPr>
          <w:p>
            <w:pPr>
              <w:spacing w:after="0"/>
              <w:rPr>
                <w:sz w:val="24"/>
                <w:szCs w:val="24"/>
                <w:color w:val="auto"/>
              </w:rPr>
            </w:pPr>
          </w:p>
        </w:tc>
      </w:tr>
      <w:tr>
        <w:trPr>
          <w:trHeight w:val="197"/>
        </w:trPr>
        <w:tc>
          <w:tcPr>
            <w:tcW w:w="1180" w:type="dxa"/>
            <w:vAlign w:val="bottom"/>
          </w:tcPr>
          <w:p>
            <w:pPr>
              <w:spacing w:after="0"/>
              <w:rPr>
                <w:sz w:val="17"/>
                <w:szCs w:val="17"/>
                <w:color w:val="auto"/>
              </w:rPr>
            </w:pPr>
          </w:p>
        </w:tc>
        <w:tc>
          <w:tcPr>
            <w:tcW w:w="3060" w:type="dxa"/>
            <w:vAlign w:val="bottom"/>
            <w:tcBorders>
              <w:bottom w:val="single" w:sz="8" w:color="auto"/>
            </w:tcBorders>
            <w:gridSpan w:val="5"/>
          </w:tcPr>
          <w:p>
            <w:pPr>
              <w:spacing w:after="0" w:line="197" w:lineRule="exact"/>
              <w:rPr>
                <w:sz w:val="20"/>
                <w:szCs w:val="20"/>
                <w:color w:val="auto"/>
              </w:rPr>
            </w:pPr>
            <w:r>
              <w:rPr>
                <w:rFonts w:ascii="Arial" w:cs="Arial" w:eastAsia="Arial" w:hAnsi="Arial"/>
                <w:sz w:val="19"/>
                <w:szCs w:val="19"/>
                <w:color w:val="auto"/>
                <w:w w:val="88"/>
              </w:rPr>
              <w:t>Compensation Plan, revised March 2024</w:t>
            </w:r>
          </w:p>
        </w:tc>
        <w:tc>
          <w:tcPr>
            <w:tcW w:w="6400" w:type="dxa"/>
            <w:vAlign w:val="bottom"/>
            <w:gridSpan w:val="15"/>
          </w:tcPr>
          <w:p>
            <w:pPr>
              <w:spacing w:after="0"/>
              <w:rPr>
                <w:sz w:val="17"/>
                <w:szCs w:val="17"/>
                <w:color w:val="auto"/>
              </w:rPr>
            </w:pPr>
          </w:p>
        </w:tc>
      </w:tr>
      <w:tr>
        <w:trPr>
          <w:trHeight w:val="439"/>
        </w:trPr>
        <w:tc>
          <w:tcPr>
            <w:tcW w:w="1180" w:type="dxa"/>
            <w:vAlign w:val="bottom"/>
          </w:tcPr>
          <w:p>
            <w:pPr>
              <w:spacing w:after="0"/>
              <w:rPr>
                <w:sz w:val="20"/>
                <w:szCs w:val="20"/>
                <w:color w:val="auto"/>
              </w:rPr>
            </w:pPr>
            <w:r>
              <w:rPr>
                <w:rFonts w:ascii="Arial" w:cs="Arial" w:eastAsia="Arial" w:hAnsi="Arial"/>
                <w:sz w:val="19"/>
                <w:szCs w:val="19"/>
                <w:color w:val="auto"/>
              </w:rPr>
              <w:t>*^10.33</w:t>
            </w:r>
          </w:p>
        </w:tc>
        <w:tc>
          <w:tcPr>
            <w:tcW w:w="9260" w:type="dxa"/>
            <w:vAlign w:val="bottom"/>
            <w:tcBorders>
              <w:bottom w:val="single" w:sz="8" w:color="auto"/>
            </w:tcBorders>
            <w:gridSpan w:val="17"/>
          </w:tcPr>
          <w:p>
            <w:pPr>
              <w:spacing w:after="0"/>
              <w:rPr>
                <w:sz w:val="20"/>
                <w:szCs w:val="20"/>
                <w:color w:val="auto"/>
              </w:rPr>
            </w:pPr>
            <w:r>
              <w:rPr>
                <w:rFonts w:ascii="Arial" w:cs="Arial" w:eastAsia="Arial" w:hAnsi="Arial"/>
                <w:sz w:val="19"/>
                <w:szCs w:val="19"/>
                <w:color w:val="auto"/>
                <w:w w:val="89"/>
              </w:rPr>
              <w:t>Form of Performance-Based Restricted Stock Units Agreement for Employees under the CECO Environmental Corp. 2021</w:t>
            </w:r>
          </w:p>
        </w:tc>
        <w:tc>
          <w:tcPr>
            <w:tcW w:w="2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46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9"/>
                <w:szCs w:val="19"/>
                <w:color w:val="auto"/>
                <w:w w:val="89"/>
              </w:rPr>
              <w:t>Equity and Incentive Compensation Plan, revised March 2024</w:t>
            </w:r>
          </w:p>
        </w:tc>
        <w:tc>
          <w:tcPr>
            <w:tcW w:w="4780" w:type="dxa"/>
            <w:vAlign w:val="bottom"/>
            <w:gridSpan w:val="12"/>
          </w:tcPr>
          <w:p>
            <w:pPr>
              <w:spacing w:after="0"/>
              <w:rPr>
                <w:sz w:val="17"/>
                <w:szCs w:val="17"/>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*^10.34</w:t>
            </w:r>
          </w:p>
        </w:tc>
        <w:tc>
          <w:tcPr>
            <w:tcW w:w="8960" w:type="dxa"/>
            <w:vAlign w:val="bottom"/>
            <w:tcBorders>
              <w:bottom w:val="single" w:sz="8" w:color="auto"/>
            </w:tcBorders>
            <w:gridSpan w:val="15"/>
          </w:tcPr>
          <w:p>
            <w:pPr>
              <w:spacing w:after="0"/>
              <w:rPr>
                <w:sz w:val="20"/>
                <w:szCs w:val="20"/>
                <w:color w:val="auto"/>
              </w:rPr>
            </w:pPr>
            <w:r>
              <w:rPr>
                <w:rFonts w:ascii="Arial" w:cs="Arial" w:eastAsia="Arial" w:hAnsi="Arial"/>
                <w:sz w:val="19"/>
                <w:szCs w:val="19"/>
                <w:color w:val="auto"/>
                <w:w w:val="91"/>
              </w:rPr>
              <w:t>Form of Nonqualified Stock Option Agreement for Employees under the CECO Environmental Corp. 2021 Equity and</w:t>
            </w:r>
          </w:p>
        </w:tc>
        <w:tc>
          <w:tcPr>
            <w:tcW w:w="50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Arial" w:cs="Arial" w:eastAsia="Arial" w:hAnsi="Arial"/>
                <w:sz w:val="19"/>
                <w:szCs w:val="19"/>
                <w:color w:val="auto"/>
              </w:rPr>
              <w:t>Incentive Compensation Plan</w:t>
            </w: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*21.1</w:t>
            </w:r>
          </w:p>
        </w:tc>
        <w:tc>
          <w:tcPr>
            <w:tcW w:w="2200" w:type="dxa"/>
            <w:vAlign w:val="bottom"/>
            <w:tcBorders>
              <w:top w:val="single" w:sz="8" w:color="auto"/>
            </w:tcBorders>
            <w:gridSpan w:val="4"/>
          </w:tcPr>
          <w:p>
            <w:pPr>
              <w:spacing w:after="0"/>
              <w:rPr>
                <w:sz w:val="20"/>
                <w:szCs w:val="20"/>
                <w:color w:val="auto"/>
              </w:rPr>
            </w:pPr>
            <w:r>
              <w:rPr>
                <w:rFonts w:ascii="Arial" w:cs="Arial" w:eastAsia="Arial" w:hAnsi="Arial"/>
                <w:sz w:val="19"/>
                <w:szCs w:val="19"/>
                <w:color w:val="auto"/>
                <w:w w:val="89"/>
              </w:rPr>
              <w:t>Subsidiaries of the Company</w:t>
            </w:r>
          </w:p>
        </w:tc>
        <w:tc>
          <w:tcPr>
            <w:tcW w:w="7260" w:type="dxa"/>
            <w:vAlign w:val="bottom"/>
            <w:gridSpan w:val="16"/>
          </w:tcPr>
          <w:p>
            <w:pPr>
              <w:spacing w:after="0"/>
              <w:rPr>
                <w:sz w:val="24"/>
                <w:szCs w:val="24"/>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*23.1</w:t>
            </w:r>
          </w:p>
        </w:tc>
        <w:tc>
          <w:tcPr>
            <w:tcW w:w="2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9"/>
                <w:szCs w:val="19"/>
                <w:color w:val="auto"/>
                <w:w w:val="90"/>
              </w:rPr>
              <w:t>Consent of BDO USA, P.C.</w:t>
            </w:r>
          </w:p>
        </w:tc>
        <w:tc>
          <w:tcPr>
            <w:tcW w:w="60" w:type="dxa"/>
            <w:vAlign w:val="bottom"/>
            <w:tcBorders>
              <w:top w:val="single" w:sz="8" w:color="auto"/>
            </w:tcBorders>
          </w:tcPr>
          <w:p>
            <w:pPr>
              <w:spacing w:after="0"/>
              <w:rPr>
                <w:sz w:val="24"/>
                <w:szCs w:val="24"/>
                <w:color w:val="auto"/>
              </w:rPr>
            </w:pPr>
          </w:p>
        </w:tc>
        <w:tc>
          <w:tcPr>
            <w:tcW w:w="7300" w:type="dxa"/>
            <w:vAlign w:val="bottom"/>
            <w:gridSpan w:val="17"/>
          </w:tcPr>
          <w:p>
            <w:pPr>
              <w:spacing w:after="0"/>
              <w:rPr>
                <w:sz w:val="24"/>
                <w:szCs w:val="24"/>
                <w:color w:val="auto"/>
              </w:rPr>
            </w:pPr>
          </w:p>
        </w:tc>
      </w:tr>
      <w:tr>
        <w:trPr>
          <w:trHeight w:val="439"/>
        </w:trPr>
        <w:tc>
          <w:tcPr>
            <w:tcW w:w="1180" w:type="dxa"/>
            <w:vAlign w:val="bottom"/>
          </w:tcPr>
          <w:p>
            <w:pPr>
              <w:spacing w:after="0"/>
              <w:rPr>
                <w:sz w:val="20"/>
                <w:szCs w:val="20"/>
                <w:color w:val="auto"/>
              </w:rPr>
            </w:pPr>
            <w:r>
              <w:rPr>
                <w:rFonts w:ascii="Arial" w:cs="Arial" w:eastAsia="Arial" w:hAnsi="Arial"/>
                <w:sz w:val="19"/>
                <w:szCs w:val="19"/>
                <w:color w:val="auto"/>
              </w:rPr>
              <w:t>*31.1</w:t>
            </w:r>
          </w:p>
        </w:tc>
        <w:tc>
          <w:tcPr>
            <w:tcW w:w="4680" w:type="dxa"/>
            <w:vAlign w:val="bottom"/>
            <w:tcBorders>
              <w:bottom w:val="single" w:sz="8" w:color="auto"/>
            </w:tcBorders>
            <w:gridSpan w:val="8"/>
          </w:tcPr>
          <w:p>
            <w:pPr>
              <w:spacing w:after="0"/>
              <w:rPr>
                <w:sz w:val="20"/>
                <w:szCs w:val="20"/>
                <w:color w:val="auto"/>
              </w:rPr>
            </w:pPr>
            <w:r>
              <w:rPr>
                <w:rFonts w:ascii="Arial" w:cs="Arial" w:eastAsia="Arial" w:hAnsi="Arial"/>
                <w:sz w:val="19"/>
                <w:szCs w:val="19"/>
                <w:color w:val="auto"/>
                <w:w w:val="92"/>
              </w:rPr>
              <w:t>Rule 13(a)/15d-14(a) Certification by Chief Executive Officer</w:t>
            </w:r>
          </w:p>
        </w:tc>
        <w:tc>
          <w:tcPr>
            <w:tcW w:w="4780" w:type="dxa"/>
            <w:vAlign w:val="bottom"/>
            <w:gridSpan w:val="12"/>
          </w:tcPr>
          <w:p>
            <w:pPr>
              <w:spacing w:after="0"/>
              <w:rPr>
                <w:sz w:val="24"/>
                <w:szCs w:val="24"/>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*31.2</w:t>
            </w:r>
          </w:p>
        </w:tc>
        <w:tc>
          <w:tcPr>
            <w:tcW w:w="4620" w:type="dxa"/>
            <w:vAlign w:val="bottom"/>
            <w:tcBorders>
              <w:bottom w:val="single" w:sz="8" w:color="auto"/>
            </w:tcBorders>
            <w:gridSpan w:val="7"/>
          </w:tcPr>
          <w:p>
            <w:pPr>
              <w:spacing w:after="0"/>
              <w:rPr>
                <w:sz w:val="20"/>
                <w:szCs w:val="20"/>
                <w:color w:val="auto"/>
              </w:rPr>
            </w:pPr>
            <w:r>
              <w:rPr>
                <w:rFonts w:ascii="Arial" w:cs="Arial" w:eastAsia="Arial" w:hAnsi="Arial"/>
                <w:sz w:val="19"/>
                <w:szCs w:val="19"/>
                <w:color w:val="auto"/>
                <w:w w:val="92"/>
              </w:rPr>
              <w:t>Rule 13(a)/15d-14(a) Certification by Chief Financial Officer</w:t>
            </w:r>
          </w:p>
        </w:tc>
        <w:tc>
          <w:tcPr>
            <w:tcW w:w="4840" w:type="dxa"/>
            <w:vAlign w:val="bottom"/>
            <w:gridSpan w:val="13"/>
          </w:tcPr>
          <w:p>
            <w:pPr>
              <w:spacing w:after="0"/>
              <w:rPr>
                <w:sz w:val="24"/>
                <w:szCs w:val="24"/>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*32.1</w:t>
            </w:r>
          </w:p>
        </w:tc>
        <w:tc>
          <w:tcPr>
            <w:tcW w:w="4780" w:type="dxa"/>
            <w:vAlign w:val="bottom"/>
            <w:tcBorders>
              <w:bottom w:val="single" w:sz="8" w:color="auto"/>
            </w:tcBorders>
            <w:gridSpan w:val="10"/>
          </w:tcPr>
          <w:p>
            <w:pPr>
              <w:spacing w:after="0"/>
              <w:rPr>
                <w:sz w:val="20"/>
                <w:szCs w:val="20"/>
                <w:color w:val="auto"/>
              </w:rPr>
            </w:pPr>
            <w:r>
              <w:rPr>
                <w:rFonts w:ascii="Arial" w:cs="Arial" w:eastAsia="Arial" w:hAnsi="Arial"/>
                <w:sz w:val="19"/>
                <w:szCs w:val="19"/>
                <w:color w:val="auto"/>
                <w:w w:val="91"/>
              </w:rPr>
              <w:t>Certification of Chief Executive Officer (18 U.S. Section 1350)</w:t>
            </w:r>
          </w:p>
        </w:tc>
        <w:tc>
          <w:tcPr>
            <w:tcW w:w="4680" w:type="dxa"/>
            <w:vAlign w:val="bottom"/>
            <w:gridSpan w:val="10"/>
          </w:tcPr>
          <w:p>
            <w:pPr>
              <w:spacing w:after="0"/>
              <w:rPr>
                <w:sz w:val="24"/>
                <w:szCs w:val="24"/>
                <w:color w:val="auto"/>
              </w:rPr>
            </w:pPr>
          </w:p>
        </w:tc>
      </w:tr>
      <w:tr>
        <w:trPr>
          <w:trHeight w:val="441"/>
        </w:trPr>
        <w:tc>
          <w:tcPr>
            <w:tcW w:w="1180" w:type="dxa"/>
            <w:vAlign w:val="bottom"/>
          </w:tcPr>
          <w:p>
            <w:pPr>
              <w:spacing w:after="0"/>
              <w:rPr>
                <w:sz w:val="20"/>
                <w:szCs w:val="20"/>
                <w:color w:val="auto"/>
              </w:rPr>
            </w:pPr>
            <w:r>
              <w:rPr>
                <w:rFonts w:ascii="Arial" w:cs="Arial" w:eastAsia="Arial" w:hAnsi="Arial"/>
                <w:sz w:val="19"/>
                <w:szCs w:val="19"/>
                <w:color w:val="auto"/>
              </w:rPr>
              <w:t>*32.2</w:t>
            </w:r>
          </w:p>
        </w:tc>
        <w:tc>
          <w:tcPr>
            <w:tcW w:w="9460" w:type="dxa"/>
            <w:vAlign w:val="bottom"/>
            <w:gridSpan w:val="20"/>
          </w:tcPr>
          <w:p>
            <w:pPr>
              <w:spacing w:after="0"/>
              <w:rPr>
                <w:sz w:val="20"/>
                <w:szCs w:val="20"/>
                <w:color w:val="auto"/>
              </w:rPr>
            </w:pPr>
            <w:r>
              <w:rPr>
                <w:rFonts w:ascii="Arial" w:cs="Arial" w:eastAsia="Arial" w:hAnsi="Arial"/>
                <w:sz w:val="19"/>
                <w:szCs w:val="19"/>
                <w:color w:val="auto"/>
              </w:rPr>
              <w:t>Certification of Chief Financial Officer (18 U.S. Section 1350)</w:t>
            </w:r>
          </w:p>
        </w:tc>
      </w:tr>
      <w:tr>
        <w:trPr>
          <w:trHeight w:val="457"/>
        </w:trPr>
        <w:tc>
          <w:tcPr>
            <w:tcW w:w="1180" w:type="dxa"/>
            <w:vAlign w:val="bottom"/>
          </w:tcPr>
          <w:p>
            <w:pPr>
              <w:spacing w:after="0"/>
              <w:rPr>
                <w:sz w:val="20"/>
                <w:szCs w:val="20"/>
                <w:color w:val="auto"/>
              </w:rPr>
            </w:pPr>
            <w:r>
              <w:rPr>
                <w:rFonts w:ascii="Arial" w:cs="Arial" w:eastAsia="Arial" w:hAnsi="Arial"/>
                <w:sz w:val="19"/>
                <w:szCs w:val="19"/>
                <w:color w:val="auto"/>
              </w:rPr>
              <w:t>97.1</w:t>
            </w:r>
          </w:p>
        </w:tc>
        <w:tc>
          <w:tcPr>
            <w:tcW w:w="4720" w:type="dxa"/>
            <w:vAlign w:val="bottom"/>
            <w:tcBorders>
              <w:top w:val="single" w:sz="8" w:color="auto"/>
            </w:tcBorders>
            <w:gridSpan w:val="9"/>
          </w:tcPr>
          <w:p>
            <w:pPr>
              <w:spacing w:after="0"/>
              <w:rPr>
                <w:sz w:val="20"/>
                <w:szCs w:val="20"/>
                <w:color w:val="auto"/>
              </w:rPr>
            </w:pPr>
            <w:r>
              <w:rPr>
                <w:rFonts w:ascii="Arial" w:cs="Arial" w:eastAsia="Arial" w:hAnsi="Arial"/>
                <w:sz w:val="19"/>
                <w:szCs w:val="19"/>
                <w:color w:val="auto"/>
                <w:w w:val="93"/>
              </w:rPr>
              <w:t>CECO Environmental Corp. Compensation Recovery Policy</w:t>
            </w:r>
          </w:p>
        </w:tc>
        <w:tc>
          <w:tcPr>
            <w:tcW w:w="4740" w:type="dxa"/>
            <w:vAlign w:val="bottom"/>
            <w:gridSpan w:val="11"/>
          </w:tcPr>
          <w:p>
            <w:pPr>
              <w:spacing w:after="0"/>
              <w:rPr>
                <w:sz w:val="24"/>
                <w:szCs w:val="24"/>
                <w:color w:val="auto"/>
              </w:rPr>
            </w:pPr>
          </w:p>
        </w:tc>
      </w:tr>
      <w:tr>
        <w:trPr>
          <w:trHeight w:val="461"/>
        </w:trPr>
        <w:tc>
          <w:tcPr>
            <w:tcW w:w="1180" w:type="dxa"/>
            <w:vAlign w:val="bottom"/>
          </w:tcPr>
          <w:p>
            <w:pPr>
              <w:spacing w:after="0"/>
              <w:rPr>
                <w:sz w:val="20"/>
                <w:szCs w:val="20"/>
                <w:color w:val="auto"/>
              </w:rPr>
            </w:pPr>
            <w:r>
              <w:rPr>
                <w:rFonts w:ascii="Arial" w:cs="Arial" w:eastAsia="Arial" w:hAnsi="Arial"/>
                <w:sz w:val="19"/>
                <w:szCs w:val="19"/>
                <w:color w:val="auto"/>
              </w:rPr>
              <w:t>*101.INS</w:t>
            </w:r>
          </w:p>
        </w:tc>
        <w:tc>
          <w:tcPr>
            <w:tcW w:w="9460" w:type="dxa"/>
            <w:vAlign w:val="bottom"/>
            <w:gridSpan w:val="20"/>
          </w:tcPr>
          <w:p>
            <w:pPr>
              <w:spacing w:after="0"/>
              <w:rPr>
                <w:sz w:val="20"/>
                <w:szCs w:val="20"/>
                <w:color w:val="auto"/>
              </w:rPr>
            </w:pPr>
            <w:r>
              <w:rPr>
                <w:rFonts w:ascii="Arial" w:cs="Arial" w:eastAsia="Arial" w:hAnsi="Arial"/>
                <w:sz w:val="19"/>
                <w:szCs w:val="19"/>
                <w:color w:val="auto"/>
              </w:rPr>
              <w:t>Inline XBRL Instance Document</w:t>
            </w:r>
          </w:p>
        </w:tc>
      </w:tr>
      <w:tr>
        <w:trPr>
          <w:trHeight w:val="461"/>
        </w:trPr>
        <w:tc>
          <w:tcPr>
            <w:tcW w:w="1180" w:type="dxa"/>
            <w:vAlign w:val="bottom"/>
          </w:tcPr>
          <w:p>
            <w:pPr>
              <w:spacing w:after="0"/>
              <w:rPr>
                <w:sz w:val="20"/>
                <w:szCs w:val="20"/>
                <w:color w:val="auto"/>
              </w:rPr>
            </w:pPr>
            <w:r>
              <w:rPr>
                <w:rFonts w:ascii="Arial" w:cs="Arial" w:eastAsia="Arial" w:hAnsi="Arial"/>
                <w:sz w:val="19"/>
                <w:szCs w:val="19"/>
                <w:color w:val="auto"/>
              </w:rPr>
              <w:t>*101.SCH</w:t>
            </w:r>
          </w:p>
        </w:tc>
        <w:tc>
          <w:tcPr>
            <w:tcW w:w="9460" w:type="dxa"/>
            <w:vAlign w:val="bottom"/>
            <w:gridSpan w:val="20"/>
          </w:tcPr>
          <w:p>
            <w:pPr>
              <w:spacing w:after="0"/>
              <w:rPr>
                <w:sz w:val="20"/>
                <w:szCs w:val="20"/>
                <w:color w:val="auto"/>
              </w:rPr>
            </w:pPr>
            <w:r>
              <w:rPr>
                <w:rFonts w:ascii="Arial" w:cs="Arial" w:eastAsia="Arial" w:hAnsi="Arial"/>
                <w:sz w:val="19"/>
                <w:szCs w:val="19"/>
                <w:color w:val="auto"/>
              </w:rPr>
              <w:t>Inline XBRL Taxonomy Extension Schema Document with Embedded Linkbase Documents</w:t>
            </w:r>
          </w:p>
        </w:tc>
      </w:tr>
      <w:tr>
        <w:trPr>
          <w:trHeight w:val="459"/>
        </w:trPr>
        <w:tc>
          <w:tcPr>
            <w:tcW w:w="1180" w:type="dxa"/>
            <w:vAlign w:val="bottom"/>
          </w:tcPr>
          <w:p>
            <w:pPr>
              <w:spacing w:after="0"/>
              <w:rPr>
                <w:sz w:val="20"/>
                <w:szCs w:val="20"/>
                <w:color w:val="auto"/>
              </w:rPr>
            </w:pPr>
            <w:r>
              <w:rPr>
                <w:rFonts w:ascii="Arial" w:cs="Arial" w:eastAsia="Arial" w:hAnsi="Arial"/>
                <w:sz w:val="19"/>
                <w:szCs w:val="19"/>
                <w:color w:val="auto"/>
              </w:rPr>
              <w:t>*104</w:t>
            </w:r>
          </w:p>
        </w:tc>
        <w:tc>
          <w:tcPr>
            <w:tcW w:w="9460" w:type="dxa"/>
            <w:vAlign w:val="bottom"/>
            <w:gridSpan w:val="20"/>
          </w:tcPr>
          <w:p>
            <w:pPr>
              <w:spacing w:after="0"/>
              <w:rPr>
                <w:sz w:val="20"/>
                <w:szCs w:val="20"/>
                <w:color w:val="auto"/>
              </w:rPr>
            </w:pPr>
            <w:r>
              <w:rPr>
                <w:rFonts w:ascii="Arial" w:cs="Arial" w:eastAsia="Arial" w:hAnsi="Arial"/>
                <w:sz w:val="19"/>
                <w:szCs w:val="19"/>
                <w:color w:val="auto"/>
              </w:rPr>
              <w:t>Cover Page Interactive Data File (formatted as Inline XBRL and contained in Exhibit 101).</w:t>
            </w:r>
          </w:p>
        </w:tc>
      </w:tr>
    </w:tbl>
    <w:p>
      <w:pPr>
        <w:spacing w:after="0" w:line="229" w:lineRule="exact"/>
        <w:rPr>
          <w:sz w:val="20"/>
          <w:szCs w:val="20"/>
          <w:color w:val="auto"/>
        </w:rPr>
      </w:pPr>
    </w:p>
    <w:p>
      <w:pPr>
        <w:ind w:left="6"/>
        <w:spacing w:after="0"/>
        <w:rPr>
          <w:sz w:val="20"/>
          <w:szCs w:val="20"/>
          <w:color w:val="auto"/>
        </w:rPr>
      </w:pPr>
      <w:r>
        <w:rPr>
          <w:rFonts w:ascii="Arial" w:cs="Arial" w:eastAsia="Arial" w:hAnsi="Arial"/>
          <w:sz w:val="20"/>
          <w:szCs w:val="20"/>
          <w:color w:val="auto"/>
        </w:rPr>
        <w:t>* Filed or furnished herewith</w:t>
      </w:r>
    </w:p>
    <w:p>
      <w:pPr>
        <w:ind w:left="6"/>
        <w:spacing w:after="0" w:line="238" w:lineRule="auto"/>
        <w:rPr>
          <w:sz w:val="20"/>
          <w:szCs w:val="20"/>
          <w:color w:val="auto"/>
        </w:rPr>
      </w:pPr>
      <w:r>
        <w:rPr>
          <w:rFonts w:ascii="Arial" w:cs="Arial" w:eastAsia="Arial" w:hAnsi="Arial"/>
          <w:sz w:val="20"/>
          <w:szCs w:val="20"/>
          <w:color w:val="auto"/>
        </w:rPr>
        <w:t>^ Management contracts or compensation plans or arrangement</w:t>
      </w:r>
    </w:p>
    <w:p>
      <w:pPr>
        <w:spacing w:after="0" w:line="11" w:lineRule="exact"/>
        <w:rPr>
          <w:sz w:val="20"/>
          <w:szCs w:val="20"/>
          <w:color w:val="auto"/>
        </w:rPr>
      </w:pPr>
    </w:p>
    <w:p>
      <w:pPr>
        <w:ind w:left="6" w:hanging="6"/>
        <w:spacing w:after="0" w:line="276" w:lineRule="auto"/>
        <w:tabs>
          <w:tab w:leader="none" w:pos="1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16. Form 10-K Summary</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10646"/>
          </w:cols>
          <w:pgMar w:left="594" w:top="833" w:right="640" w:bottom="46" w:gutter="0" w:footer="0" w:header="0"/>
        </w:sectPr>
      </w:pPr>
    </w:p>
    <w:bookmarkStart w:id="58" w:name="page59"/>
    <w:bookmarkEnd w:id="58"/>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246"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27"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CECO ENVIRONMENTAL CORP.</w:t>
      </w:r>
    </w:p>
    <w:p>
      <w:pPr>
        <w:spacing w:after="0" w:line="271" w:lineRule="exact"/>
        <w:rPr>
          <w:sz w:val="20"/>
          <w:szCs w:val="20"/>
          <w:color w:val="auto"/>
        </w:rPr>
      </w:pPr>
    </w:p>
    <w:p>
      <w:pPr>
        <w:ind w:left="6420"/>
        <w:spacing w:after="0"/>
        <w:tabs>
          <w:tab w:leader="none" w:pos="7780" w:val="left"/>
          <w:tab w:leader="none" w:pos="8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w:t>
      </w:r>
      <w:r>
        <w:rPr>
          <w:sz w:val="20"/>
          <w:szCs w:val="20"/>
          <w:color w:val="auto"/>
        </w:rPr>
        <w:tab/>
      </w:r>
      <w:r>
        <w:rPr>
          <w:rFonts w:ascii="Arial" w:cs="Arial" w:eastAsia="Arial" w:hAnsi="Arial"/>
          <w:sz w:val="19"/>
          <w:szCs w:val="19"/>
          <w:color w:val="auto"/>
        </w:rPr>
        <w:t>P</w:t>
      </w:r>
      <w:r>
        <w:rPr>
          <w:rFonts w:ascii="Arial" w:cs="Arial" w:eastAsia="Arial" w:hAnsi="Arial"/>
          <w:sz w:val="13"/>
          <w:szCs w:val="13"/>
          <w:color w:val="auto"/>
        </w:rPr>
        <w:t>ETER</w:t>
      </w:r>
      <w:r>
        <w:rPr>
          <w:rFonts w:ascii="Arial" w:cs="Arial" w:eastAsia="Arial" w:hAnsi="Arial"/>
          <w:sz w:val="19"/>
          <w:szCs w:val="19"/>
          <w:color w:val="auto"/>
        </w:rPr>
        <w:t xml:space="preserve"> J</w:t>
      </w:r>
      <w:r>
        <w:rPr>
          <w:rFonts w:ascii="Arial" w:cs="Arial" w:eastAsia="Arial" w:hAnsi="Arial"/>
          <w:sz w:val="13"/>
          <w:szCs w:val="13"/>
          <w:color w:val="auto"/>
        </w:rPr>
        <w:t>OHANSSON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4271010</wp:posOffset>
                </wp:positionH>
                <wp:positionV relativeFrom="paragraph">
                  <wp:posOffset>3175</wp:posOffset>
                </wp:positionV>
                <wp:extent cx="252476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4760" cy="4763"/>
                        </a:xfrm>
                        <a:prstGeom prst="line">
                          <a:avLst/>
                        </a:prstGeom>
                        <a:solidFill>
                          <a:srgbClr val="FFFFFF"/>
                        </a:solidFill>
                        <a:ln w="6035">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3pt,0.25pt" to="535.1pt,0.25pt" o:allowincell="f" strokecolor="#000000" strokeweight="0.4752pt"/>
            </w:pict>
          </mc:Fallback>
        </mc:AlternateContent>
      </w:r>
    </w:p>
    <w:p>
      <w:pPr>
        <w:spacing w:after="0" w:line="45" w:lineRule="exact"/>
        <w:rPr>
          <w:sz w:val="20"/>
          <w:szCs w:val="20"/>
          <w:color w:val="auto"/>
        </w:rPr>
      </w:pPr>
    </w:p>
    <w:p>
      <w:pPr>
        <w:jc w:val="center"/>
        <w:ind w:left="6760"/>
        <w:spacing w:after="0"/>
        <w:rPr>
          <w:sz w:val="20"/>
          <w:szCs w:val="20"/>
          <w:color w:val="auto"/>
        </w:rPr>
      </w:pPr>
      <w:r>
        <w:rPr>
          <w:rFonts w:ascii="Arial" w:cs="Arial" w:eastAsia="Arial" w:hAnsi="Arial"/>
          <w:sz w:val="15"/>
          <w:szCs w:val="15"/>
          <w:b w:val="1"/>
          <w:bCs w:val="1"/>
          <w:color w:val="auto"/>
        </w:rPr>
        <w:t>Peter Johansson</w:t>
      </w:r>
    </w:p>
    <w:p>
      <w:pPr>
        <w:spacing w:after="0" w:line="56" w:lineRule="exact"/>
        <w:rPr>
          <w:sz w:val="20"/>
          <w:szCs w:val="20"/>
          <w:color w:val="auto"/>
        </w:rPr>
      </w:pPr>
    </w:p>
    <w:p>
      <w:pPr>
        <w:jc w:val="center"/>
        <w:ind w:left="6760"/>
        <w:spacing w:after="0"/>
        <w:rPr>
          <w:sz w:val="20"/>
          <w:szCs w:val="20"/>
          <w:color w:val="auto"/>
        </w:rPr>
      </w:pPr>
      <w:r>
        <w:rPr>
          <w:rFonts w:ascii="Arial" w:cs="Arial" w:eastAsia="Arial" w:hAnsi="Arial"/>
          <w:sz w:val="15"/>
          <w:szCs w:val="15"/>
          <w:b w:val="1"/>
          <w:bCs w:val="1"/>
          <w:color w:val="auto"/>
        </w:rPr>
        <w:t>Chief Financial and Strategy Officer</w:t>
      </w:r>
    </w:p>
    <w:p>
      <w:pPr>
        <w:spacing w:after="0" w:line="53" w:lineRule="exact"/>
        <w:rPr>
          <w:sz w:val="20"/>
          <w:szCs w:val="20"/>
          <w:color w:val="auto"/>
        </w:rPr>
      </w:pPr>
    </w:p>
    <w:p>
      <w:pPr>
        <w:jc w:val="center"/>
        <w:ind w:left="6760"/>
        <w:spacing w:after="0"/>
        <w:rPr>
          <w:sz w:val="20"/>
          <w:szCs w:val="20"/>
          <w:color w:val="auto"/>
        </w:rPr>
      </w:pPr>
      <w:r>
        <w:rPr>
          <w:rFonts w:ascii="Arial" w:cs="Arial" w:eastAsia="Arial" w:hAnsi="Arial"/>
          <w:sz w:val="15"/>
          <w:szCs w:val="15"/>
          <w:b w:val="1"/>
          <w:bCs w:val="1"/>
          <w:color w:val="auto"/>
        </w:rPr>
        <w:t>March 5, 2024</w:t>
      </w:r>
    </w:p>
    <w:p>
      <w:pPr>
        <w:spacing w:after="0" w:line="396" w:lineRule="exact"/>
        <w:rPr>
          <w:sz w:val="20"/>
          <w:szCs w:val="20"/>
          <w:color w:val="auto"/>
        </w:rPr>
      </w:pPr>
    </w:p>
    <w:p>
      <w:pPr>
        <w:ind w:right="540"/>
        <w:spacing w:after="0" w:line="233" w:lineRule="auto"/>
        <w:rPr>
          <w:sz w:val="20"/>
          <w:szCs w:val="20"/>
          <w:color w:val="auto"/>
        </w:rPr>
      </w:pPr>
      <w:r>
        <w:rPr>
          <w:rFonts w:ascii="Arial" w:cs="Arial" w:eastAsia="Arial" w:hAnsi="Arial"/>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Principal Executive Officer: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537"/>
              <w:spacing w:after="0"/>
              <w:rPr>
                <w:sz w:val="20"/>
                <w:szCs w:val="20"/>
                <w:color w:val="auto"/>
              </w:rPr>
            </w:pPr>
            <w:r>
              <w:rPr>
                <w:rFonts w:ascii="Arial" w:cs="Arial" w:eastAsia="Arial" w:hAnsi="Arial"/>
                <w:sz w:val="20"/>
                <w:szCs w:val="20"/>
                <w:color w:val="auto"/>
              </w:rPr>
              <w:t>T</w:t>
            </w:r>
            <w:r>
              <w:rPr>
                <w:rFonts w:ascii="Arial" w:cs="Arial" w:eastAsia="Arial" w:hAnsi="Arial"/>
                <w:sz w:val="14"/>
                <w:szCs w:val="14"/>
                <w:color w:val="auto"/>
              </w:rPr>
              <w:t>ODD</w:t>
            </w:r>
            <w:r>
              <w:rPr>
                <w:rFonts w:ascii="Arial" w:cs="Arial" w:eastAsia="Arial" w:hAnsi="Arial"/>
                <w:sz w:val="20"/>
                <w:szCs w:val="20"/>
                <w:color w:val="auto"/>
              </w:rPr>
              <w:t xml:space="preserve"> G</w:t>
            </w:r>
            <w:r>
              <w:rPr>
                <w:rFonts w:ascii="Arial" w:cs="Arial" w:eastAsia="Arial" w:hAnsi="Arial"/>
                <w:sz w:val="14"/>
                <w:szCs w:val="14"/>
                <w:color w:val="auto"/>
              </w:rPr>
              <w:t>LEASON</w:t>
            </w:r>
          </w:p>
        </w:tc>
        <w:tc>
          <w:tcPr>
            <w:tcW w:w="120" w:type="dxa"/>
            <w:vAlign w:val="bottom"/>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3"/>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64" w:lineRule="exact"/>
              <w:rPr>
                <w:sz w:val="20"/>
                <w:szCs w:val="20"/>
                <w:color w:val="auto"/>
              </w:rPr>
            </w:pPr>
            <w:r>
              <w:rPr>
                <w:rFonts w:ascii="Arial" w:cs="Arial" w:eastAsia="Arial" w:hAnsi="Arial"/>
                <w:sz w:val="15"/>
                <w:szCs w:val="15"/>
                <w:b w:val="1"/>
                <w:bCs w:val="1"/>
                <w:color w:val="auto"/>
                <w:w w:val="87"/>
              </w:rPr>
              <w:t>Todd Gleason</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5280" w:type="dxa"/>
            <w:vAlign w:val="bottom"/>
            <w:gridSpan w:val="3"/>
          </w:tcPr>
          <w:p>
            <w:pPr>
              <w:jc w:val="center"/>
              <w:spacing w:after="0" w:line="172" w:lineRule="exact"/>
              <w:rPr>
                <w:sz w:val="20"/>
                <w:szCs w:val="20"/>
                <w:color w:val="auto"/>
              </w:rPr>
            </w:pPr>
            <w:r>
              <w:rPr>
                <w:rFonts w:ascii="Arial" w:cs="Arial" w:eastAsia="Arial" w:hAnsi="Arial"/>
                <w:sz w:val="15"/>
                <w:szCs w:val="15"/>
                <w:b w:val="1"/>
                <w:bCs w:val="1"/>
                <w:color w:val="auto"/>
                <w:w w:val="91"/>
              </w:rPr>
              <w:t>Chief Executive Officer and Director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78"/>
        </w:trPr>
        <w:tc>
          <w:tcPr>
            <w:tcW w:w="5280" w:type="dxa"/>
            <w:vAlign w:val="bottom"/>
            <w:gridSpan w:val="3"/>
          </w:tcPr>
          <w:p>
            <w:pPr>
              <w:spacing w:after="0"/>
              <w:rPr>
                <w:sz w:val="20"/>
                <w:szCs w:val="20"/>
                <w:color w:val="auto"/>
              </w:rPr>
            </w:pPr>
            <w:r>
              <w:rPr>
                <w:rFonts w:ascii="Arial" w:cs="Arial" w:eastAsia="Arial" w:hAnsi="Arial"/>
                <w:sz w:val="20"/>
                <w:szCs w:val="20"/>
                <w:color w:val="auto"/>
              </w:rPr>
              <w:t>Principal Financial Officer:</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7"/>
        </w:trPr>
        <w:tc>
          <w:tcPr>
            <w:tcW w:w="2080" w:type="dxa"/>
            <w:vAlign w:val="bottom"/>
            <w:tcBorders>
              <w:bottom w:val="single" w:sz="8" w:color="auto"/>
            </w:tcBorders>
            <w:gridSpan w:val="2"/>
          </w:tcPr>
          <w:p>
            <w:pPr>
              <w:ind w:left="1720"/>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577"/>
              <w:spacing w:after="0"/>
              <w:rPr>
                <w:sz w:val="20"/>
                <w:szCs w:val="20"/>
                <w:color w:val="auto"/>
              </w:rPr>
            </w:pPr>
            <w:r>
              <w:rPr>
                <w:rFonts w:ascii="Arial" w:cs="Arial" w:eastAsia="Arial" w:hAnsi="Arial"/>
                <w:sz w:val="20"/>
                <w:szCs w:val="20"/>
                <w:color w:val="auto"/>
                <w:w w:val="96"/>
              </w:rPr>
              <w:t>P</w:t>
            </w:r>
            <w:r>
              <w:rPr>
                <w:rFonts w:ascii="Arial" w:cs="Arial" w:eastAsia="Arial" w:hAnsi="Arial"/>
                <w:sz w:val="14"/>
                <w:szCs w:val="14"/>
                <w:color w:val="auto"/>
                <w:w w:val="96"/>
              </w:rPr>
              <w:t>ETER</w:t>
            </w:r>
            <w:r>
              <w:rPr>
                <w:rFonts w:ascii="Arial" w:cs="Arial" w:eastAsia="Arial" w:hAnsi="Arial"/>
                <w:sz w:val="20"/>
                <w:szCs w:val="20"/>
                <w:color w:val="auto"/>
                <w:w w:val="96"/>
              </w:rPr>
              <w:t xml:space="preserve"> J</w:t>
            </w:r>
            <w:r>
              <w:rPr>
                <w:rFonts w:ascii="Arial" w:cs="Arial" w:eastAsia="Arial" w:hAnsi="Arial"/>
                <w:sz w:val="14"/>
                <w:szCs w:val="14"/>
                <w:color w:val="auto"/>
                <w:w w:val="96"/>
              </w:rPr>
              <w:t>OHANSSON</w:t>
            </w:r>
          </w:p>
        </w:tc>
        <w:tc>
          <w:tcPr>
            <w:tcW w:w="1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3"/>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64" w:lineRule="exact"/>
              <w:rPr>
                <w:sz w:val="20"/>
                <w:szCs w:val="20"/>
                <w:color w:val="auto"/>
              </w:rPr>
            </w:pPr>
            <w:r>
              <w:rPr>
                <w:rFonts w:ascii="Arial" w:cs="Arial" w:eastAsia="Arial" w:hAnsi="Arial"/>
                <w:sz w:val="15"/>
                <w:szCs w:val="15"/>
                <w:b w:val="1"/>
                <w:bCs w:val="1"/>
                <w:color w:val="auto"/>
                <w:w w:val="86"/>
              </w:rPr>
              <w:t>Peter Johansson</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5280" w:type="dxa"/>
            <w:vAlign w:val="bottom"/>
            <w:gridSpan w:val="3"/>
          </w:tcPr>
          <w:p>
            <w:pPr>
              <w:jc w:val="center"/>
              <w:spacing w:after="0" w:line="172" w:lineRule="exact"/>
              <w:rPr>
                <w:sz w:val="20"/>
                <w:szCs w:val="20"/>
                <w:color w:val="auto"/>
              </w:rPr>
            </w:pPr>
            <w:r>
              <w:rPr>
                <w:rFonts w:ascii="Arial" w:cs="Arial" w:eastAsia="Arial" w:hAnsi="Arial"/>
                <w:sz w:val="15"/>
                <w:szCs w:val="15"/>
                <w:b w:val="1"/>
                <w:bCs w:val="1"/>
                <w:color w:val="auto"/>
                <w:w w:val="91"/>
              </w:rPr>
              <w:t>Chief Financial and Strategy Officer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71"/>
        </w:trPr>
        <w:tc>
          <w:tcPr>
            <w:tcW w:w="5280" w:type="dxa"/>
            <w:vAlign w:val="bottom"/>
            <w:gridSpan w:val="3"/>
          </w:tcPr>
          <w:p>
            <w:pPr>
              <w:spacing w:after="0"/>
              <w:rPr>
                <w:sz w:val="20"/>
                <w:szCs w:val="20"/>
                <w:color w:val="auto"/>
              </w:rPr>
            </w:pPr>
            <w:r>
              <w:rPr>
                <w:rFonts w:ascii="Arial" w:cs="Arial" w:eastAsia="Arial" w:hAnsi="Arial"/>
                <w:sz w:val="20"/>
                <w:szCs w:val="20"/>
                <w:color w:val="auto"/>
              </w:rPr>
              <w:t>Principal Accounting Officer:</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4"/>
        </w:trPr>
        <w:tc>
          <w:tcPr>
            <w:tcW w:w="2080" w:type="dxa"/>
            <w:vAlign w:val="bottom"/>
            <w:tcBorders>
              <w:bottom w:val="single" w:sz="8" w:color="auto"/>
            </w:tcBorders>
            <w:gridSpan w:val="2"/>
          </w:tcPr>
          <w:p>
            <w:pPr>
              <w:ind w:left="1760"/>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577"/>
              <w:spacing w:after="0"/>
              <w:rPr>
                <w:sz w:val="20"/>
                <w:szCs w:val="20"/>
                <w:color w:val="auto"/>
              </w:rPr>
            </w:pPr>
            <w:r>
              <w:rPr>
                <w:rFonts w:ascii="Arial" w:cs="Arial" w:eastAsia="Arial" w:hAnsi="Arial"/>
                <w:sz w:val="20"/>
                <w:szCs w:val="20"/>
                <w:color w:val="auto"/>
              </w:rPr>
              <w:t>K</w:t>
            </w:r>
            <w:r>
              <w:rPr>
                <w:rFonts w:ascii="Arial" w:cs="Arial" w:eastAsia="Arial" w:hAnsi="Arial"/>
                <w:sz w:val="14"/>
                <w:szCs w:val="14"/>
                <w:color w:val="auto"/>
              </w:rPr>
              <w:t>IRIL</w:t>
            </w:r>
            <w:r>
              <w:rPr>
                <w:rFonts w:ascii="Arial" w:cs="Arial" w:eastAsia="Arial" w:hAnsi="Arial"/>
                <w:sz w:val="20"/>
                <w:szCs w:val="20"/>
                <w:color w:val="auto"/>
              </w:rPr>
              <w:t xml:space="preserve"> K</w:t>
            </w:r>
            <w:r>
              <w:rPr>
                <w:rFonts w:ascii="Arial" w:cs="Arial" w:eastAsia="Arial" w:hAnsi="Arial"/>
                <w:sz w:val="14"/>
                <w:szCs w:val="14"/>
                <w:color w:val="auto"/>
              </w:rPr>
              <w:t>OVACHEV</w:t>
            </w:r>
          </w:p>
        </w:tc>
        <w:tc>
          <w:tcPr>
            <w:tcW w:w="1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0"/>
        </w:trPr>
        <w:tc>
          <w:tcPr>
            <w:tcW w:w="1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tcPr>
          <w:p>
            <w:pPr>
              <w:jc w:val="center"/>
              <w:ind w:right="1997"/>
              <w:spacing w:after="0" w:line="160" w:lineRule="exact"/>
              <w:rPr>
                <w:sz w:val="20"/>
                <w:szCs w:val="20"/>
                <w:color w:val="auto"/>
              </w:rPr>
            </w:pPr>
            <w:r>
              <w:rPr>
                <w:rFonts w:ascii="Arial" w:cs="Arial" w:eastAsia="Arial" w:hAnsi="Arial"/>
                <w:sz w:val="15"/>
                <w:szCs w:val="15"/>
                <w:b w:val="1"/>
                <w:bCs w:val="1"/>
                <w:color w:val="auto"/>
                <w:w w:val="92"/>
              </w:rPr>
              <w:t>Kiril Kovachev</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1"/>
        </w:trPr>
        <w:tc>
          <w:tcPr>
            <w:tcW w:w="1780" w:type="dxa"/>
            <w:vAlign w:val="bottom"/>
          </w:tcPr>
          <w:p>
            <w:pPr>
              <w:spacing w:after="0"/>
              <w:rPr>
                <w:sz w:val="14"/>
                <w:szCs w:val="14"/>
                <w:color w:val="auto"/>
              </w:rPr>
            </w:pPr>
          </w:p>
        </w:tc>
        <w:tc>
          <w:tcPr>
            <w:tcW w:w="3500" w:type="dxa"/>
            <w:vAlign w:val="bottom"/>
            <w:gridSpan w:val="2"/>
          </w:tcPr>
          <w:p>
            <w:pPr>
              <w:jc w:val="center"/>
              <w:ind w:right="1697"/>
              <w:spacing w:after="0" w:line="172" w:lineRule="exact"/>
              <w:rPr>
                <w:sz w:val="20"/>
                <w:szCs w:val="20"/>
                <w:color w:val="auto"/>
              </w:rPr>
            </w:pPr>
            <w:r>
              <w:rPr>
                <w:rFonts w:ascii="Arial" w:cs="Arial" w:eastAsia="Arial" w:hAnsi="Arial"/>
                <w:sz w:val="15"/>
                <w:szCs w:val="15"/>
                <w:b w:val="1"/>
                <w:bCs w:val="1"/>
                <w:color w:val="auto"/>
                <w:w w:val="90"/>
              </w:rPr>
              <w:t>Chief Accounting Officer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14"/>
        </w:trPr>
        <w:tc>
          <w:tcPr>
            <w:tcW w:w="1780" w:type="dxa"/>
            <w:vAlign w:val="bottom"/>
          </w:tcPr>
          <w:p>
            <w:pPr>
              <w:spacing w:after="0"/>
              <w:rPr>
                <w:sz w:val="20"/>
                <w:szCs w:val="20"/>
                <w:color w:val="auto"/>
              </w:rPr>
            </w:pPr>
            <w:r>
              <w:rPr>
                <w:rFonts w:ascii="Arial" w:cs="Arial" w:eastAsia="Arial" w:hAnsi="Arial"/>
                <w:sz w:val="20"/>
                <w:szCs w:val="20"/>
                <w:color w:val="auto"/>
              </w:rPr>
              <w:t>Directors:</w:t>
            </w: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6"/>
        </w:trPr>
        <w:tc>
          <w:tcPr>
            <w:tcW w:w="2080" w:type="dxa"/>
            <w:vAlign w:val="bottom"/>
            <w:tcBorders>
              <w:bottom w:val="single" w:sz="8" w:color="auto"/>
            </w:tcBorders>
            <w:gridSpan w:val="2"/>
          </w:tcPr>
          <w:p>
            <w:pPr>
              <w:ind w:left="1760"/>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577"/>
              <w:spacing w:after="0"/>
              <w:rPr>
                <w:sz w:val="20"/>
                <w:szCs w:val="20"/>
                <w:color w:val="auto"/>
              </w:rPr>
            </w:pPr>
            <w:r>
              <w:rPr>
                <w:rFonts w:ascii="Arial" w:cs="Arial" w:eastAsia="Arial" w:hAnsi="Arial"/>
                <w:sz w:val="20"/>
                <w:szCs w:val="20"/>
                <w:color w:val="auto"/>
              </w:rPr>
              <w:t>J</w:t>
            </w:r>
            <w:r>
              <w:rPr>
                <w:rFonts w:ascii="Arial" w:cs="Arial" w:eastAsia="Arial" w:hAnsi="Arial"/>
                <w:sz w:val="14"/>
                <w:szCs w:val="14"/>
                <w:color w:val="auto"/>
              </w:rPr>
              <w:t>ASON</w:t>
            </w:r>
            <w:r>
              <w:rPr>
                <w:rFonts w:ascii="Arial" w:cs="Arial" w:eastAsia="Arial" w:hAnsi="Arial"/>
                <w:sz w:val="20"/>
                <w:szCs w:val="20"/>
                <w:color w:val="auto"/>
              </w:rPr>
              <w:t xml:space="preserve"> D</w:t>
            </w:r>
            <w:r>
              <w:rPr>
                <w:rFonts w:ascii="Arial" w:cs="Arial" w:eastAsia="Arial" w:hAnsi="Arial"/>
                <w:sz w:val="14"/>
                <w:szCs w:val="14"/>
                <w:color w:val="auto"/>
              </w:rPr>
              <w:t>EZWIREK</w:t>
            </w:r>
          </w:p>
        </w:tc>
        <w:tc>
          <w:tcPr>
            <w:tcW w:w="1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4"/>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64" w:lineRule="exact"/>
              <w:rPr>
                <w:sz w:val="20"/>
                <w:szCs w:val="20"/>
                <w:color w:val="auto"/>
              </w:rPr>
            </w:pPr>
            <w:r>
              <w:rPr>
                <w:rFonts w:ascii="Arial" w:cs="Arial" w:eastAsia="Arial" w:hAnsi="Arial"/>
                <w:sz w:val="15"/>
                <w:szCs w:val="15"/>
                <w:b w:val="1"/>
                <w:bCs w:val="1"/>
                <w:color w:val="auto"/>
                <w:w w:val="91"/>
              </w:rPr>
              <w:t>Jason DeZwirek</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5280" w:type="dxa"/>
            <w:vAlign w:val="bottom"/>
            <w:gridSpan w:val="3"/>
          </w:tcPr>
          <w:p>
            <w:pPr>
              <w:jc w:val="center"/>
              <w:spacing w:after="0" w:line="172" w:lineRule="exact"/>
              <w:rPr>
                <w:sz w:val="20"/>
                <w:szCs w:val="20"/>
                <w:color w:val="auto"/>
              </w:rPr>
            </w:pPr>
            <w:r>
              <w:rPr>
                <w:rFonts w:ascii="Arial" w:cs="Arial" w:eastAsia="Arial" w:hAnsi="Arial"/>
                <w:sz w:val="15"/>
                <w:szCs w:val="15"/>
                <w:b w:val="1"/>
                <w:bCs w:val="1"/>
                <w:color w:val="auto"/>
                <w:w w:val="91"/>
              </w:rPr>
              <w:t>Chairman of the Board and Director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89"/>
        </w:trPr>
        <w:tc>
          <w:tcPr>
            <w:tcW w:w="52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9"/>
              </w:rPr>
              <w:t xml:space="preserve">/S/  </w:t>
            </w:r>
            <w:r>
              <w:rPr>
                <w:rFonts w:ascii="Arial" w:cs="Arial" w:eastAsia="Arial" w:hAnsi="Arial"/>
                <w:sz w:val="14"/>
                <w:szCs w:val="14"/>
                <w:color w:val="auto"/>
                <w:w w:val="99"/>
              </w:rPr>
              <w:t>ROBERT E. KNOWLING JR</w:t>
            </w:r>
          </w:p>
        </w:tc>
        <w:tc>
          <w:tcPr>
            <w:tcW w:w="1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3"/>
        </w:trPr>
        <w:tc>
          <w:tcPr>
            <w:tcW w:w="1780" w:type="dxa"/>
            <w:vAlign w:val="bottom"/>
          </w:tcPr>
          <w:p>
            <w:pPr>
              <w:spacing w:after="0"/>
              <w:rPr>
                <w:sz w:val="14"/>
                <w:szCs w:val="14"/>
                <w:color w:val="auto"/>
              </w:rPr>
            </w:pPr>
          </w:p>
        </w:tc>
        <w:tc>
          <w:tcPr>
            <w:tcW w:w="3500" w:type="dxa"/>
            <w:vAlign w:val="bottom"/>
            <w:gridSpan w:val="2"/>
          </w:tcPr>
          <w:p>
            <w:pPr>
              <w:jc w:val="center"/>
              <w:ind w:right="1697"/>
              <w:spacing w:after="0" w:line="164" w:lineRule="exact"/>
              <w:rPr>
                <w:sz w:val="20"/>
                <w:szCs w:val="20"/>
                <w:color w:val="auto"/>
              </w:rPr>
            </w:pPr>
            <w:r>
              <w:rPr>
                <w:rFonts w:ascii="Arial" w:cs="Arial" w:eastAsia="Arial" w:hAnsi="Arial"/>
                <w:sz w:val="15"/>
                <w:szCs w:val="15"/>
                <w:b w:val="1"/>
                <w:bCs w:val="1"/>
                <w:color w:val="auto"/>
                <w:w w:val="91"/>
              </w:rPr>
              <w:t>Robert E. Knowling Jr.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72" w:lineRule="exact"/>
              <w:rPr>
                <w:sz w:val="20"/>
                <w:szCs w:val="20"/>
                <w:color w:val="auto"/>
              </w:rPr>
            </w:pPr>
            <w:r>
              <w:rPr>
                <w:rFonts w:ascii="Arial" w:cs="Arial" w:eastAsia="Arial" w:hAnsi="Arial"/>
                <w:sz w:val="15"/>
                <w:szCs w:val="15"/>
                <w:b w:val="1"/>
                <w:bCs w:val="1"/>
                <w:color w:val="auto"/>
                <w:w w:val="90"/>
              </w:rPr>
              <w:t>Director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81"/>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20"/>
                <w:szCs w:val="20"/>
                <w:color w:val="auto"/>
              </w:rPr>
              <w:t>/S/</w:t>
            </w:r>
          </w:p>
        </w:tc>
        <w:tc>
          <w:tcPr>
            <w:tcW w:w="3500" w:type="dxa"/>
            <w:vAlign w:val="bottom"/>
            <w:tcBorders>
              <w:bottom w:val="single" w:sz="8" w:color="auto"/>
            </w:tcBorders>
            <w:gridSpan w:val="2"/>
          </w:tcPr>
          <w:p>
            <w:pPr>
              <w:jc w:val="center"/>
              <w:ind w:right="1277"/>
              <w:spacing w:after="0"/>
              <w:rPr>
                <w:sz w:val="20"/>
                <w:szCs w:val="20"/>
                <w:color w:val="auto"/>
              </w:rPr>
            </w:pPr>
            <w:r>
              <w:rPr>
                <w:rFonts w:ascii="Arial" w:cs="Arial" w:eastAsia="Arial" w:hAnsi="Arial"/>
                <w:sz w:val="20"/>
                <w:szCs w:val="20"/>
                <w:color w:val="auto"/>
              </w:rPr>
              <w:t>C</w:t>
            </w:r>
            <w:r>
              <w:rPr>
                <w:rFonts w:ascii="Arial" w:cs="Arial" w:eastAsia="Arial" w:hAnsi="Arial"/>
                <w:sz w:val="14"/>
                <w:szCs w:val="14"/>
                <w:color w:val="auto"/>
              </w:rPr>
              <w:t>LAUDIO</w:t>
            </w:r>
            <w:r>
              <w:rPr>
                <w:rFonts w:ascii="Arial" w:cs="Arial" w:eastAsia="Arial" w:hAnsi="Arial"/>
                <w:sz w:val="20"/>
                <w:szCs w:val="20"/>
                <w:color w:val="auto"/>
              </w:rPr>
              <w:t xml:space="preserve"> A. M</w:t>
            </w:r>
            <w:r>
              <w:rPr>
                <w:rFonts w:ascii="Arial" w:cs="Arial" w:eastAsia="Arial" w:hAnsi="Arial"/>
                <w:sz w:val="14"/>
                <w:szCs w:val="14"/>
                <w:color w:val="auto"/>
              </w:rPr>
              <w:t>ANNARINO</w:t>
            </w:r>
          </w:p>
        </w:tc>
        <w:tc>
          <w:tcPr>
            <w:tcW w:w="12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Arial" w:cs="Arial" w:eastAsia="Arial" w:hAnsi="Arial"/>
                <w:sz w:val="20"/>
                <w:szCs w:val="20"/>
                <w:color w:val="auto"/>
                <w:w w:val="89"/>
              </w:rPr>
              <w:t>March 5, 2024</w:t>
            </w:r>
          </w:p>
        </w:tc>
      </w:tr>
      <w:tr>
        <w:trPr>
          <w:trHeight w:val="160"/>
        </w:trPr>
        <w:tc>
          <w:tcPr>
            <w:tcW w:w="1780" w:type="dxa"/>
            <w:vAlign w:val="bottom"/>
          </w:tcPr>
          <w:p>
            <w:pPr>
              <w:spacing w:after="0"/>
              <w:rPr>
                <w:sz w:val="13"/>
                <w:szCs w:val="13"/>
                <w:color w:val="auto"/>
              </w:rPr>
            </w:pPr>
          </w:p>
        </w:tc>
        <w:tc>
          <w:tcPr>
            <w:tcW w:w="3500" w:type="dxa"/>
            <w:vAlign w:val="bottom"/>
            <w:gridSpan w:val="2"/>
          </w:tcPr>
          <w:p>
            <w:pPr>
              <w:jc w:val="center"/>
              <w:ind w:right="1697"/>
              <w:spacing w:after="0" w:line="160" w:lineRule="exact"/>
              <w:rPr>
                <w:sz w:val="20"/>
                <w:szCs w:val="20"/>
                <w:color w:val="auto"/>
              </w:rPr>
            </w:pPr>
            <w:r>
              <w:rPr>
                <w:rFonts w:ascii="Arial" w:cs="Arial" w:eastAsia="Arial" w:hAnsi="Arial"/>
                <w:sz w:val="15"/>
                <w:szCs w:val="15"/>
                <w:b w:val="1"/>
                <w:bCs w:val="1"/>
                <w:color w:val="auto"/>
                <w:w w:val="93"/>
              </w:rPr>
              <w:t>Claudio A. Mannarino</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72" w:lineRule="exact"/>
              <w:rPr>
                <w:sz w:val="20"/>
                <w:szCs w:val="20"/>
                <w:color w:val="auto"/>
              </w:rPr>
            </w:pPr>
            <w:r>
              <w:rPr>
                <w:rFonts w:ascii="Arial" w:cs="Arial" w:eastAsia="Arial" w:hAnsi="Arial"/>
                <w:sz w:val="15"/>
                <w:szCs w:val="15"/>
                <w:b w:val="1"/>
                <w:bCs w:val="1"/>
                <w:color w:val="auto"/>
                <w:w w:val="90"/>
              </w:rPr>
              <w:t>Director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82"/>
        </w:trPr>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w w:val="89"/>
              </w:rPr>
              <w:t>/S/</w:t>
            </w:r>
          </w:p>
        </w:tc>
        <w:tc>
          <w:tcPr>
            <w:tcW w:w="3200" w:type="dxa"/>
            <w:vAlign w:val="bottom"/>
            <w:tcBorders>
              <w:bottom w:val="single" w:sz="8" w:color="auto"/>
            </w:tcBorders>
          </w:tcPr>
          <w:p>
            <w:pPr>
              <w:jc w:val="center"/>
              <w:ind w:right="1657"/>
              <w:spacing w:after="0"/>
              <w:rPr>
                <w:sz w:val="20"/>
                <w:szCs w:val="20"/>
                <w:color w:val="auto"/>
              </w:rPr>
            </w:pPr>
            <w:r>
              <w:rPr>
                <w:rFonts w:ascii="Arial" w:cs="Arial" w:eastAsia="Arial" w:hAnsi="Arial"/>
                <w:sz w:val="20"/>
                <w:szCs w:val="20"/>
                <w:color w:val="auto"/>
              </w:rPr>
              <w:t>M</w:t>
            </w:r>
            <w:r>
              <w:rPr>
                <w:rFonts w:ascii="Arial" w:cs="Arial" w:eastAsia="Arial" w:hAnsi="Arial"/>
                <w:sz w:val="14"/>
                <w:szCs w:val="14"/>
                <w:color w:val="auto"/>
              </w:rPr>
              <w:t>UNISH</w:t>
            </w:r>
            <w:r>
              <w:rPr>
                <w:rFonts w:ascii="Arial" w:cs="Arial" w:eastAsia="Arial" w:hAnsi="Arial"/>
                <w:sz w:val="20"/>
                <w:szCs w:val="20"/>
                <w:color w:val="auto"/>
              </w:rPr>
              <w:t xml:space="preserve"> N</w:t>
            </w:r>
            <w:r>
              <w:rPr>
                <w:rFonts w:ascii="Arial" w:cs="Arial" w:eastAsia="Arial" w:hAnsi="Arial"/>
                <w:sz w:val="14"/>
                <w:szCs w:val="14"/>
                <w:color w:val="auto"/>
              </w:rPr>
              <w:t>ANDA</w:t>
            </w:r>
          </w:p>
        </w:tc>
        <w:tc>
          <w:tcPr>
            <w:tcW w:w="12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6"/>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66" w:lineRule="exact"/>
              <w:rPr>
                <w:sz w:val="20"/>
                <w:szCs w:val="20"/>
                <w:color w:val="auto"/>
              </w:rPr>
            </w:pPr>
            <w:r>
              <w:rPr>
                <w:rFonts w:ascii="Arial" w:cs="Arial" w:eastAsia="Arial" w:hAnsi="Arial"/>
                <w:sz w:val="15"/>
                <w:szCs w:val="15"/>
                <w:b w:val="1"/>
                <w:bCs w:val="1"/>
                <w:color w:val="auto"/>
                <w:w w:val="93"/>
              </w:rPr>
              <w:t>Munish Nanda</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69" w:lineRule="exact"/>
              <w:rPr>
                <w:sz w:val="20"/>
                <w:szCs w:val="20"/>
                <w:color w:val="auto"/>
              </w:rPr>
            </w:pPr>
            <w:r>
              <w:rPr>
                <w:rFonts w:ascii="Arial" w:cs="Arial" w:eastAsia="Arial" w:hAnsi="Arial"/>
                <w:sz w:val="15"/>
                <w:szCs w:val="15"/>
                <w:b w:val="1"/>
                <w:bCs w:val="1"/>
                <w:color w:val="auto"/>
                <w:w w:val="90"/>
              </w:rPr>
              <w:t>Director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84"/>
        </w:trPr>
        <w:tc>
          <w:tcPr>
            <w:tcW w:w="1780" w:type="dxa"/>
            <w:vAlign w:val="bottom"/>
            <w:tcBorders>
              <w:bottom w:val="single" w:sz="8" w:color="auto"/>
            </w:tcBorders>
          </w:tcPr>
          <w:p>
            <w:pPr>
              <w:ind w:left="1500"/>
              <w:spacing w:after="0"/>
              <w:rPr>
                <w:sz w:val="20"/>
                <w:szCs w:val="20"/>
                <w:color w:val="auto"/>
              </w:rPr>
            </w:pPr>
            <w:r>
              <w:rPr>
                <w:rFonts w:ascii="Arial" w:cs="Arial" w:eastAsia="Arial" w:hAnsi="Arial"/>
                <w:sz w:val="20"/>
                <w:szCs w:val="20"/>
                <w:color w:val="auto"/>
              </w:rPr>
              <w:t>/S/</w:t>
            </w:r>
          </w:p>
        </w:tc>
        <w:tc>
          <w:tcPr>
            <w:tcW w:w="3500" w:type="dxa"/>
            <w:vAlign w:val="bottom"/>
            <w:tcBorders>
              <w:bottom w:val="single" w:sz="8" w:color="auto"/>
            </w:tcBorders>
            <w:gridSpan w:val="2"/>
          </w:tcPr>
          <w:p>
            <w:pPr>
              <w:jc w:val="center"/>
              <w:ind w:right="1357"/>
              <w:spacing w:after="0"/>
              <w:rPr>
                <w:sz w:val="20"/>
                <w:szCs w:val="20"/>
                <w:color w:val="auto"/>
              </w:rPr>
            </w:pPr>
            <w:r>
              <w:rPr>
                <w:rFonts w:ascii="Arial" w:cs="Arial" w:eastAsia="Arial" w:hAnsi="Arial"/>
                <w:sz w:val="20"/>
                <w:szCs w:val="20"/>
                <w:color w:val="auto"/>
              </w:rPr>
              <w:t>V</w:t>
            </w:r>
            <w:r>
              <w:rPr>
                <w:rFonts w:ascii="Arial" w:cs="Arial" w:eastAsia="Arial" w:hAnsi="Arial"/>
                <w:sz w:val="14"/>
                <w:szCs w:val="14"/>
                <w:color w:val="auto"/>
              </w:rPr>
              <w:t>ALERIE</w:t>
            </w:r>
            <w:r>
              <w:rPr>
                <w:rFonts w:ascii="Arial" w:cs="Arial" w:eastAsia="Arial" w:hAnsi="Arial"/>
                <w:sz w:val="20"/>
                <w:szCs w:val="20"/>
                <w:color w:val="auto"/>
              </w:rPr>
              <w:t xml:space="preserve"> G</w:t>
            </w:r>
            <w:r>
              <w:rPr>
                <w:rFonts w:ascii="Arial" w:cs="Arial" w:eastAsia="Arial" w:hAnsi="Arial"/>
                <w:sz w:val="14"/>
                <w:szCs w:val="14"/>
                <w:color w:val="auto"/>
              </w:rPr>
              <w:t>ENTILE</w:t>
            </w:r>
            <w:r>
              <w:rPr>
                <w:rFonts w:ascii="Arial" w:cs="Arial" w:eastAsia="Arial" w:hAnsi="Arial"/>
                <w:sz w:val="20"/>
                <w:szCs w:val="20"/>
                <w:color w:val="auto"/>
              </w:rPr>
              <w:t xml:space="preserve"> S</w:t>
            </w:r>
            <w:r>
              <w:rPr>
                <w:rFonts w:ascii="Arial" w:cs="Arial" w:eastAsia="Arial" w:hAnsi="Arial"/>
                <w:sz w:val="14"/>
                <w:szCs w:val="14"/>
                <w:color w:val="auto"/>
              </w:rPr>
              <w:t>ACHS</w:t>
            </w:r>
          </w:p>
        </w:tc>
        <w:tc>
          <w:tcPr>
            <w:tcW w:w="120" w:type="dxa"/>
            <w:vAlign w:val="bottom"/>
            <w:tcBorders>
              <w:bottom w:val="single" w:sz="8" w:color="auto"/>
            </w:tcBorders>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4"/>
        </w:trPr>
        <w:tc>
          <w:tcPr>
            <w:tcW w:w="1780" w:type="dxa"/>
            <w:vAlign w:val="bottom"/>
          </w:tcPr>
          <w:p>
            <w:pPr>
              <w:spacing w:after="0"/>
              <w:rPr>
                <w:sz w:val="14"/>
                <w:szCs w:val="14"/>
                <w:color w:val="auto"/>
              </w:rPr>
            </w:pPr>
          </w:p>
        </w:tc>
        <w:tc>
          <w:tcPr>
            <w:tcW w:w="3500" w:type="dxa"/>
            <w:vAlign w:val="bottom"/>
            <w:gridSpan w:val="2"/>
          </w:tcPr>
          <w:p>
            <w:pPr>
              <w:jc w:val="center"/>
              <w:ind w:right="1697"/>
              <w:spacing w:after="0" w:line="164" w:lineRule="exact"/>
              <w:rPr>
                <w:sz w:val="20"/>
                <w:szCs w:val="20"/>
                <w:color w:val="auto"/>
              </w:rPr>
            </w:pPr>
            <w:r>
              <w:rPr>
                <w:rFonts w:ascii="Arial" w:cs="Arial" w:eastAsia="Arial" w:hAnsi="Arial"/>
                <w:sz w:val="15"/>
                <w:szCs w:val="15"/>
                <w:b w:val="1"/>
                <w:bCs w:val="1"/>
                <w:color w:val="auto"/>
                <w:w w:val="89"/>
              </w:rPr>
              <w:t>Valerie Gentile Sachs</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72" w:lineRule="exact"/>
              <w:rPr>
                <w:sz w:val="20"/>
                <w:szCs w:val="20"/>
                <w:color w:val="auto"/>
              </w:rPr>
            </w:pPr>
            <w:r>
              <w:rPr>
                <w:rFonts w:ascii="Arial" w:cs="Arial" w:eastAsia="Arial" w:hAnsi="Arial"/>
                <w:sz w:val="15"/>
                <w:szCs w:val="15"/>
                <w:b w:val="1"/>
                <w:bCs w:val="1"/>
                <w:color w:val="auto"/>
                <w:w w:val="90"/>
              </w:rPr>
              <w:t>Director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82"/>
        </w:trPr>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w:t>
            </w:r>
          </w:p>
        </w:tc>
        <w:tc>
          <w:tcPr>
            <w:tcW w:w="3200" w:type="dxa"/>
            <w:vAlign w:val="bottom"/>
            <w:tcBorders>
              <w:bottom w:val="single" w:sz="8" w:color="auto"/>
            </w:tcBorders>
          </w:tcPr>
          <w:p>
            <w:pPr>
              <w:jc w:val="center"/>
              <w:ind w:right="1677"/>
              <w:spacing w:after="0"/>
              <w:rPr>
                <w:sz w:val="20"/>
                <w:szCs w:val="20"/>
                <w:color w:val="auto"/>
              </w:rPr>
            </w:pPr>
            <w:r>
              <w:rPr>
                <w:rFonts w:ascii="Arial" w:cs="Arial" w:eastAsia="Arial" w:hAnsi="Arial"/>
                <w:sz w:val="20"/>
                <w:szCs w:val="20"/>
                <w:color w:val="auto"/>
              </w:rPr>
              <w:t>L</w:t>
            </w:r>
            <w:r>
              <w:rPr>
                <w:rFonts w:ascii="Arial" w:cs="Arial" w:eastAsia="Arial" w:hAnsi="Arial"/>
                <w:sz w:val="14"/>
                <w:szCs w:val="14"/>
                <w:color w:val="auto"/>
              </w:rPr>
              <w:t>AURIE</w:t>
            </w:r>
            <w:r>
              <w:rPr>
                <w:rFonts w:ascii="Arial" w:cs="Arial" w:eastAsia="Arial" w:hAnsi="Arial"/>
                <w:sz w:val="20"/>
                <w:szCs w:val="20"/>
                <w:color w:val="auto"/>
              </w:rPr>
              <w:t xml:space="preserve"> A. S</w:t>
            </w:r>
            <w:r>
              <w:rPr>
                <w:rFonts w:ascii="Arial" w:cs="Arial" w:eastAsia="Arial" w:hAnsi="Arial"/>
                <w:sz w:val="14"/>
                <w:szCs w:val="14"/>
                <w:color w:val="auto"/>
              </w:rPr>
              <w:t>IEGEL</w:t>
            </w:r>
          </w:p>
        </w:tc>
        <w:tc>
          <w:tcPr>
            <w:tcW w:w="120" w:type="dxa"/>
            <w:vAlign w:val="bottom"/>
            <w:tcBorders>
              <w:bottom w:val="single" w:sz="8" w:color="auto"/>
            </w:tcBorders>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6"/>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77"/>
              <w:spacing w:after="0" w:line="166" w:lineRule="exact"/>
              <w:rPr>
                <w:sz w:val="20"/>
                <w:szCs w:val="20"/>
                <w:color w:val="auto"/>
              </w:rPr>
            </w:pPr>
            <w:r>
              <w:rPr>
                <w:rFonts w:ascii="Arial" w:cs="Arial" w:eastAsia="Arial" w:hAnsi="Arial"/>
                <w:sz w:val="15"/>
                <w:szCs w:val="15"/>
                <w:b w:val="1"/>
                <w:bCs w:val="1"/>
                <w:color w:val="auto"/>
                <w:w w:val="90"/>
              </w:rPr>
              <w:t>Laurie A. Siegel</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72" w:lineRule="exact"/>
              <w:rPr>
                <w:sz w:val="20"/>
                <w:szCs w:val="20"/>
                <w:color w:val="auto"/>
              </w:rPr>
            </w:pPr>
            <w:r>
              <w:rPr>
                <w:rFonts w:ascii="Arial" w:cs="Arial" w:eastAsia="Arial" w:hAnsi="Arial"/>
                <w:sz w:val="15"/>
                <w:szCs w:val="15"/>
                <w:b w:val="1"/>
                <w:bCs w:val="1"/>
                <w:color w:val="auto"/>
                <w:w w:val="90"/>
              </w:rPr>
              <w:t>Director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82"/>
        </w:trPr>
        <w:tc>
          <w:tcPr>
            <w:tcW w:w="1780" w:type="dxa"/>
            <w:vAlign w:val="bottom"/>
            <w:tcBorders>
              <w:bottom w:val="single" w:sz="8" w:color="auto"/>
            </w:tcBorders>
          </w:tcPr>
          <w:p>
            <w:pPr>
              <w:ind w:left="1540"/>
              <w:spacing w:after="0"/>
              <w:rPr>
                <w:sz w:val="20"/>
                <w:szCs w:val="20"/>
                <w:color w:val="auto"/>
              </w:rPr>
            </w:pPr>
            <w:r>
              <w:rPr>
                <w:rFonts w:ascii="Arial" w:cs="Arial" w:eastAsia="Arial" w:hAnsi="Arial"/>
                <w:sz w:val="20"/>
                <w:szCs w:val="20"/>
                <w:color w:val="auto"/>
                <w:w w:val="89"/>
              </w:rPr>
              <w:t>/S/</w:t>
            </w:r>
          </w:p>
        </w:tc>
        <w:tc>
          <w:tcPr>
            <w:tcW w:w="3500" w:type="dxa"/>
            <w:vAlign w:val="bottom"/>
            <w:tcBorders>
              <w:bottom w:val="single" w:sz="8" w:color="auto"/>
            </w:tcBorders>
            <w:gridSpan w:val="2"/>
          </w:tcPr>
          <w:p>
            <w:pPr>
              <w:jc w:val="center"/>
              <w:ind w:right="1277"/>
              <w:spacing w:after="0"/>
              <w:rPr>
                <w:sz w:val="20"/>
                <w:szCs w:val="20"/>
                <w:color w:val="auto"/>
              </w:rPr>
            </w:pPr>
            <w:r>
              <w:rPr>
                <w:rFonts w:ascii="Arial" w:cs="Arial" w:eastAsia="Arial" w:hAnsi="Arial"/>
                <w:sz w:val="20"/>
                <w:szCs w:val="20"/>
                <w:color w:val="auto"/>
              </w:rPr>
              <w:t>R</w:t>
            </w:r>
            <w:r>
              <w:rPr>
                <w:rFonts w:ascii="Arial" w:cs="Arial" w:eastAsia="Arial" w:hAnsi="Arial"/>
                <w:sz w:val="14"/>
                <w:szCs w:val="14"/>
                <w:color w:val="auto"/>
              </w:rPr>
              <w:t>ICHARD</w:t>
            </w:r>
            <w:r>
              <w:rPr>
                <w:rFonts w:ascii="Arial" w:cs="Arial" w:eastAsia="Arial" w:hAnsi="Arial"/>
                <w:sz w:val="20"/>
                <w:szCs w:val="20"/>
                <w:color w:val="auto"/>
              </w:rPr>
              <w:t xml:space="preserve"> F. W</w:t>
            </w:r>
            <w:r>
              <w:rPr>
                <w:rFonts w:ascii="Arial" w:cs="Arial" w:eastAsia="Arial" w:hAnsi="Arial"/>
                <w:sz w:val="14"/>
                <w:szCs w:val="14"/>
                <w:color w:val="auto"/>
              </w:rPr>
              <w:t>ALLMAN</w:t>
            </w:r>
          </w:p>
        </w:tc>
        <w:tc>
          <w:tcPr>
            <w:tcW w:w="120" w:type="dxa"/>
            <w:vAlign w:val="bottom"/>
            <w:tcBorders>
              <w:bottom w:val="single" w:sz="8" w:color="auto"/>
            </w:tcBorders>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w w:val="90"/>
              </w:rPr>
              <w:t>March 5, 2024</w:t>
            </w:r>
          </w:p>
        </w:tc>
      </w:tr>
      <w:tr>
        <w:trPr>
          <w:trHeight w:val="166"/>
        </w:trPr>
        <w:tc>
          <w:tcPr>
            <w:tcW w:w="1780" w:type="dxa"/>
            <w:vAlign w:val="bottom"/>
          </w:tcPr>
          <w:p>
            <w:pPr>
              <w:spacing w:after="0"/>
              <w:rPr>
                <w:sz w:val="14"/>
                <w:szCs w:val="14"/>
                <w:color w:val="auto"/>
              </w:rPr>
            </w:pPr>
          </w:p>
        </w:tc>
        <w:tc>
          <w:tcPr>
            <w:tcW w:w="3500" w:type="dxa"/>
            <w:vAlign w:val="bottom"/>
            <w:gridSpan w:val="2"/>
          </w:tcPr>
          <w:p>
            <w:pPr>
              <w:jc w:val="center"/>
              <w:ind w:right="1697"/>
              <w:spacing w:after="0" w:line="166" w:lineRule="exact"/>
              <w:rPr>
                <w:sz w:val="20"/>
                <w:szCs w:val="20"/>
                <w:color w:val="auto"/>
              </w:rPr>
            </w:pPr>
            <w:r>
              <w:rPr>
                <w:rFonts w:ascii="Arial" w:cs="Arial" w:eastAsia="Arial" w:hAnsi="Arial"/>
                <w:sz w:val="15"/>
                <w:szCs w:val="15"/>
                <w:b w:val="1"/>
                <w:bCs w:val="1"/>
                <w:color w:val="auto"/>
                <w:w w:val="94"/>
              </w:rPr>
              <w:t>Richard F. Wallman</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center"/>
              <w:ind w:right="1997"/>
              <w:spacing w:after="0" w:line="172" w:lineRule="exact"/>
              <w:rPr>
                <w:sz w:val="20"/>
                <w:szCs w:val="20"/>
                <w:color w:val="auto"/>
              </w:rPr>
            </w:pPr>
            <w:r>
              <w:rPr>
                <w:rFonts w:ascii="Arial" w:cs="Arial" w:eastAsia="Arial" w:hAnsi="Arial"/>
                <w:sz w:val="15"/>
                <w:szCs w:val="15"/>
                <w:b w:val="1"/>
                <w:bCs w:val="1"/>
                <w:color w:val="auto"/>
                <w:w w:val="90"/>
              </w:rPr>
              <w:t>Director</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10620"/>
          </w:cols>
          <w:pgMar w:left="600" w:top="837" w:right="660" w:bottom="46"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52525"/>
        </w:rPr>
        <w:t>(This page has been left blank intentionally.)</w:t>
      </w:r>
    </w:p>
    <w:p>
      <w:pPr>
        <w:sectPr>
          <w:pgSz w:w="11880" w:h="15480" w:orient="portrait"/>
          <w:cols w:equalWidth="0" w:num="1">
            <w:col w:w="9000"/>
          </w:cols>
          <w:pgMar w:left="1440" w:top="1440" w:right="1440"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Shareholders and Board of Directors</w:t>
      </w:r>
    </w:p>
    <w:p>
      <w:pPr>
        <w:spacing w:after="0" w:line="238" w:lineRule="auto"/>
        <w:rPr>
          <w:sz w:val="20"/>
          <w:szCs w:val="20"/>
          <w:color w:val="auto"/>
        </w:rPr>
      </w:pPr>
      <w:r>
        <w:rPr>
          <w:rFonts w:ascii="Arial" w:cs="Arial" w:eastAsia="Arial" w:hAnsi="Arial"/>
          <w:sz w:val="20"/>
          <w:szCs w:val="20"/>
          <w:color w:val="auto"/>
        </w:rPr>
        <w:t>CECO Environmental Corp.</w:t>
      </w:r>
    </w:p>
    <w:p>
      <w:pPr>
        <w:spacing w:after="0" w:line="238" w:lineRule="auto"/>
        <w:rPr>
          <w:sz w:val="20"/>
          <w:szCs w:val="20"/>
          <w:color w:val="auto"/>
        </w:rPr>
      </w:pPr>
      <w:r>
        <w:rPr>
          <w:rFonts w:ascii="Arial" w:cs="Arial" w:eastAsia="Arial" w:hAnsi="Arial"/>
          <w:sz w:val="20"/>
          <w:szCs w:val="20"/>
          <w:color w:val="auto"/>
        </w:rPr>
        <w:t>Dallas, Texas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Consolidated Financial Statements</w:t>
      </w:r>
    </w:p>
    <w:p>
      <w:pPr>
        <w:spacing w:after="0" w:line="236"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We have audited the accompanying consolidated balance sheets of CECO Environmental Corp. (the “Company”) as of December 31, 2023 and 2022, the related consolidated statements of income and comprehensive income, shareholders’ equity and accumulated other comprehensive loss,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w:t>
      </w:r>
      <w:r>
        <w:rPr>
          <w:rFonts w:ascii="Arial" w:cs="Arial" w:eastAsia="Arial" w:hAnsi="Arial"/>
          <w:sz w:val="19"/>
          <w:szCs w:val="19"/>
          <w:b w:val="1"/>
          <w:bCs w:val="1"/>
          <w:color w:val="auto"/>
        </w:rPr>
        <w:t>,</w:t>
      </w:r>
      <w:r>
        <w:rPr>
          <w:rFonts w:ascii="Arial" w:cs="Arial" w:eastAsia="Arial" w:hAnsi="Arial"/>
          <w:sz w:val="19"/>
          <w:szCs w:val="19"/>
          <w:color w:val="auto"/>
        </w:rPr>
        <w:t xml:space="preserve"> in conformity with accounting principles generally accepted in the United States of America.</w:t>
      </w:r>
    </w:p>
    <w:p>
      <w:pPr>
        <w:spacing w:after="0" w:line="23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20"/>
          <w:szCs w:val="20"/>
          <w:i w:val="1"/>
          <w:iCs w:val="1"/>
          <w:color w:val="auto"/>
        </w:rPr>
        <w:t>Internal Control</w:t>
      </w:r>
      <w:r>
        <w:rPr>
          <w:rFonts w:ascii="Arial" w:cs="Arial" w:eastAsia="Arial" w:hAnsi="Arial"/>
          <w:sz w:val="20"/>
          <w:szCs w:val="20"/>
          <w:color w:val="auto"/>
        </w:rPr>
        <w:t xml:space="preserve"> </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Integrated Framework (2013) </w:t>
      </w:r>
      <w:r>
        <w:rPr>
          <w:rFonts w:ascii="Arial" w:cs="Arial" w:eastAsia="Arial" w:hAnsi="Arial"/>
          <w:sz w:val="20"/>
          <w:szCs w:val="20"/>
          <w:color w:val="auto"/>
        </w:rPr>
        <w:t>issued by the Committee of Sponsoring Organizations of the Treadway Commission (“COSO”) and our</w:t>
      </w:r>
      <w:r>
        <w:rPr>
          <w:rFonts w:ascii="Arial" w:cs="Arial" w:eastAsia="Arial" w:hAnsi="Arial"/>
          <w:sz w:val="20"/>
          <w:szCs w:val="20"/>
          <w:i w:val="1"/>
          <w:iCs w:val="1"/>
          <w:color w:val="auto"/>
        </w:rPr>
        <w:t xml:space="preserve"> </w:t>
      </w:r>
      <w:r>
        <w:rPr>
          <w:rFonts w:ascii="Arial" w:cs="Arial" w:eastAsia="Arial" w:hAnsi="Arial"/>
          <w:sz w:val="20"/>
          <w:szCs w:val="20"/>
          <w:color w:val="auto"/>
        </w:rPr>
        <w:t>report dated March 5, 2024 expressed an adverse opinion thereon.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9" w:lineRule="exact"/>
        <w:rPr>
          <w:sz w:val="20"/>
          <w:szCs w:val="20"/>
          <w:color w:val="auto"/>
        </w:rPr>
      </w:pPr>
    </w:p>
    <w:p>
      <w:pPr>
        <w:ind w:right="140"/>
        <w:spacing w:after="0" w:line="249" w:lineRule="auto"/>
        <w:rPr>
          <w:sz w:val="20"/>
          <w:szCs w:val="20"/>
          <w:color w:val="auto"/>
        </w:rPr>
      </w:pPr>
      <w:r>
        <w:rPr>
          <w:rFonts w:ascii="Arial" w:cs="Arial" w:eastAsia="Arial" w:hAnsi="Arial"/>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4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39"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 Time Revenue Recognition Using the Cost-to-Cost Measure</w:t>
      </w:r>
    </w:p>
    <w:p>
      <w:pPr>
        <w:spacing w:after="0" w:line="23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As described in Notes 1 and 15 to the Company’s consolidated financial statements, the Company derives a significant portion of its revenues from fixed-price contracts within the Engineered Systems and Industrial Process Solutions segments. The revenue for such contracts is recognized over a period of time based on the extent of progress towards completion of the performance obligation, which is measured based on the ratio of costs incurred to date to total estimated costs to complete the performance obligation. Changes in these estimates can have a material impact on the amount of revenue recognized each period.</w:t>
      </w:r>
    </w:p>
    <w:p>
      <w:pPr>
        <w:spacing w:after="0" w:line="21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identified the accuracy of revenue recognized over time for open contracts as a critical audit matter. The determination of estimated cost and progress to completion requires management to make significant estimates and assumptions, which includes an analysis of total estimated labor, material and subcontract costs, historical experience, current performance to date and the conditions to complete each contract. This analysis requires significant management judgment, which affects the amount of revenue recognized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w:t>
      </w:r>
    </w:p>
    <w:p>
      <w:pPr>
        <w:sectPr>
          <w:pgSz w:w="11880" w:h="15480" w:orient="portrait"/>
          <w:cols w:equalWidth="0" w:num="1">
            <w:col w:w="10680"/>
          </w:cols>
          <w:pgMar w:left="600" w:top="837" w:right="600" w:bottom="46" w:gutter="0" w:footer="0" w:header="0"/>
        </w:sectPr>
      </w:pPr>
    </w:p>
    <w:bookmarkStart w:id="61" w:name="page62"/>
    <w:bookmarkEnd w:id="61"/>
    <w:p>
      <w:pPr>
        <w:ind w:right="260"/>
        <w:spacing w:after="0" w:line="231" w:lineRule="auto"/>
        <w:rPr>
          <w:sz w:val="20"/>
          <w:szCs w:val="20"/>
          <w:color w:val="auto"/>
        </w:rPr>
      </w:pPr>
      <w:r>
        <w:rPr>
          <w:rFonts w:ascii="Arial" w:cs="Arial" w:eastAsia="Arial" w:hAnsi="Arial"/>
          <w:sz w:val="20"/>
          <w:szCs w:val="20"/>
          <w:color w:val="auto"/>
        </w:rPr>
        <w:t>by the Company. Auditing these complex judgments and assumptions involves especially challenging auditor judgment due to the nature and extent of audit evidence available and effort required to address these matters.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primary procedures we performed to address this critical audit matter included:</w:t>
      </w:r>
    </w:p>
    <w:p>
      <w:pPr>
        <w:spacing w:after="0" w:line="144" w:lineRule="exact"/>
        <w:rPr>
          <w:sz w:val="20"/>
          <w:szCs w:val="20"/>
          <w:color w:val="auto"/>
        </w:rPr>
      </w:pPr>
    </w:p>
    <w:p>
      <w:pPr>
        <w:ind w:left="960" w:hanging="481"/>
        <w:spacing w:after="0" w:line="311"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Testing the design and operating effectiveness of internal controls, for the Industrial Process Solutions segment related to the determination of estimated costs to complete a project, including the monthly review of open over time projects and review of estimated cost calculations to complete open projects. These controls include the review of the reasonableness of the assumptions used and the appropriateness of methodologies used to determine costs to complete.</w:t>
      </w:r>
    </w:p>
    <w:p>
      <w:pPr>
        <w:spacing w:after="0" w:line="89" w:lineRule="exact"/>
        <w:rPr>
          <w:rFonts w:ascii="Arial" w:cs="Arial" w:eastAsia="Arial" w:hAnsi="Arial"/>
          <w:sz w:val="16"/>
          <w:szCs w:val="16"/>
          <w:color w:val="auto"/>
        </w:rPr>
      </w:pPr>
    </w:p>
    <w:p>
      <w:pPr>
        <w:ind w:left="960" w:hanging="481"/>
        <w:spacing w:after="0" w:line="235" w:lineRule="auto"/>
        <w:tabs>
          <w:tab w:leader="none" w:pos="9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Testing the completeness, existence, and accuracy of estimated cost and progress to completion calculations for a sample of open contracts by validating the underlying project data and assumptions used as inputs through the inspection of relevant source documents including contracts, project plans or budgets and activity reports, invoices of costs incurred to date, results of recent similar historical projects, other third-party subcontractor support, inquiry of project managers, and confirmations.</w:t>
      </w:r>
    </w:p>
    <w:p>
      <w:pPr>
        <w:spacing w:after="0" w:line="145" w:lineRule="exact"/>
        <w:rPr>
          <w:rFonts w:ascii="Arial" w:cs="Arial" w:eastAsia="Arial" w:hAnsi="Arial"/>
          <w:sz w:val="20"/>
          <w:szCs w:val="20"/>
          <w:color w:val="auto"/>
        </w:rPr>
      </w:pPr>
    </w:p>
    <w:p>
      <w:pPr>
        <w:ind w:left="960" w:right="20" w:hanging="481"/>
        <w:spacing w:after="0" w:line="250" w:lineRule="auto"/>
        <w:tabs>
          <w:tab w:leader="none" w:pos="9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Evaluating management's ability to estimate cost and progress to completion by performing a retrospective review on a sample basis of estimated project costs to actual project costs for completed contracts and investigating variances outside of predetermined thresholds through the inspection of relevant source documents.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BDO USA, P.C.</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2008.</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March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F-2</w:t>
      </w:r>
    </w:p>
    <w:p>
      <w:pPr>
        <w:sectPr>
          <w:pgSz w:w="11880" w:h="15480" w:orient="portrait"/>
          <w:cols w:equalWidth="0" w:num="1">
            <w:col w:w="10560"/>
          </w:cols>
          <w:pgMar w:left="600" w:top="849" w:right="720" w:bottom="46"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CECO ENVIRONMENTAL CORP. AND SUBSIDIARIES</w:t>
      </w:r>
    </w:p>
    <w:p>
      <w:pPr>
        <w:jc w:val="center"/>
        <w:spacing w:after="0" w:line="235" w:lineRule="auto"/>
        <w:rPr>
          <w:sz w:val="20"/>
          <w:szCs w:val="20"/>
          <w:color w:val="auto"/>
        </w:rPr>
      </w:pPr>
      <w:r>
        <w:rPr>
          <w:rFonts w:ascii="Arial" w:cs="Arial" w:eastAsia="Arial" w:hAnsi="Arial"/>
          <w:sz w:val="20"/>
          <w:szCs w:val="20"/>
          <w:b w:val="1"/>
          <w:bCs w:val="1"/>
          <w:color w:val="auto"/>
        </w:rPr>
        <w:t>CONSOLIDATED BALANCE SHEETS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7060" w:type="dxa"/>
            <w:vAlign w:val="bottom"/>
            <w:tcBorders>
              <w:bottom w:val="single" w:sz="8" w:color="E9E9E9"/>
            </w:tcBorders>
            <w:gridSpan w:val="3"/>
          </w:tcPr>
          <w:p>
            <w:pPr>
              <w:spacing w:after="0" w:line="172" w:lineRule="exact"/>
              <w:rPr>
                <w:sz w:val="20"/>
                <w:szCs w:val="20"/>
                <w:color w:val="auto"/>
              </w:rPr>
            </w:pPr>
            <w:r>
              <w:rPr>
                <w:rFonts w:ascii="Arial" w:cs="Arial" w:eastAsia="Arial" w:hAnsi="Arial"/>
                <w:sz w:val="16"/>
                <w:szCs w:val="16"/>
                <w:b w:val="1"/>
                <w:bCs w:val="1"/>
                <w:color w:val="auto"/>
              </w:rPr>
              <w:t>(dollars in thousands, except share data)</w:t>
            </w: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2"/>
              <w:spacing w:after="0" w:line="172"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2"/>
              <w:spacing w:after="0" w:line="172"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E9E9E9"/>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r>
      <w:tr>
        <w:trPr>
          <w:trHeight w:val="218"/>
        </w:trPr>
        <w:tc>
          <w:tcPr>
            <w:tcW w:w="6940" w:type="dxa"/>
            <w:vAlign w:val="bottom"/>
            <w:shd w:val="clear" w:color="auto" w:fill="E9E9E9"/>
          </w:tcPr>
          <w:p>
            <w:pPr>
              <w:ind w:left="3100"/>
              <w:spacing w:after="0" w:line="217" w:lineRule="exact"/>
              <w:rPr>
                <w:sz w:val="20"/>
                <w:szCs w:val="20"/>
                <w:color w:val="auto"/>
              </w:rPr>
            </w:pPr>
            <w:r>
              <w:rPr>
                <w:rFonts w:ascii="Arial" w:cs="Arial" w:eastAsia="Arial" w:hAnsi="Arial"/>
                <w:sz w:val="20"/>
                <w:szCs w:val="20"/>
                <w:b w:val="1"/>
                <w:bCs w:val="1"/>
                <w:color w:val="auto"/>
              </w:rPr>
              <w:t>ASSETS</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54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520" w:type="dxa"/>
            <w:vAlign w:val="bottom"/>
            <w:shd w:val="clear" w:color="auto" w:fill="E9E9E9"/>
          </w:tcPr>
          <w:p>
            <w:pPr>
              <w:spacing w:after="0"/>
              <w:rPr>
                <w:sz w:val="18"/>
                <w:szCs w:val="18"/>
                <w:color w:val="auto"/>
              </w:rPr>
            </w:pPr>
          </w:p>
        </w:tc>
        <w:tc>
          <w:tcPr>
            <w:tcW w:w="11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28"/>
        </w:trPr>
        <w:tc>
          <w:tcPr>
            <w:tcW w:w="7060" w:type="dxa"/>
            <w:vAlign w:val="bottom"/>
            <w:gridSpan w:val="3"/>
          </w:tcPr>
          <w:p>
            <w:pPr>
              <w:spacing w:after="0" w:line="228" w:lineRule="exact"/>
              <w:rPr>
                <w:sz w:val="20"/>
                <w:szCs w:val="20"/>
                <w:color w:val="auto"/>
              </w:rPr>
            </w:pPr>
            <w:r>
              <w:rPr>
                <w:rFonts w:ascii="Arial" w:cs="Arial" w:eastAsia="Arial" w:hAnsi="Arial"/>
                <w:sz w:val="20"/>
                <w:szCs w:val="20"/>
                <w:color w:val="auto"/>
              </w:rPr>
              <w:t>Current assets:</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Cash and cash equivalents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54,779</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jc w:val="right"/>
              <w:ind w:right="321"/>
              <w:spacing w:after="0" w:line="228"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45,522</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60" w:type="dxa"/>
            <w:vAlign w:val="bottom"/>
            <w:gridSpan w:val="3"/>
          </w:tcPr>
          <w:p>
            <w:pPr>
              <w:ind w:left="200"/>
              <w:spacing w:after="0" w:line="228" w:lineRule="exact"/>
              <w:rPr>
                <w:sz w:val="20"/>
                <w:szCs w:val="20"/>
                <w:color w:val="auto"/>
              </w:rPr>
            </w:pPr>
            <w:r>
              <w:rPr>
                <w:rFonts w:ascii="Arial" w:cs="Arial" w:eastAsia="Arial" w:hAnsi="Arial"/>
                <w:sz w:val="20"/>
                <w:szCs w:val="20"/>
                <w:color w:val="auto"/>
              </w:rPr>
              <w:t>Restricted cash</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669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1,063</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Accounts receivable, net of allowances of $6,460 and $4,220</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112,733</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83,086</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5"/>
        </w:trPr>
        <w:tc>
          <w:tcPr>
            <w:tcW w:w="7060" w:type="dxa"/>
            <w:vAlign w:val="bottom"/>
            <w:gridSpan w:val="3"/>
          </w:tcPr>
          <w:p>
            <w:pPr>
              <w:ind w:left="200"/>
              <w:spacing w:after="0" w:line="225" w:lineRule="exact"/>
              <w:rPr>
                <w:sz w:val="20"/>
                <w:szCs w:val="20"/>
                <w:color w:val="auto"/>
              </w:rPr>
            </w:pPr>
            <w:r>
              <w:rPr>
                <w:rFonts w:ascii="Arial" w:cs="Arial" w:eastAsia="Arial" w:hAnsi="Arial"/>
                <w:sz w:val="20"/>
                <w:szCs w:val="20"/>
                <w:color w:val="auto"/>
              </w:rPr>
              <w:t>Costs and estimated earnings in excess of billings on uncompleted contracts</w:t>
            </w:r>
          </w:p>
        </w:tc>
        <w:tc>
          <w:tcPr>
            <w:tcW w:w="100" w:type="dxa"/>
            <w:vAlign w:val="bottom"/>
          </w:tcPr>
          <w:p>
            <w:pPr>
              <w:spacing w:after="0"/>
              <w:rPr>
                <w:sz w:val="19"/>
                <w:szCs w:val="19"/>
                <w:color w:val="auto"/>
              </w:rPr>
            </w:pPr>
          </w:p>
        </w:tc>
        <w:tc>
          <w:tcPr>
            <w:tcW w:w="1540" w:type="dxa"/>
            <w:vAlign w:val="bottom"/>
          </w:tcPr>
          <w:p>
            <w:pPr>
              <w:jc w:val="right"/>
              <w:spacing w:after="0" w:line="225" w:lineRule="exact"/>
              <w:rPr>
                <w:sz w:val="20"/>
                <w:szCs w:val="20"/>
                <w:color w:val="auto"/>
              </w:rPr>
            </w:pPr>
            <w:r>
              <w:rPr>
                <w:rFonts w:ascii="Arial" w:cs="Arial" w:eastAsia="Arial" w:hAnsi="Arial"/>
                <w:sz w:val="20"/>
                <w:szCs w:val="20"/>
                <w:color w:val="auto"/>
              </w:rPr>
              <w:t>66,574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5" w:lineRule="exact"/>
              <w:rPr>
                <w:sz w:val="20"/>
                <w:szCs w:val="20"/>
                <w:color w:val="auto"/>
              </w:rPr>
            </w:pPr>
            <w:r>
              <w:rPr>
                <w:rFonts w:ascii="Arial" w:cs="Arial" w:eastAsia="Arial" w:hAnsi="Arial"/>
                <w:sz w:val="20"/>
                <w:szCs w:val="20"/>
                <w:color w:val="auto"/>
              </w:rPr>
              <w:t>71,016</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Inventories, net</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34,089</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26,526</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60" w:type="dxa"/>
            <w:vAlign w:val="bottom"/>
            <w:gridSpan w:val="3"/>
          </w:tcPr>
          <w:p>
            <w:pPr>
              <w:ind w:left="200"/>
              <w:spacing w:after="0" w:line="228" w:lineRule="exact"/>
              <w:rPr>
                <w:sz w:val="20"/>
                <w:szCs w:val="20"/>
                <w:color w:val="auto"/>
              </w:rPr>
            </w:pPr>
            <w:r>
              <w:rPr>
                <w:rFonts w:ascii="Arial" w:cs="Arial" w:eastAsia="Arial" w:hAnsi="Arial"/>
                <w:sz w:val="20"/>
                <w:szCs w:val="20"/>
                <w:color w:val="auto"/>
              </w:rPr>
              <w:t>Prepaid expenses and other current assets</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11,769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12,174</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Prepaid income taxes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824</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1,271</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18"/>
        </w:trPr>
        <w:tc>
          <w:tcPr>
            <w:tcW w:w="7060" w:type="dxa"/>
            <w:vAlign w:val="bottom"/>
            <w:gridSpan w:val="3"/>
          </w:tcPr>
          <w:p>
            <w:pPr>
              <w:ind w:left="400"/>
              <w:spacing w:after="0" w:line="217" w:lineRule="exact"/>
              <w:rPr>
                <w:sz w:val="20"/>
                <w:szCs w:val="20"/>
                <w:color w:val="auto"/>
              </w:rPr>
            </w:pPr>
            <w:r>
              <w:rPr>
                <w:rFonts w:ascii="Arial" w:cs="Arial" w:eastAsia="Arial" w:hAnsi="Arial"/>
                <w:sz w:val="20"/>
                <w:szCs w:val="20"/>
                <w:color w:val="auto"/>
              </w:rPr>
              <w:t>Total current assets</w:t>
            </w:r>
          </w:p>
        </w:tc>
        <w:tc>
          <w:tcPr>
            <w:tcW w:w="10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281,437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Arial" w:cs="Arial" w:eastAsia="Arial" w:hAnsi="Arial"/>
                <w:sz w:val="20"/>
                <w:szCs w:val="20"/>
                <w:color w:val="auto"/>
              </w:rPr>
              <w:t>240,658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9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Property, plant and equipment, net</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26,237</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20,828</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60" w:type="dxa"/>
            <w:vAlign w:val="bottom"/>
            <w:gridSpan w:val="3"/>
          </w:tcPr>
          <w:p>
            <w:pPr>
              <w:spacing w:after="0" w:line="228" w:lineRule="exact"/>
              <w:rPr>
                <w:sz w:val="20"/>
                <w:szCs w:val="20"/>
                <w:color w:val="auto"/>
              </w:rPr>
            </w:pPr>
            <w:r>
              <w:rPr>
                <w:rFonts w:ascii="Arial" w:cs="Arial" w:eastAsia="Arial" w:hAnsi="Arial"/>
                <w:sz w:val="20"/>
                <w:szCs w:val="20"/>
                <w:color w:val="auto"/>
              </w:rPr>
              <w:t>Right-of-use assets from operating leases</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16,256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11,373</w:t>
            </w:r>
          </w:p>
        </w:tc>
      </w:tr>
      <w:tr>
        <w:trPr>
          <w:trHeight w:val="226"/>
        </w:trPr>
        <w:tc>
          <w:tcPr>
            <w:tcW w:w="694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Goodwill</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211,326</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183,197</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60" w:type="dxa"/>
            <w:vAlign w:val="bottom"/>
            <w:gridSpan w:val="3"/>
          </w:tcPr>
          <w:p>
            <w:pPr>
              <w:spacing w:after="0" w:line="228" w:lineRule="exact"/>
              <w:rPr>
                <w:sz w:val="20"/>
                <w:szCs w:val="20"/>
                <w:color w:val="auto"/>
              </w:rPr>
            </w:pPr>
            <w:r>
              <w:rPr>
                <w:rFonts w:ascii="Arial" w:cs="Arial" w:eastAsia="Arial" w:hAnsi="Arial"/>
                <w:sz w:val="20"/>
                <w:szCs w:val="20"/>
                <w:color w:val="auto"/>
              </w:rPr>
              <w:t>Intangible assets – finite life, net</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50,461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35,251</w:t>
            </w:r>
          </w:p>
        </w:tc>
      </w:tr>
      <w:tr>
        <w:trPr>
          <w:trHeight w:val="228"/>
        </w:trPr>
        <w:tc>
          <w:tcPr>
            <w:tcW w:w="69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Intangible assets – indefinite life</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9,570</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9,508</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60" w:type="dxa"/>
            <w:vAlign w:val="bottom"/>
            <w:gridSpan w:val="3"/>
          </w:tcPr>
          <w:p>
            <w:pPr>
              <w:spacing w:after="0" w:line="228" w:lineRule="exact"/>
              <w:rPr>
                <w:sz w:val="20"/>
                <w:szCs w:val="20"/>
                <w:color w:val="auto"/>
              </w:rPr>
            </w:pPr>
            <w:r>
              <w:rPr>
                <w:rFonts w:ascii="Arial" w:cs="Arial" w:eastAsia="Arial" w:hAnsi="Arial"/>
                <w:sz w:val="20"/>
                <w:szCs w:val="20"/>
                <w:color w:val="auto"/>
              </w:rPr>
              <w:t>Deferred income taxes</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304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829</w:t>
            </w:r>
          </w:p>
        </w:tc>
      </w:tr>
      <w:tr>
        <w:trPr>
          <w:trHeight w:val="228"/>
        </w:trPr>
        <w:tc>
          <w:tcPr>
            <w:tcW w:w="69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Deferred charges and other assets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4,700</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3,077</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58"/>
        </w:trPr>
        <w:tc>
          <w:tcPr>
            <w:tcW w:w="7060" w:type="dxa"/>
            <w:vAlign w:val="bottom"/>
            <w:gridSpan w:val="3"/>
          </w:tcPr>
          <w:p>
            <w:pPr>
              <w:ind w:left="580"/>
              <w:spacing w:after="0" w:line="217" w:lineRule="exact"/>
              <w:rPr>
                <w:sz w:val="20"/>
                <w:szCs w:val="20"/>
                <w:color w:val="auto"/>
              </w:rPr>
            </w:pPr>
            <w:r>
              <w:rPr>
                <w:rFonts w:ascii="Arial" w:cs="Arial" w:eastAsia="Arial" w:hAnsi="Arial"/>
                <w:sz w:val="20"/>
                <w:szCs w:val="20"/>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600,291</w:t>
            </w:r>
          </w:p>
        </w:tc>
        <w:tc>
          <w:tcPr>
            <w:tcW w:w="120" w:type="dxa"/>
            <w:vAlign w:val="bottom"/>
          </w:tcPr>
          <w:p>
            <w:pPr>
              <w:spacing w:after="0"/>
              <w:rPr>
                <w:sz w:val="22"/>
                <w:szCs w:val="22"/>
                <w:color w:val="auto"/>
              </w:rPr>
            </w:pPr>
          </w:p>
        </w:tc>
        <w:tc>
          <w:tcPr>
            <w:tcW w:w="620" w:type="dxa"/>
            <w:vAlign w:val="bottom"/>
            <w:gridSpan w:val="3"/>
          </w:tcPr>
          <w:p>
            <w:pPr>
              <w:jc w:val="right"/>
              <w:ind w:right="321"/>
              <w:spacing w:after="0" w:line="217"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7" w:lineRule="exact"/>
              <w:rPr>
                <w:sz w:val="20"/>
                <w:szCs w:val="20"/>
                <w:color w:val="auto"/>
              </w:rPr>
            </w:pPr>
            <w:r>
              <w:rPr>
                <w:rFonts w:ascii="Arial" w:cs="Arial" w:eastAsia="Arial" w:hAnsi="Arial"/>
                <w:sz w:val="20"/>
                <w:szCs w:val="20"/>
                <w:color w:val="auto"/>
              </w:rPr>
              <w:t>504,721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1"/>
        </w:trPr>
        <w:tc>
          <w:tcPr>
            <w:tcW w:w="6940" w:type="dxa"/>
            <w:vAlign w:val="bottom"/>
            <w:tcBorders>
              <w:top w:val="single" w:sz="8" w:color="E9E9E9"/>
            </w:tcBorders>
            <w:shd w:val="clear" w:color="auto" w:fill="E9E9E9"/>
          </w:tcPr>
          <w:p>
            <w:pPr>
              <w:ind w:left="1320"/>
              <w:spacing w:after="0" w:line="210" w:lineRule="exact"/>
              <w:rPr>
                <w:sz w:val="20"/>
                <w:szCs w:val="20"/>
                <w:color w:val="auto"/>
              </w:rPr>
            </w:pPr>
            <w:r>
              <w:rPr>
                <w:rFonts w:ascii="Arial" w:cs="Arial" w:eastAsia="Arial" w:hAnsi="Arial"/>
                <w:sz w:val="20"/>
                <w:szCs w:val="20"/>
                <w:b w:val="1"/>
                <w:bCs w:val="1"/>
                <w:color w:val="auto"/>
              </w:rPr>
              <w:t>LIABILITIES AND SHAREHOLDERS’ EQUITY</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540" w:type="dxa"/>
            <w:vAlign w:val="bottom"/>
            <w:tcBorders>
              <w:top w:val="single" w:sz="8" w:color="auto"/>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520" w:type="dxa"/>
            <w:vAlign w:val="bottom"/>
            <w:tcBorders>
              <w:top w:val="single" w:sz="8" w:color="auto"/>
            </w:tcBorders>
            <w:shd w:val="clear" w:color="auto" w:fill="E9E9E9"/>
          </w:tcPr>
          <w:p>
            <w:pPr>
              <w:spacing w:after="0"/>
              <w:rPr>
                <w:sz w:val="18"/>
                <w:szCs w:val="18"/>
                <w:color w:val="auto"/>
              </w:rPr>
            </w:pPr>
          </w:p>
        </w:tc>
        <w:tc>
          <w:tcPr>
            <w:tcW w:w="114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r>
      <w:tr>
        <w:trPr>
          <w:trHeight w:val="228"/>
        </w:trPr>
        <w:tc>
          <w:tcPr>
            <w:tcW w:w="7060" w:type="dxa"/>
            <w:vAlign w:val="bottom"/>
            <w:gridSpan w:val="3"/>
          </w:tcPr>
          <w:p>
            <w:pPr>
              <w:spacing w:after="0" w:line="228" w:lineRule="exact"/>
              <w:rPr>
                <w:sz w:val="20"/>
                <w:szCs w:val="20"/>
                <w:color w:val="auto"/>
              </w:rPr>
            </w:pPr>
            <w:r>
              <w:rPr>
                <w:rFonts w:ascii="Arial" w:cs="Arial" w:eastAsia="Arial" w:hAnsi="Arial"/>
                <w:sz w:val="20"/>
                <w:szCs w:val="20"/>
                <w:color w:val="auto"/>
              </w:rPr>
              <w:t>Current liabilities:</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Current portion of debt</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10,488</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jc w:val="right"/>
              <w:ind w:right="321"/>
              <w:spacing w:after="0" w:line="228" w:lineRule="exact"/>
              <w:rPr>
                <w:sz w:val="20"/>
                <w:szCs w:val="20"/>
                <w:color w:val="auto"/>
              </w:rPr>
            </w:pPr>
            <w:r>
              <w:rPr>
                <w:rFonts w:ascii="Arial" w:cs="Arial" w:eastAsia="Arial" w:hAnsi="Arial"/>
                <w:sz w:val="20"/>
                <w:szCs w:val="20"/>
                <w:color w:val="auto"/>
                <w:w w:val="71"/>
                <w:shd w:val="clear" w:color="auto" w:fill="E9E9E9"/>
              </w:rPr>
              <w:t>$</w:t>
            </w: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3,579</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60" w:type="dxa"/>
            <w:vAlign w:val="bottom"/>
            <w:gridSpan w:val="3"/>
          </w:tcPr>
          <w:p>
            <w:pPr>
              <w:ind w:left="200"/>
              <w:spacing w:after="0" w:line="228" w:lineRule="exact"/>
              <w:rPr>
                <w:sz w:val="20"/>
                <w:szCs w:val="20"/>
                <w:color w:val="auto"/>
              </w:rPr>
            </w:pPr>
            <w:r>
              <w:rPr>
                <w:rFonts w:ascii="Arial" w:cs="Arial" w:eastAsia="Arial" w:hAnsi="Arial"/>
                <w:sz w:val="20"/>
                <w:szCs w:val="20"/>
                <w:color w:val="auto"/>
              </w:rPr>
              <w:t>Accounts payable</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87,691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73,407</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Accrued expenses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44,301</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33,791</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5"/>
        </w:trPr>
        <w:tc>
          <w:tcPr>
            <w:tcW w:w="7060" w:type="dxa"/>
            <w:vAlign w:val="bottom"/>
            <w:gridSpan w:val="3"/>
          </w:tcPr>
          <w:p>
            <w:pPr>
              <w:ind w:left="200"/>
              <w:spacing w:after="0" w:line="225" w:lineRule="exact"/>
              <w:rPr>
                <w:sz w:val="20"/>
                <w:szCs w:val="20"/>
                <w:color w:val="auto"/>
              </w:rPr>
            </w:pPr>
            <w:r>
              <w:rPr>
                <w:rFonts w:ascii="Arial" w:cs="Arial" w:eastAsia="Arial" w:hAnsi="Arial"/>
                <w:sz w:val="20"/>
                <w:szCs w:val="20"/>
                <w:color w:val="auto"/>
              </w:rPr>
              <w:t>Billings in excess of costs and estimated earnings on uncompleted contracts</w:t>
            </w:r>
          </w:p>
        </w:tc>
        <w:tc>
          <w:tcPr>
            <w:tcW w:w="100" w:type="dxa"/>
            <w:vAlign w:val="bottom"/>
          </w:tcPr>
          <w:p>
            <w:pPr>
              <w:spacing w:after="0"/>
              <w:rPr>
                <w:sz w:val="19"/>
                <w:szCs w:val="19"/>
                <w:color w:val="auto"/>
              </w:rPr>
            </w:pPr>
          </w:p>
        </w:tc>
        <w:tc>
          <w:tcPr>
            <w:tcW w:w="1540" w:type="dxa"/>
            <w:vAlign w:val="bottom"/>
          </w:tcPr>
          <w:p>
            <w:pPr>
              <w:jc w:val="right"/>
              <w:spacing w:after="0" w:line="225" w:lineRule="exact"/>
              <w:rPr>
                <w:sz w:val="20"/>
                <w:szCs w:val="20"/>
                <w:color w:val="auto"/>
              </w:rPr>
            </w:pPr>
            <w:r>
              <w:rPr>
                <w:rFonts w:ascii="Arial" w:cs="Arial" w:eastAsia="Arial" w:hAnsi="Arial"/>
                <w:sz w:val="20"/>
                <w:szCs w:val="20"/>
                <w:color w:val="auto"/>
              </w:rPr>
              <w:t>56,899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5" w:lineRule="exact"/>
              <w:rPr>
                <w:sz w:val="20"/>
                <w:szCs w:val="20"/>
                <w:color w:val="auto"/>
              </w:rPr>
            </w:pPr>
            <w:r>
              <w:rPr>
                <w:rFonts w:ascii="Arial" w:cs="Arial" w:eastAsia="Arial" w:hAnsi="Arial"/>
                <w:sz w:val="20"/>
                <w:szCs w:val="20"/>
                <w:color w:val="auto"/>
              </w:rPr>
              <w:t>32,716</w:t>
            </w:r>
          </w:p>
        </w:tc>
      </w:tr>
      <w:tr>
        <w:trPr>
          <w:trHeight w:val="229"/>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Notes payable</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2,500</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60" w:type="dxa"/>
            <w:vAlign w:val="bottom"/>
            <w:gridSpan w:val="3"/>
          </w:tcPr>
          <w:p>
            <w:pPr>
              <w:ind w:left="200"/>
              <w:spacing w:after="0" w:line="228" w:lineRule="exact"/>
              <w:rPr>
                <w:sz w:val="20"/>
                <w:szCs w:val="20"/>
                <w:color w:val="auto"/>
              </w:rPr>
            </w:pPr>
            <w:r>
              <w:rPr>
                <w:rFonts w:ascii="Arial" w:cs="Arial" w:eastAsia="Arial" w:hAnsi="Arial"/>
                <w:sz w:val="20"/>
                <w:szCs w:val="20"/>
                <w:color w:val="auto"/>
              </w:rPr>
              <w:t>Income taxes payable</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1,227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3,207</w:t>
            </w:r>
          </w:p>
        </w:tc>
      </w:tr>
      <w:tr>
        <w:trPr>
          <w:trHeight w:val="218"/>
        </w:trPr>
        <w:tc>
          <w:tcPr>
            <w:tcW w:w="6940" w:type="dxa"/>
            <w:vAlign w:val="bottom"/>
            <w:tcBorders>
              <w:top w:val="single" w:sz="8" w:color="E9E9E9"/>
            </w:tcBorders>
            <w:shd w:val="clear" w:color="auto" w:fill="E9E9E9"/>
          </w:tcPr>
          <w:p>
            <w:pPr>
              <w:ind w:left="400"/>
              <w:spacing w:after="0" w:line="217" w:lineRule="exact"/>
              <w:rPr>
                <w:sz w:val="20"/>
                <w:szCs w:val="20"/>
                <w:color w:val="auto"/>
              </w:rPr>
            </w:pPr>
            <w:r>
              <w:rPr>
                <w:rFonts w:ascii="Arial" w:cs="Arial" w:eastAsia="Arial" w:hAnsi="Arial"/>
                <w:sz w:val="20"/>
                <w:szCs w:val="20"/>
                <w:color w:val="auto"/>
              </w:rPr>
              <w:t>Total current liabilities</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54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203,106</w:t>
            </w: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520" w:type="dxa"/>
            <w:vAlign w:val="bottom"/>
            <w:tcBorders>
              <w:top w:val="single" w:sz="8" w:color="auto"/>
            </w:tcBorders>
            <w:shd w:val="clear" w:color="auto" w:fill="E9E9E9"/>
          </w:tcPr>
          <w:p>
            <w:pPr>
              <w:spacing w:after="0"/>
              <w:rPr>
                <w:sz w:val="18"/>
                <w:szCs w:val="18"/>
                <w:color w:val="auto"/>
              </w:rPr>
            </w:pPr>
          </w:p>
        </w:tc>
        <w:tc>
          <w:tcPr>
            <w:tcW w:w="114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146,700</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r>
      <w:tr>
        <w:trPr>
          <w:trHeight w:val="228"/>
        </w:trPr>
        <w:tc>
          <w:tcPr>
            <w:tcW w:w="7060" w:type="dxa"/>
            <w:vAlign w:val="bottom"/>
            <w:gridSpan w:val="3"/>
          </w:tcPr>
          <w:p>
            <w:pPr>
              <w:spacing w:after="0" w:line="228" w:lineRule="exact"/>
              <w:rPr>
                <w:sz w:val="20"/>
                <w:szCs w:val="20"/>
                <w:color w:val="auto"/>
              </w:rPr>
            </w:pPr>
            <w:r>
              <w:rPr>
                <w:rFonts w:ascii="Arial" w:cs="Arial" w:eastAsia="Arial" w:hAnsi="Arial"/>
                <w:sz w:val="20"/>
                <w:szCs w:val="20"/>
                <w:color w:val="auto"/>
              </w:rPr>
              <w:t>Other liabilities</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12,644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15,129</w:t>
            </w:r>
          </w:p>
        </w:tc>
      </w:tr>
      <w:tr>
        <w:trPr>
          <w:trHeight w:val="228"/>
        </w:trPr>
        <w:tc>
          <w:tcPr>
            <w:tcW w:w="69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Debt, less current portion</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126,795</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107,625</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5"/>
        </w:trPr>
        <w:tc>
          <w:tcPr>
            <w:tcW w:w="7060" w:type="dxa"/>
            <w:vAlign w:val="bottom"/>
            <w:gridSpan w:val="3"/>
          </w:tcPr>
          <w:p>
            <w:pPr>
              <w:spacing w:after="0" w:line="225" w:lineRule="exact"/>
              <w:rPr>
                <w:sz w:val="20"/>
                <w:szCs w:val="20"/>
                <w:color w:val="auto"/>
              </w:rPr>
            </w:pPr>
            <w:r>
              <w:rPr>
                <w:rFonts w:ascii="Arial" w:cs="Arial" w:eastAsia="Arial" w:hAnsi="Arial"/>
                <w:sz w:val="20"/>
                <w:szCs w:val="20"/>
                <w:color w:val="auto"/>
              </w:rPr>
              <w:t>Deferred income tax liability, net</w:t>
            </w:r>
          </w:p>
        </w:tc>
        <w:tc>
          <w:tcPr>
            <w:tcW w:w="100" w:type="dxa"/>
            <w:vAlign w:val="bottom"/>
          </w:tcPr>
          <w:p>
            <w:pPr>
              <w:spacing w:after="0"/>
              <w:rPr>
                <w:sz w:val="19"/>
                <w:szCs w:val="19"/>
                <w:color w:val="auto"/>
              </w:rPr>
            </w:pPr>
          </w:p>
        </w:tc>
        <w:tc>
          <w:tcPr>
            <w:tcW w:w="1540" w:type="dxa"/>
            <w:vAlign w:val="bottom"/>
          </w:tcPr>
          <w:p>
            <w:pPr>
              <w:jc w:val="right"/>
              <w:spacing w:after="0" w:line="225" w:lineRule="exact"/>
              <w:rPr>
                <w:sz w:val="20"/>
                <w:szCs w:val="20"/>
                <w:color w:val="auto"/>
              </w:rPr>
            </w:pPr>
            <w:r>
              <w:rPr>
                <w:rFonts w:ascii="Arial" w:cs="Arial" w:eastAsia="Arial" w:hAnsi="Arial"/>
                <w:sz w:val="20"/>
                <w:szCs w:val="20"/>
                <w:color w:val="auto"/>
              </w:rPr>
              <w:t>8,838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5" w:lineRule="exact"/>
              <w:rPr>
                <w:sz w:val="20"/>
                <w:szCs w:val="20"/>
                <w:color w:val="auto"/>
              </w:rPr>
            </w:pPr>
            <w:r>
              <w:rPr>
                <w:rFonts w:ascii="Arial" w:cs="Arial" w:eastAsia="Arial" w:hAnsi="Arial"/>
                <w:sz w:val="20"/>
                <w:szCs w:val="20"/>
                <w:color w:val="auto"/>
              </w:rPr>
              <w:t>8,666</w:t>
            </w:r>
          </w:p>
        </w:tc>
      </w:tr>
      <w:tr>
        <w:trPr>
          <w:trHeight w:val="228"/>
        </w:trPr>
        <w:tc>
          <w:tcPr>
            <w:tcW w:w="69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Operating lease liabilities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11,417</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8,453</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18"/>
        </w:trPr>
        <w:tc>
          <w:tcPr>
            <w:tcW w:w="7060" w:type="dxa"/>
            <w:vAlign w:val="bottom"/>
            <w:tcBorders>
              <w:bottom w:val="single" w:sz="8" w:color="E9E9E9"/>
            </w:tcBorders>
            <w:gridSpan w:val="3"/>
          </w:tcPr>
          <w:p>
            <w:pPr>
              <w:ind w:left="400"/>
              <w:spacing w:after="0" w:line="217" w:lineRule="exact"/>
              <w:rPr>
                <w:sz w:val="20"/>
                <w:szCs w:val="20"/>
                <w:color w:val="auto"/>
              </w:rPr>
            </w:pPr>
            <w:r>
              <w:rPr>
                <w:rFonts w:ascii="Arial" w:cs="Arial" w:eastAsia="Arial" w:hAnsi="Arial"/>
                <w:sz w:val="20"/>
                <w:szCs w:val="20"/>
                <w:color w:val="auto"/>
              </w:rPr>
              <w:t>Total liabilities</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362,800</w:t>
            </w:r>
          </w:p>
        </w:tc>
        <w:tc>
          <w:tcPr>
            <w:tcW w:w="120" w:type="dxa"/>
            <w:vAlign w:val="bottom"/>
            <w:tcBorders>
              <w:bottom w:val="single" w:sz="8" w:color="E9E9E9"/>
            </w:tcBorders>
          </w:tcPr>
          <w:p>
            <w:pPr>
              <w:spacing w:after="0"/>
              <w:rPr>
                <w:sz w:val="18"/>
                <w:szCs w:val="18"/>
                <w:color w:val="auto"/>
              </w:rPr>
            </w:pPr>
          </w:p>
        </w:tc>
        <w:tc>
          <w:tcPr>
            <w:tcW w:w="80" w:type="dxa"/>
            <w:vAlign w:val="bottom"/>
            <w:tcBorders>
              <w:bottom w:val="single" w:sz="8" w:color="E9E9E9"/>
            </w:tcBorders>
          </w:tcPr>
          <w:p>
            <w:pPr>
              <w:spacing w:after="0"/>
              <w:rPr>
                <w:sz w:val="18"/>
                <w:szCs w:val="18"/>
                <w:color w:val="auto"/>
              </w:rPr>
            </w:pPr>
          </w:p>
        </w:tc>
        <w:tc>
          <w:tcPr>
            <w:tcW w:w="20" w:type="dxa"/>
            <w:vAlign w:val="bottom"/>
            <w:tcBorders>
              <w:bottom w:val="single" w:sz="8" w:color="E9E9E9"/>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286,573</w:t>
            </w:r>
          </w:p>
        </w:tc>
        <w:tc>
          <w:tcPr>
            <w:tcW w:w="20" w:type="dxa"/>
            <w:vAlign w:val="bottom"/>
            <w:tcBorders>
              <w:bottom w:val="single" w:sz="8" w:color="E9E9E9"/>
            </w:tcBorders>
          </w:tcPr>
          <w:p>
            <w:pPr>
              <w:spacing w:after="0"/>
              <w:rPr>
                <w:sz w:val="18"/>
                <w:szCs w:val="18"/>
                <w:color w:val="auto"/>
              </w:rPr>
            </w:pPr>
          </w:p>
        </w:tc>
        <w:tc>
          <w:tcPr>
            <w:tcW w:w="80" w:type="dxa"/>
            <w:vAlign w:val="bottom"/>
            <w:tcBorders>
              <w:bottom w:val="single" w:sz="8" w:color="E9E9E9"/>
            </w:tcBorders>
          </w:tcPr>
          <w:p>
            <w:pPr>
              <w:spacing w:after="0"/>
              <w:rPr>
                <w:sz w:val="18"/>
                <w:szCs w:val="18"/>
                <w:color w:val="auto"/>
              </w:rPr>
            </w:pPr>
          </w:p>
        </w:tc>
      </w:tr>
      <w:tr>
        <w:trPr>
          <w:trHeight w:val="218"/>
        </w:trPr>
        <w:tc>
          <w:tcPr>
            <w:tcW w:w="694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Commitments and contingencies (See Note 12)</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54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520" w:type="dxa"/>
            <w:vAlign w:val="bottom"/>
            <w:shd w:val="clear" w:color="auto" w:fill="E9E9E9"/>
          </w:tcPr>
          <w:p>
            <w:pPr>
              <w:spacing w:after="0"/>
              <w:rPr>
                <w:sz w:val="18"/>
                <w:szCs w:val="18"/>
                <w:color w:val="auto"/>
              </w:rPr>
            </w:pPr>
          </w:p>
        </w:tc>
        <w:tc>
          <w:tcPr>
            <w:tcW w:w="11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28"/>
        </w:trPr>
        <w:tc>
          <w:tcPr>
            <w:tcW w:w="7060" w:type="dxa"/>
            <w:vAlign w:val="bottom"/>
            <w:gridSpan w:val="3"/>
          </w:tcPr>
          <w:p>
            <w:pPr>
              <w:spacing w:after="0" w:line="228" w:lineRule="exact"/>
              <w:rPr>
                <w:sz w:val="20"/>
                <w:szCs w:val="20"/>
                <w:color w:val="auto"/>
              </w:rPr>
            </w:pPr>
            <w:r>
              <w:rPr>
                <w:rFonts w:ascii="Arial" w:cs="Arial" w:eastAsia="Arial" w:hAnsi="Arial"/>
                <w:sz w:val="20"/>
                <w:szCs w:val="20"/>
                <w:color w:val="auto"/>
              </w:rPr>
              <w:t>Shareholders’ equity:</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Preferred stock, $.01 par value; 10,000 shares authorized, none issued</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7"/>
        </w:trPr>
        <w:tc>
          <w:tcPr>
            <w:tcW w:w="7060" w:type="dxa"/>
            <w:vAlign w:val="bottom"/>
            <w:gridSpan w:val="3"/>
          </w:tcPr>
          <w:p>
            <w:pPr>
              <w:ind w:left="200"/>
              <w:spacing w:after="0" w:line="228" w:lineRule="exact"/>
              <w:rPr>
                <w:sz w:val="20"/>
                <w:szCs w:val="20"/>
                <w:color w:val="auto"/>
              </w:rPr>
            </w:pPr>
            <w:r>
              <w:rPr>
                <w:rFonts w:ascii="Arial" w:cs="Arial" w:eastAsia="Arial" w:hAnsi="Arial"/>
                <w:sz w:val="20"/>
                <w:szCs w:val="20"/>
                <w:color w:val="auto"/>
                <w:w w:val="96"/>
              </w:rPr>
              <w:t>Common stock, $.01 par value; 100,000,000 shares authorized, 34,835,293 and</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7060" w:type="dxa"/>
            <w:vAlign w:val="bottom"/>
            <w:gridSpan w:val="3"/>
          </w:tcPr>
          <w:p>
            <w:pPr>
              <w:ind w:left="340"/>
              <w:spacing w:after="0" w:line="229" w:lineRule="exact"/>
              <w:rPr>
                <w:sz w:val="20"/>
                <w:szCs w:val="20"/>
                <w:color w:val="auto"/>
              </w:rPr>
            </w:pPr>
            <w:r>
              <w:rPr>
                <w:rFonts w:ascii="Arial" w:cs="Arial" w:eastAsia="Arial" w:hAnsi="Arial"/>
                <w:sz w:val="20"/>
                <w:szCs w:val="20"/>
                <w:color w:val="auto"/>
              </w:rPr>
              <w:t>34,381,668 shares issued and outstanding at December 31, 2023</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7060" w:type="dxa"/>
            <w:vAlign w:val="bottom"/>
            <w:gridSpan w:val="3"/>
          </w:tcPr>
          <w:p>
            <w:pPr>
              <w:ind w:left="300"/>
              <w:spacing w:after="0" w:line="226" w:lineRule="exact"/>
              <w:rPr>
                <w:sz w:val="20"/>
                <w:szCs w:val="20"/>
                <w:color w:val="auto"/>
              </w:rPr>
            </w:pPr>
            <w:r>
              <w:rPr>
                <w:rFonts w:ascii="Arial" w:cs="Arial" w:eastAsia="Arial" w:hAnsi="Arial"/>
                <w:sz w:val="20"/>
                <w:szCs w:val="20"/>
                <w:color w:val="auto"/>
              </w:rPr>
              <w:t>and 2022, respectively</w:t>
            </w:r>
          </w:p>
        </w:tc>
        <w:tc>
          <w:tcPr>
            <w:tcW w:w="100" w:type="dxa"/>
            <w:vAlign w:val="bottom"/>
          </w:tcPr>
          <w:p>
            <w:pPr>
              <w:spacing w:after="0"/>
              <w:rPr>
                <w:sz w:val="19"/>
                <w:szCs w:val="19"/>
                <w:color w:val="auto"/>
              </w:rPr>
            </w:pPr>
          </w:p>
        </w:tc>
        <w:tc>
          <w:tcPr>
            <w:tcW w:w="1540" w:type="dxa"/>
            <w:vAlign w:val="bottom"/>
          </w:tcPr>
          <w:p>
            <w:pPr>
              <w:jc w:val="right"/>
              <w:spacing w:after="0" w:line="226" w:lineRule="exact"/>
              <w:rPr>
                <w:sz w:val="20"/>
                <w:szCs w:val="20"/>
                <w:color w:val="auto"/>
              </w:rPr>
            </w:pPr>
            <w:r>
              <w:rPr>
                <w:rFonts w:ascii="Arial" w:cs="Arial" w:eastAsia="Arial" w:hAnsi="Arial"/>
                <w:sz w:val="20"/>
                <w:szCs w:val="20"/>
                <w:color w:val="auto"/>
              </w:rPr>
              <w:t>348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6" w:lineRule="exact"/>
              <w:rPr>
                <w:sz w:val="20"/>
                <w:szCs w:val="20"/>
                <w:color w:val="auto"/>
              </w:rPr>
            </w:pPr>
            <w:r>
              <w:rPr>
                <w:rFonts w:ascii="Arial" w:cs="Arial" w:eastAsia="Arial" w:hAnsi="Arial"/>
                <w:sz w:val="20"/>
                <w:szCs w:val="20"/>
                <w:color w:val="auto"/>
              </w:rPr>
              <w:t>344</w:t>
            </w:r>
          </w:p>
        </w:tc>
      </w:tr>
      <w:tr>
        <w:trPr>
          <w:trHeight w:val="229"/>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Capital in excess of par value</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254,956</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250,174</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60" w:type="dxa"/>
            <w:vAlign w:val="bottom"/>
            <w:gridSpan w:val="3"/>
          </w:tcPr>
          <w:p>
            <w:pPr>
              <w:ind w:left="200"/>
              <w:spacing w:after="0" w:line="228" w:lineRule="exact"/>
              <w:rPr>
                <w:sz w:val="20"/>
                <w:szCs w:val="20"/>
                <w:color w:val="auto"/>
              </w:rPr>
            </w:pPr>
            <w:r>
              <w:rPr>
                <w:rFonts w:ascii="Arial" w:cs="Arial" w:eastAsia="Arial" w:hAnsi="Arial"/>
                <w:sz w:val="20"/>
                <w:szCs w:val="20"/>
                <w:color w:val="auto"/>
              </w:rPr>
              <w:t>Accumulated loss</w:t>
            </w:r>
          </w:p>
        </w:tc>
        <w:tc>
          <w:tcPr>
            <w:tcW w:w="100" w:type="dxa"/>
            <w:vAlign w:val="bottom"/>
          </w:tcPr>
          <w:p>
            <w:pPr>
              <w:spacing w:after="0"/>
              <w:rPr>
                <w:sz w:val="19"/>
                <w:szCs w:val="19"/>
                <w:color w:val="auto"/>
              </w:rPr>
            </w:pPr>
          </w:p>
        </w:tc>
        <w:tc>
          <w:tcPr>
            <w:tcW w:w="166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auto"/>
              </w:rPr>
              <w:t>(6,387)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(19,298)</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Accumulated other comprehensive loss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(16,274)</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(17,996)</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18"/>
        </w:trPr>
        <w:tc>
          <w:tcPr>
            <w:tcW w:w="7060" w:type="dxa"/>
            <w:vAlign w:val="bottom"/>
            <w:tcBorders>
              <w:bottom w:val="single" w:sz="8" w:color="E9E9E9"/>
            </w:tcBorders>
            <w:gridSpan w:val="3"/>
          </w:tcPr>
          <w:p>
            <w:pPr>
              <w:ind w:left="400"/>
              <w:spacing w:after="0" w:line="217" w:lineRule="exact"/>
              <w:rPr>
                <w:sz w:val="20"/>
                <w:szCs w:val="20"/>
                <w:color w:val="auto"/>
              </w:rPr>
            </w:pPr>
            <w:r>
              <w:rPr>
                <w:rFonts w:ascii="Arial" w:cs="Arial" w:eastAsia="Arial" w:hAnsi="Arial"/>
                <w:sz w:val="20"/>
                <w:szCs w:val="20"/>
                <w:color w:val="auto"/>
              </w:rPr>
              <w:t>Total CECO shareholders’ equity</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232,643</w:t>
            </w:r>
          </w:p>
        </w:tc>
        <w:tc>
          <w:tcPr>
            <w:tcW w:w="120" w:type="dxa"/>
            <w:vAlign w:val="bottom"/>
            <w:tcBorders>
              <w:bottom w:val="single" w:sz="8" w:color="E9E9E9"/>
            </w:tcBorders>
          </w:tcPr>
          <w:p>
            <w:pPr>
              <w:spacing w:after="0"/>
              <w:rPr>
                <w:sz w:val="18"/>
                <w:szCs w:val="18"/>
                <w:color w:val="auto"/>
              </w:rPr>
            </w:pPr>
          </w:p>
        </w:tc>
        <w:tc>
          <w:tcPr>
            <w:tcW w:w="80" w:type="dxa"/>
            <w:vAlign w:val="bottom"/>
            <w:tcBorders>
              <w:bottom w:val="single" w:sz="8" w:color="E9E9E9"/>
            </w:tcBorders>
          </w:tcPr>
          <w:p>
            <w:pPr>
              <w:spacing w:after="0"/>
              <w:rPr>
                <w:sz w:val="18"/>
                <w:szCs w:val="18"/>
                <w:color w:val="auto"/>
              </w:rPr>
            </w:pPr>
          </w:p>
        </w:tc>
        <w:tc>
          <w:tcPr>
            <w:tcW w:w="20" w:type="dxa"/>
            <w:vAlign w:val="bottom"/>
            <w:tcBorders>
              <w:bottom w:val="single" w:sz="8" w:color="E9E9E9"/>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213,224</w:t>
            </w:r>
          </w:p>
        </w:tc>
        <w:tc>
          <w:tcPr>
            <w:tcW w:w="20" w:type="dxa"/>
            <w:vAlign w:val="bottom"/>
            <w:tcBorders>
              <w:bottom w:val="single" w:sz="8" w:color="E9E9E9"/>
            </w:tcBorders>
          </w:tcPr>
          <w:p>
            <w:pPr>
              <w:spacing w:after="0"/>
              <w:rPr>
                <w:sz w:val="18"/>
                <w:szCs w:val="18"/>
                <w:color w:val="auto"/>
              </w:rPr>
            </w:pPr>
          </w:p>
        </w:tc>
        <w:tc>
          <w:tcPr>
            <w:tcW w:w="80" w:type="dxa"/>
            <w:vAlign w:val="bottom"/>
            <w:tcBorders>
              <w:bottom w:val="single" w:sz="8" w:color="E9E9E9"/>
            </w:tcBorders>
          </w:tcPr>
          <w:p>
            <w:pPr>
              <w:spacing w:after="0"/>
              <w:rPr>
                <w:sz w:val="18"/>
                <w:szCs w:val="18"/>
                <w:color w:val="auto"/>
              </w:rPr>
            </w:pPr>
          </w:p>
        </w:tc>
      </w:tr>
      <w:tr>
        <w:trPr>
          <w:trHeight w:val="218"/>
        </w:trPr>
        <w:tc>
          <w:tcPr>
            <w:tcW w:w="6940" w:type="dxa"/>
            <w:vAlign w:val="bottom"/>
            <w:shd w:val="clear" w:color="auto" w:fill="E9E9E9"/>
          </w:tcPr>
          <w:p>
            <w:pPr>
              <w:ind w:left="580"/>
              <w:spacing w:after="0" w:line="217" w:lineRule="exact"/>
              <w:rPr>
                <w:sz w:val="20"/>
                <w:szCs w:val="20"/>
                <w:color w:val="auto"/>
              </w:rPr>
            </w:pPr>
            <w:r>
              <w:rPr>
                <w:rFonts w:ascii="Arial" w:cs="Arial" w:eastAsia="Arial" w:hAnsi="Arial"/>
                <w:sz w:val="20"/>
                <w:szCs w:val="20"/>
                <w:color w:val="auto"/>
              </w:rPr>
              <w:t>Noncontrolling interest</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54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4,848</w:t>
            </w: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520" w:type="dxa"/>
            <w:vAlign w:val="bottom"/>
            <w:shd w:val="clear" w:color="auto" w:fill="E9E9E9"/>
          </w:tcPr>
          <w:p>
            <w:pPr>
              <w:spacing w:after="0"/>
              <w:rPr>
                <w:sz w:val="18"/>
                <w:szCs w:val="18"/>
                <w:color w:val="auto"/>
              </w:rPr>
            </w:pPr>
          </w:p>
        </w:tc>
        <w:tc>
          <w:tcPr>
            <w:tcW w:w="114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4,924</w:t>
            </w: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28"/>
        </w:trPr>
        <w:tc>
          <w:tcPr>
            <w:tcW w:w="7060" w:type="dxa"/>
            <w:vAlign w:val="bottom"/>
            <w:tcBorders>
              <w:bottom w:val="single" w:sz="8" w:color="E9E9E9"/>
            </w:tcBorders>
            <w:gridSpan w:val="3"/>
          </w:tcPr>
          <w:p>
            <w:pPr>
              <w:ind w:left="400"/>
              <w:spacing w:after="0" w:line="228" w:lineRule="exact"/>
              <w:rPr>
                <w:sz w:val="20"/>
                <w:szCs w:val="20"/>
                <w:color w:val="auto"/>
              </w:rPr>
            </w:pPr>
            <w:r>
              <w:rPr>
                <w:rFonts w:ascii="Arial" w:cs="Arial" w:eastAsia="Arial" w:hAnsi="Arial"/>
                <w:sz w:val="20"/>
                <w:szCs w:val="20"/>
                <w:color w:val="auto"/>
              </w:rPr>
              <w:t>Total shareholders' equity</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237,491</w:t>
            </w:r>
          </w:p>
        </w:tc>
        <w:tc>
          <w:tcPr>
            <w:tcW w:w="120" w:type="dxa"/>
            <w:vAlign w:val="bottom"/>
            <w:tcBorders>
              <w:bottom w:val="single" w:sz="8" w:color="E9E9E9"/>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218,148</w:t>
            </w:r>
          </w:p>
        </w:tc>
        <w:tc>
          <w:tcPr>
            <w:tcW w:w="20" w:type="dxa"/>
            <w:vAlign w:val="bottom"/>
            <w:tcBorders>
              <w:bottom w:val="single" w:sz="8" w:color="E9E9E9"/>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r>
      <w:tr>
        <w:trPr>
          <w:trHeight w:val="218"/>
        </w:trPr>
        <w:tc>
          <w:tcPr>
            <w:tcW w:w="6940" w:type="dxa"/>
            <w:vAlign w:val="bottom"/>
            <w:shd w:val="clear" w:color="auto" w:fill="E9E9E9"/>
          </w:tcPr>
          <w:p>
            <w:pPr>
              <w:ind w:left="580"/>
              <w:spacing w:after="0" w:line="217" w:lineRule="exact"/>
              <w:rPr>
                <w:sz w:val="20"/>
                <w:szCs w:val="20"/>
                <w:color w:val="auto"/>
              </w:rPr>
            </w:pPr>
            <w:r>
              <w:rPr>
                <w:rFonts w:ascii="Arial" w:cs="Arial" w:eastAsia="Arial" w:hAnsi="Arial"/>
                <w:sz w:val="20"/>
                <w:szCs w:val="20"/>
                <w:color w:val="auto"/>
              </w:rPr>
              <w:t>Total liabilities and shareholders’ equity</w:t>
            </w:r>
          </w:p>
        </w:tc>
        <w:tc>
          <w:tcPr>
            <w:tcW w:w="100" w:type="dxa"/>
            <w:vAlign w:val="bottom"/>
            <w:shd w:val="clear" w:color="auto" w:fill="E9E9E9"/>
          </w:tcPr>
          <w:p>
            <w:pPr>
              <w:spacing w:after="0"/>
              <w:rPr>
                <w:sz w:val="18"/>
                <w:szCs w:val="18"/>
                <w:color w:val="auto"/>
              </w:rPr>
            </w:pPr>
          </w:p>
        </w:tc>
        <w:tc>
          <w:tcPr>
            <w:tcW w:w="20" w:type="dxa"/>
            <w:vAlign w:val="bottom"/>
            <w:tcBorders>
              <w:bottom w:val="single" w:sz="8" w:color="auto"/>
            </w:tcBorders>
            <w:shd w:val="clear" w:color="auto" w:fill="E9E9E9"/>
          </w:tcPr>
          <w:p>
            <w:pPr>
              <w:spacing w:after="0"/>
              <w:rPr>
                <w:sz w:val="18"/>
                <w:szCs w:val="18"/>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600,291</w:t>
            </w: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tcBorders>
              <w:bottom w:val="single" w:sz="8" w:color="auto"/>
            </w:tcBorders>
            <w:shd w:val="clear" w:color="auto" w:fill="E9E9E9"/>
          </w:tcPr>
          <w:p>
            <w:pPr>
              <w:spacing w:after="0"/>
              <w:rPr>
                <w:sz w:val="18"/>
                <w:szCs w:val="18"/>
                <w:color w:val="auto"/>
              </w:rPr>
            </w:pPr>
          </w:p>
        </w:tc>
        <w:tc>
          <w:tcPr>
            <w:tcW w:w="520" w:type="dxa"/>
            <w:vAlign w:val="bottom"/>
            <w:tcBorders>
              <w:bottom w:val="single" w:sz="8" w:color="auto"/>
            </w:tcBorders>
            <w:shd w:val="clear" w:color="auto" w:fill="E9E9E9"/>
          </w:tcPr>
          <w:p>
            <w:pPr>
              <w:jc w:val="right"/>
              <w:ind w:right="321"/>
              <w:spacing w:after="0" w:line="217"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504,721</w:t>
            </w:r>
          </w:p>
        </w:tc>
        <w:tc>
          <w:tcPr>
            <w:tcW w:w="20" w:type="dxa"/>
            <w:vAlign w:val="bottom"/>
            <w:tcBorders>
              <w:bottom w:val="single" w:sz="8" w:color="auto"/>
            </w:tcBorders>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-6738620</wp:posOffset>
                </wp:positionV>
                <wp:extent cx="7112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530.5999pt" to="534.4pt,-530.5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-5308600</wp:posOffset>
                </wp:positionV>
                <wp:extent cx="7112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418pt" to="534.4pt,-418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-4144645</wp:posOffset>
                </wp:positionV>
                <wp:extent cx="7112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326.3499pt" to="534.4pt,-326.3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-2080895</wp:posOffset>
                </wp:positionV>
                <wp:extent cx="7112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63.8499pt" to="534.4pt,-163.8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-621030</wp:posOffset>
                </wp:positionV>
                <wp:extent cx="7112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48.8999pt" to="534.4pt,-48.8999pt" o:allowincell="f" strokecolor="#FFFFFF" strokeweight="0.4751pt"/>
            </w:pict>
          </mc:Fallback>
        </mc:AlternateConten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w:t>
      </w:r>
    </w:p>
    <w:p>
      <w:pPr>
        <w:sectPr>
          <w:pgSz w:w="11880" w:h="15480" w:orient="portrait"/>
          <w:cols w:equalWidth="0" w:num="1">
            <w:col w:w="10680"/>
          </w:cols>
          <w:pgMar w:left="600" w:top="837" w:right="600" w:bottom="46"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CECO ENVIRONMENTAL CORP. AND SUBSIDIARIES</w:t>
      </w:r>
    </w:p>
    <w:p>
      <w:pPr>
        <w:jc w:val="center"/>
        <w:spacing w:after="0" w:line="235" w:lineRule="auto"/>
        <w:rPr>
          <w:sz w:val="20"/>
          <w:szCs w:val="20"/>
          <w:color w:val="auto"/>
        </w:rPr>
      </w:pPr>
      <w:r>
        <w:rPr>
          <w:rFonts w:ascii="Arial" w:cs="Arial" w:eastAsia="Arial" w:hAnsi="Arial"/>
          <w:sz w:val="20"/>
          <w:szCs w:val="20"/>
          <w:b w:val="1"/>
          <w:bCs w:val="1"/>
          <w:color w:val="auto"/>
        </w:rPr>
        <w:t>CONSOLIDATED STATEMENTS OF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780" w:type="dxa"/>
            <w:vAlign w:val="bottom"/>
            <w:tcBorders>
              <w:bottom w:val="single" w:sz="8" w:color="E9E9E9"/>
            </w:tcBorders>
          </w:tcPr>
          <w:p>
            <w:pPr>
              <w:spacing w:after="0" w:line="172" w:lineRule="exact"/>
              <w:rPr>
                <w:sz w:val="20"/>
                <w:szCs w:val="20"/>
                <w:color w:val="auto"/>
              </w:rPr>
            </w:pPr>
            <w:r>
              <w:rPr>
                <w:rFonts w:ascii="Arial" w:cs="Arial" w:eastAsia="Arial" w:hAnsi="Arial"/>
                <w:sz w:val="16"/>
                <w:szCs w:val="16"/>
                <w:b w:val="1"/>
                <w:bCs w:val="1"/>
                <w:color w:val="auto"/>
              </w:rPr>
              <w:t>(dollars in thousands, except share and per share data)</w:t>
            </w:r>
          </w:p>
        </w:tc>
        <w:tc>
          <w:tcPr>
            <w:tcW w:w="10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2"/>
              <w:spacing w:after="0" w:line="172"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14"/>
                <w:szCs w:val="14"/>
                <w:color w:val="auto"/>
              </w:rPr>
            </w:pPr>
          </w:p>
        </w:tc>
        <w:tc>
          <w:tcPr>
            <w:tcW w:w="100" w:type="dxa"/>
            <w:vAlign w:val="bottom"/>
            <w:tcBorders>
              <w:bottom w:val="single" w:sz="8" w:color="E9E9E9"/>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2"/>
              <w:spacing w:after="0" w:line="172" w:lineRule="exact"/>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62"/>
              <w:spacing w:after="0" w:line="172"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E9E9E9"/>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Net sales</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544,845</w:t>
            </w: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422,627</w:t>
            </w:r>
          </w:p>
        </w:tc>
        <w:tc>
          <w:tcPr>
            <w:tcW w:w="200" w:type="dxa"/>
            <w:vAlign w:val="bottom"/>
            <w:shd w:val="clear" w:color="auto" w:fill="E9E9E9"/>
          </w:tcPr>
          <w:p>
            <w:pPr>
              <w:spacing w:after="0"/>
              <w:rPr>
                <w:sz w:val="18"/>
                <w:szCs w:val="18"/>
                <w:color w:val="auto"/>
              </w:rPr>
            </w:pPr>
          </w:p>
        </w:tc>
        <w:tc>
          <w:tcPr>
            <w:tcW w:w="120" w:type="dxa"/>
            <w:vAlign w:val="bottom"/>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324,140</w:t>
            </w: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Cost of sales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
              <w:spacing w:after="0" w:line="228" w:lineRule="exact"/>
              <w:rPr>
                <w:sz w:val="20"/>
                <w:szCs w:val="20"/>
                <w:color w:val="auto"/>
              </w:rPr>
            </w:pPr>
            <w:r>
              <w:rPr>
                <w:rFonts w:ascii="Arial" w:cs="Arial" w:eastAsia="Arial" w:hAnsi="Arial"/>
                <w:sz w:val="20"/>
                <w:szCs w:val="20"/>
                <w:color w:val="auto"/>
              </w:rPr>
              <w:t>373,829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294,402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line="228" w:lineRule="exact"/>
              <w:rPr>
                <w:sz w:val="20"/>
                <w:szCs w:val="20"/>
                <w:color w:val="auto"/>
              </w:rPr>
            </w:pPr>
            <w:r>
              <w:rPr>
                <w:rFonts w:ascii="Arial" w:cs="Arial" w:eastAsia="Arial" w:hAnsi="Arial"/>
                <w:sz w:val="20"/>
                <w:szCs w:val="20"/>
                <w:color w:val="auto"/>
              </w:rPr>
              <w:t>223,218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8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Gross profit</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171,016</w:t>
            </w: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128,225</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100,922</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80" w:type="dxa"/>
            <w:vAlign w:val="bottom"/>
          </w:tcPr>
          <w:p>
            <w:pPr>
              <w:spacing w:after="0" w:line="225" w:lineRule="exact"/>
              <w:rPr>
                <w:sz w:val="20"/>
                <w:szCs w:val="20"/>
                <w:color w:val="auto"/>
              </w:rPr>
            </w:pPr>
            <w:r>
              <w:rPr>
                <w:rFonts w:ascii="Arial" w:cs="Arial" w:eastAsia="Arial" w:hAnsi="Arial"/>
                <w:sz w:val="20"/>
                <w:szCs w:val="20"/>
                <w:color w:val="auto"/>
              </w:rPr>
              <w:t>Selling and administrative expenses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
              <w:spacing w:after="0" w:line="225" w:lineRule="exact"/>
              <w:rPr>
                <w:sz w:val="20"/>
                <w:szCs w:val="20"/>
                <w:color w:val="auto"/>
              </w:rPr>
            </w:pPr>
            <w:r>
              <w:rPr>
                <w:rFonts w:ascii="Arial" w:cs="Arial" w:eastAsia="Arial" w:hAnsi="Arial"/>
                <w:sz w:val="20"/>
                <w:szCs w:val="20"/>
                <w:color w:val="auto"/>
              </w:rPr>
              <w:t>122,944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0"/>
              <w:spacing w:after="0" w:line="225" w:lineRule="exact"/>
              <w:rPr>
                <w:sz w:val="20"/>
                <w:szCs w:val="20"/>
                <w:color w:val="auto"/>
              </w:rPr>
            </w:pPr>
            <w:r>
              <w:rPr>
                <w:rFonts w:ascii="Arial" w:cs="Arial" w:eastAsia="Arial" w:hAnsi="Arial"/>
                <w:sz w:val="20"/>
                <w:szCs w:val="20"/>
                <w:color w:val="auto"/>
              </w:rPr>
              <w:t>93,473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100"/>
              <w:spacing w:after="0" w:line="225" w:lineRule="exact"/>
              <w:rPr>
                <w:sz w:val="20"/>
                <w:szCs w:val="20"/>
                <w:color w:val="auto"/>
              </w:rPr>
            </w:pPr>
            <w:r>
              <w:rPr>
                <w:rFonts w:ascii="Arial" w:cs="Arial" w:eastAsia="Arial" w:hAnsi="Arial"/>
                <w:sz w:val="20"/>
                <w:szCs w:val="20"/>
                <w:color w:val="auto"/>
              </w:rPr>
              <w:t>81,797</w:t>
            </w:r>
          </w:p>
        </w:tc>
        <w:tc>
          <w:tcPr>
            <w:tcW w:w="0" w:type="dxa"/>
            <w:vAlign w:val="bottom"/>
          </w:tcPr>
          <w:p>
            <w:pPr>
              <w:spacing w:after="0"/>
              <w:rPr>
                <w:sz w:val="1"/>
                <w:szCs w:val="1"/>
                <w:color w:val="auto"/>
              </w:rPr>
            </w:pP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Amortization and earnout expenses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8,180</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6,809</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7,789</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Acquisition and integration expenses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
              <w:spacing w:after="0" w:line="228" w:lineRule="exact"/>
              <w:rPr>
                <w:sz w:val="20"/>
                <w:szCs w:val="20"/>
                <w:color w:val="auto"/>
              </w:rPr>
            </w:pPr>
            <w:r>
              <w:rPr>
                <w:rFonts w:ascii="Arial" w:cs="Arial" w:eastAsia="Arial" w:hAnsi="Arial"/>
                <w:sz w:val="20"/>
                <w:szCs w:val="20"/>
                <w:color w:val="auto"/>
              </w:rPr>
              <w:t>2,508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4,546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818</w:t>
            </w:r>
          </w:p>
        </w:tc>
        <w:tc>
          <w:tcPr>
            <w:tcW w:w="0" w:type="dxa"/>
            <w:vAlign w:val="bottom"/>
          </w:tcPr>
          <w:p>
            <w:pPr>
              <w:spacing w:after="0"/>
              <w:rPr>
                <w:sz w:val="1"/>
                <w:szCs w:val="1"/>
                <w:color w:val="auto"/>
              </w:rPr>
            </w:pP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Executive transition expenses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1,465</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1,161</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29</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Restructuring expenses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
              <w:spacing w:after="0" w:line="228" w:lineRule="exact"/>
              <w:rPr>
                <w:sz w:val="20"/>
                <w:szCs w:val="20"/>
                <w:color w:val="auto"/>
              </w:rPr>
            </w:pPr>
            <w:r>
              <w:rPr>
                <w:rFonts w:ascii="Arial" w:cs="Arial" w:eastAsia="Arial" w:hAnsi="Arial"/>
                <w:sz w:val="20"/>
                <w:szCs w:val="20"/>
                <w:color w:val="auto"/>
              </w:rPr>
              <w:t>1,350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632</w:t>
            </w:r>
          </w:p>
        </w:tc>
        <w:tc>
          <w:tcPr>
            <w:tcW w:w="0" w:type="dxa"/>
            <w:vAlign w:val="bottom"/>
          </w:tcPr>
          <w:p>
            <w:pPr>
              <w:spacing w:after="0"/>
              <w:rPr>
                <w:sz w:val="1"/>
                <w:szCs w:val="1"/>
                <w:color w:val="auto"/>
              </w:rPr>
            </w:pPr>
          </w:p>
        </w:tc>
      </w:tr>
      <w:tr>
        <w:trPr>
          <w:trHeight w:val="218"/>
        </w:trPr>
        <w:tc>
          <w:tcPr>
            <w:tcW w:w="578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Income from operations</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34,569</w:t>
            </w: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22,161</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9,857</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Other income (expense), net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
              <w:spacing w:after="0" w:line="228" w:lineRule="exact"/>
              <w:rPr>
                <w:sz w:val="20"/>
                <w:szCs w:val="20"/>
                <w:color w:val="auto"/>
              </w:rPr>
            </w:pPr>
            <w:r>
              <w:rPr>
                <w:rFonts w:ascii="Arial" w:cs="Arial" w:eastAsia="Arial" w:hAnsi="Arial"/>
                <w:sz w:val="20"/>
                <w:szCs w:val="20"/>
                <w:color w:val="auto"/>
              </w:rPr>
              <w:t>372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6,947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(2,231)</w:t>
            </w:r>
          </w:p>
        </w:tc>
        <w:tc>
          <w:tcPr>
            <w:tcW w:w="0" w:type="dxa"/>
            <w:vAlign w:val="bottom"/>
          </w:tcPr>
          <w:p>
            <w:pPr>
              <w:spacing w:after="0"/>
              <w:rPr>
                <w:sz w:val="1"/>
                <w:szCs w:val="1"/>
                <w:color w:val="auto"/>
              </w:rPr>
            </w:pPr>
          </w:p>
        </w:tc>
      </w:tr>
      <w:tr>
        <w:trPr>
          <w:trHeight w:val="226"/>
        </w:trPr>
        <w:tc>
          <w:tcPr>
            <w:tcW w:w="578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Interest expense</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(13,416</w:t>
            </w:r>
          </w:p>
        </w:tc>
        <w:tc>
          <w:tcPr>
            <w:tcW w:w="12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w w:val="89"/>
                <w:shd w:val="clear" w:color="auto" w:fill="E9E9E9"/>
              </w:rPr>
              <w:t>)</w:t>
            </w:r>
          </w:p>
        </w:tc>
        <w:tc>
          <w:tcPr>
            <w:tcW w:w="1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(5,419)</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(2,952)</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80" w:type="dxa"/>
            <w:vAlign w:val="bottom"/>
          </w:tcPr>
          <w:p>
            <w:pPr>
              <w:ind w:left="200"/>
              <w:spacing w:after="0" w:line="217" w:lineRule="exact"/>
              <w:rPr>
                <w:sz w:val="20"/>
                <w:szCs w:val="20"/>
                <w:color w:val="auto"/>
              </w:rPr>
            </w:pPr>
            <w:r>
              <w:rPr>
                <w:rFonts w:ascii="Arial" w:cs="Arial" w:eastAsia="Arial" w:hAnsi="Arial"/>
                <w:sz w:val="20"/>
                <w:szCs w:val="20"/>
                <w:color w:val="auto"/>
              </w:rPr>
              <w:t>Income before income taxes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
              <w:spacing w:after="0" w:line="217" w:lineRule="exact"/>
              <w:rPr>
                <w:sz w:val="20"/>
                <w:szCs w:val="20"/>
                <w:color w:val="auto"/>
              </w:rPr>
            </w:pPr>
            <w:r>
              <w:rPr>
                <w:rFonts w:ascii="Arial" w:cs="Arial" w:eastAsia="Arial" w:hAnsi="Arial"/>
                <w:sz w:val="20"/>
                <w:szCs w:val="20"/>
                <w:color w:val="auto"/>
              </w:rPr>
              <w:t>21,525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0"/>
              <w:spacing w:after="0" w:line="217" w:lineRule="exact"/>
              <w:rPr>
                <w:sz w:val="20"/>
                <w:szCs w:val="20"/>
                <w:color w:val="auto"/>
              </w:rPr>
            </w:pPr>
            <w:r>
              <w:rPr>
                <w:rFonts w:ascii="Arial" w:cs="Arial" w:eastAsia="Arial" w:hAnsi="Arial"/>
                <w:sz w:val="20"/>
                <w:szCs w:val="20"/>
                <w:color w:val="auto"/>
              </w:rPr>
              <w:t>23,689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4,674</w:t>
            </w:r>
          </w:p>
        </w:tc>
        <w:tc>
          <w:tcPr>
            <w:tcW w:w="0" w:type="dxa"/>
            <w:vAlign w:val="bottom"/>
          </w:tcPr>
          <w:p>
            <w:pPr>
              <w:spacing w:after="0"/>
              <w:rPr>
                <w:sz w:val="1"/>
                <w:szCs w:val="1"/>
                <w:color w:val="auto"/>
              </w:rPr>
            </w:pP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Income tax expense</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7,024</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5,426</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2,691</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80" w:type="dxa"/>
            <w:vAlign w:val="bottom"/>
          </w:tcPr>
          <w:p>
            <w:pPr>
              <w:ind w:left="200"/>
              <w:spacing w:after="0" w:line="217" w:lineRule="exact"/>
              <w:rPr>
                <w:sz w:val="20"/>
                <w:szCs w:val="20"/>
                <w:color w:val="auto"/>
              </w:rPr>
            </w:pPr>
            <w:r>
              <w:rPr>
                <w:rFonts w:ascii="Arial" w:cs="Arial" w:eastAsia="Arial" w:hAnsi="Arial"/>
                <w:sz w:val="20"/>
                <w:szCs w:val="20"/>
                <w:color w:val="auto"/>
              </w:rPr>
              <w:t>Net income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
              <w:spacing w:after="0" w:line="217" w:lineRule="exact"/>
              <w:rPr>
                <w:sz w:val="20"/>
                <w:szCs w:val="20"/>
                <w:color w:val="auto"/>
              </w:rPr>
            </w:pPr>
            <w:r>
              <w:rPr>
                <w:rFonts w:ascii="Arial" w:cs="Arial" w:eastAsia="Arial" w:hAnsi="Arial"/>
                <w:sz w:val="20"/>
                <w:szCs w:val="20"/>
                <w:color w:val="auto"/>
              </w:rPr>
              <w:t>14,501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0"/>
              <w:spacing w:after="0" w:line="217" w:lineRule="exact"/>
              <w:rPr>
                <w:sz w:val="20"/>
                <w:szCs w:val="20"/>
                <w:color w:val="auto"/>
              </w:rPr>
            </w:pPr>
            <w:r>
              <w:rPr>
                <w:rFonts w:ascii="Arial" w:cs="Arial" w:eastAsia="Arial" w:hAnsi="Arial"/>
                <w:sz w:val="20"/>
                <w:szCs w:val="20"/>
                <w:color w:val="auto"/>
              </w:rPr>
              <w:t>18,263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1,983</w:t>
            </w:r>
          </w:p>
        </w:tc>
        <w:tc>
          <w:tcPr>
            <w:tcW w:w="0" w:type="dxa"/>
            <w:vAlign w:val="bottom"/>
          </w:tcPr>
          <w:p>
            <w:pPr>
              <w:spacing w:after="0"/>
              <w:rPr>
                <w:sz w:val="1"/>
                <w:szCs w:val="1"/>
                <w:color w:val="auto"/>
              </w:rPr>
            </w:pPr>
          </w:p>
        </w:tc>
      </w:tr>
      <w:tr>
        <w:trPr>
          <w:trHeight w:val="228"/>
        </w:trPr>
        <w:tc>
          <w:tcPr>
            <w:tcW w:w="5780" w:type="dxa"/>
            <w:vAlign w:val="bottom"/>
            <w:tcBorders>
              <w:bottom w:val="single" w:sz="8" w:color="E9E9E9"/>
            </w:tcBorders>
            <w:shd w:val="clear" w:color="auto" w:fill="E9E9E9"/>
          </w:tcPr>
          <w:p>
            <w:pPr>
              <w:spacing w:after="0" w:line="228" w:lineRule="exact"/>
              <w:rPr>
                <w:sz w:val="20"/>
                <w:szCs w:val="20"/>
                <w:color w:val="auto"/>
              </w:rPr>
            </w:pPr>
            <w:r>
              <w:rPr>
                <w:rFonts w:ascii="Arial" w:cs="Arial" w:eastAsia="Arial" w:hAnsi="Arial"/>
                <w:sz w:val="20"/>
                <w:szCs w:val="20"/>
                <w:color w:val="auto"/>
              </w:rPr>
              <w:t>Noncontrolling interest</w:t>
            </w:r>
          </w:p>
        </w:tc>
        <w:tc>
          <w:tcPr>
            <w:tcW w:w="100" w:type="dxa"/>
            <w:vAlign w:val="bottom"/>
            <w:tcBorders>
              <w:bottom w:val="single" w:sz="8" w:color="E9E9E9"/>
            </w:tcBorders>
            <w:shd w:val="clear" w:color="auto" w:fill="E9E9E9"/>
          </w:tcPr>
          <w:p>
            <w:pPr>
              <w:spacing w:after="0"/>
              <w:rPr>
                <w:sz w:val="19"/>
                <w:szCs w:val="19"/>
                <w:color w:val="auto"/>
              </w:rPr>
            </w:pPr>
          </w:p>
        </w:tc>
        <w:tc>
          <w:tcPr>
            <w:tcW w:w="20" w:type="dxa"/>
            <w:vAlign w:val="bottom"/>
            <w:tcBorders>
              <w:bottom w:val="single" w:sz="8" w:color="E9E9E9"/>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(1,590</w:t>
            </w:r>
          </w:p>
        </w:tc>
        <w:tc>
          <w:tcPr>
            <w:tcW w:w="120" w:type="dxa"/>
            <w:vAlign w:val="bottom"/>
            <w:tcBorders>
              <w:bottom w:val="single" w:sz="8" w:color="E9E9E9"/>
            </w:tcBorders>
            <w:shd w:val="clear" w:color="auto" w:fill="E9E9E9"/>
          </w:tcPr>
          <w:p>
            <w:pPr>
              <w:jc w:val="right"/>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100" w:type="dxa"/>
            <w:vAlign w:val="bottom"/>
            <w:tcBorders>
              <w:bottom w:val="single" w:sz="8" w:color="E9E9E9"/>
            </w:tcBorders>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(846)</w:t>
            </w:r>
          </w:p>
        </w:tc>
        <w:tc>
          <w:tcPr>
            <w:tcW w:w="200" w:type="dxa"/>
            <w:vAlign w:val="bottom"/>
            <w:tcBorders>
              <w:bottom w:val="single" w:sz="8" w:color="E9E9E9"/>
            </w:tcBorders>
            <w:shd w:val="clear" w:color="auto" w:fill="E9E9E9"/>
          </w:tcPr>
          <w:p>
            <w:pPr>
              <w:spacing w:after="0"/>
              <w:rPr>
                <w:sz w:val="19"/>
                <w:szCs w:val="19"/>
                <w:color w:val="auto"/>
              </w:rPr>
            </w:pPr>
          </w:p>
        </w:tc>
        <w:tc>
          <w:tcPr>
            <w:tcW w:w="20" w:type="dxa"/>
            <w:vAlign w:val="bottom"/>
            <w:tcBorders>
              <w:bottom w:val="single" w:sz="8" w:color="E9E9E9"/>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(557)</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780" w:type="dxa"/>
            <w:vAlign w:val="bottom"/>
          </w:tcPr>
          <w:p>
            <w:pPr>
              <w:ind w:left="200"/>
              <w:spacing w:after="0" w:line="217" w:lineRule="exact"/>
              <w:rPr>
                <w:sz w:val="20"/>
                <w:szCs w:val="20"/>
                <w:color w:val="auto"/>
              </w:rPr>
            </w:pPr>
            <w:r>
              <w:rPr>
                <w:rFonts w:ascii="Arial" w:cs="Arial" w:eastAsia="Arial" w:hAnsi="Arial"/>
                <w:sz w:val="20"/>
                <w:szCs w:val="20"/>
                <w:color w:val="auto"/>
              </w:rPr>
              <w:t>Net income attributable to CECO Environmental Corp.</w:t>
            </w: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28"/>
              <w:spacing w:after="0" w:line="217" w:lineRule="exact"/>
              <w:rPr>
                <w:sz w:val="20"/>
                <w:szCs w:val="20"/>
                <w:color w:val="auto"/>
              </w:rPr>
            </w:pPr>
            <w:r>
              <w:rPr>
                <w:rFonts w:ascii="Arial" w:cs="Arial" w:eastAsia="Arial" w:hAnsi="Arial"/>
                <w:sz w:val="20"/>
                <w:szCs w:val="20"/>
                <w:color w:val="auto"/>
              </w:rPr>
              <w:t>12,911</w:t>
            </w: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200"/>
              <w:spacing w:after="0" w:line="217" w:lineRule="exact"/>
              <w:rPr>
                <w:sz w:val="20"/>
                <w:szCs w:val="20"/>
                <w:color w:val="auto"/>
              </w:rPr>
            </w:pPr>
            <w:r>
              <w:rPr>
                <w:rFonts w:ascii="Arial" w:cs="Arial" w:eastAsia="Arial" w:hAnsi="Arial"/>
                <w:sz w:val="20"/>
                <w:szCs w:val="20"/>
                <w:color w:val="auto"/>
              </w:rPr>
              <w:t>17,417</w:t>
            </w:r>
          </w:p>
        </w:tc>
        <w:tc>
          <w:tcPr>
            <w:tcW w:w="120" w:type="dxa"/>
            <w:vAlign w:val="bottom"/>
            <w:gridSpan w:val="2"/>
          </w:tcPr>
          <w:p>
            <w:pPr>
              <w:jc w:val="right"/>
              <w:spacing w:after="0" w:line="217" w:lineRule="exact"/>
              <w:rPr>
                <w:sz w:val="20"/>
                <w:szCs w:val="20"/>
                <w:color w:val="auto"/>
              </w:rPr>
            </w:pPr>
            <w:r>
              <w:rPr>
                <w:rFonts w:ascii="Arial" w:cs="Arial" w:eastAsia="Arial" w:hAnsi="Arial"/>
                <w:sz w:val="20"/>
                <w:szCs w:val="20"/>
                <w:color w:val="auto"/>
                <w:w w:val="89"/>
              </w:rPr>
              <w:t>$</w:t>
            </w:r>
          </w:p>
        </w:tc>
        <w:tc>
          <w:tcPr>
            <w:tcW w:w="142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1,426</w:t>
            </w:r>
          </w:p>
        </w:tc>
        <w:tc>
          <w:tcPr>
            <w:tcW w:w="0" w:type="dxa"/>
            <w:vAlign w:val="bottom"/>
          </w:tcPr>
          <w:p>
            <w:pPr>
              <w:spacing w:after="0"/>
              <w:rPr>
                <w:sz w:val="1"/>
                <w:szCs w:val="1"/>
                <w:color w:val="auto"/>
              </w:rPr>
            </w:pPr>
          </w:p>
        </w:tc>
      </w:tr>
      <w:tr>
        <w:trPr>
          <w:trHeight w:val="214"/>
        </w:trPr>
        <w:tc>
          <w:tcPr>
            <w:tcW w:w="5780" w:type="dxa"/>
            <w:vAlign w:val="bottom"/>
            <w:tcBorders>
              <w:top w:val="single" w:sz="8" w:color="E9E9E9"/>
            </w:tcBorders>
            <w:shd w:val="clear" w:color="auto" w:fill="E9E9E9"/>
          </w:tcPr>
          <w:p>
            <w:pPr>
              <w:spacing w:after="0" w:line="213" w:lineRule="exact"/>
              <w:rPr>
                <w:sz w:val="20"/>
                <w:szCs w:val="20"/>
                <w:color w:val="auto"/>
              </w:rPr>
            </w:pPr>
            <w:r>
              <w:rPr>
                <w:rFonts w:ascii="Arial" w:cs="Arial" w:eastAsia="Arial" w:hAnsi="Arial"/>
                <w:sz w:val="20"/>
                <w:szCs w:val="20"/>
                <w:color w:val="auto"/>
              </w:rPr>
              <w:t>Income per share:</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2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200"/>
              <w:spacing w:after="0" w:line="225" w:lineRule="exact"/>
              <w:rPr>
                <w:sz w:val="20"/>
                <w:szCs w:val="20"/>
                <w:color w:val="auto"/>
              </w:rPr>
            </w:pPr>
            <w:r>
              <w:rPr>
                <w:rFonts w:ascii="Arial" w:cs="Arial" w:eastAsia="Arial" w:hAnsi="Arial"/>
                <w:sz w:val="20"/>
                <w:szCs w:val="20"/>
                <w:color w:val="auto"/>
              </w:rPr>
              <w:t>Basic</w:t>
            </w:r>
          </w:p>
        </w:tc>
        <w:tc>
          <w:tcPr>
            <w:tcW w:w="2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28"/>
              <w:spacing w:after="0" w:line="225" w:lineRule="exact"/>
              <w:rPr>
                <w:sz w:val="20"/>
                <w:szCs w:val="20"/>
                <w:color w:val="auto"/>
              </w:rPr>
            </w:pPr>
            <w:r>
              <w:rPr>
                <w:rFonts w:ascii="Arial" w:cs="Arial" w:eastAsia="Arial" w:hAnsi="Arial"/>
                <w:sz w:val="20"/>
                <w:szCs w:val="20"/>
                <w:color w:val="auto"/>
              </w:rPr>
              <w:t>0.37</w:t>
            </w:r>
          </w:p>
        </w:tc>
        <w:tc>
          <w:tcPr>
            <w:tcW w:w="2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200"/>
              <w:spacing w:after="0" w:line="225" w:lineRule="exact"/>
              <w:rPr>
                <w:sz w:val="20"/>
                <w:szCs w:val="20"/>
                <w:color w:val="auto"/>
              </w:rPr>
            </w:pPr>
            <w:r>
              <w:rPr>
                <w:rFonts w:ascii="Arial" w:cs="Arial" w:eastAsia="Arial" w:hAnsi="Arial"/>
                <w:sz w:val="20"/>
                <w:szCs w:val="20"/>
                <w:color w:val="auto"/>
              </w:rPr>
              <w:t>0.50</w:t>
            </w:r>
          </w:p>
        </w:tc>
        <w:tc>
          <w:tcPr>
            <w:tcW w:w="120" w:type="dxa"/>
            <w:vAlign w:val="bottom"/>
            <w:gridSpan w:val="2"/>
          </w:tcPr>
          <w:p>
            <w:pPr>
              <w:jc w:val="right"/>
              <w:spacing w:after="0" w:line="225" w:lineRule="exact"/>
              <w:rPr>
                <w:sz w:val="20"/>
                <w:szCs w:val="20"/>
                <w:color w:val="auto"/>
              </w:rPr>
            </w:pPr>
            <w:r>
              <w:rPr>
                <w:rFonts w:ascii="Arial" w:cs="Arial" w:eastAsia="Arial" w:hAnsi="Arial"/>
                <w:sz w:val="20"/>
                <w:szCs w:val="20"/>
                <w:color w:val="auto"/>
                <w:w w:val="89"/>
              </w:rPr>
              <w:t>$</w:t>
            </w:r>
          </w:p>
        </w:tc>
        <w:tc>
          <w:tcPr>
            <w:tcW w:w="1420" w:type="dxa"/>
            <w:vAlign w:val="bottom"/>
            <w:gridSpan w:val="3"/>
          </w:tcPr>
          <w:p>
            <w:pPr>
              <w:jc w:val="right"/>
              <w:ind w:right="100"/>
              <w:spacing w:after="0" w:line="225" w:lineRule="exact"/>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Diluted</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0.37</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0.50</w:t>
            </w:r>
          </w:p>
        </w:tc>
        <w:tc>
          <w:tcPr>
            <w:tcW w:w="200" w:type="dxa"/>
            <w:vAlign w:val="bottom"/>
            <w:shd w:val="clear" w:color="auto" w:fill="E9E9E9"/>
          </w:tcPr>
          <w:p>
            <w:pPr>
              <w:spacing w:after="0"/>
              <w:rPr>
                <w:sz w:val="19"/>
                <w:szCs w:val="19"/>
                <w:color w:val="auto"/>
              </w:rPr>
            </w:pPr>
          </w:p>
        </w:tc>
        <w:tc>
          <w:tcPr>
            <w:tcW w:w="120" w:type="dxa"/>
            <w:vAlign w:val="bottom"/>
            <w:gridSpan w:val="2"/>
            <w:shd w:val="clear" w:color="auto" w:fill="E9E9E9"/>
          </w:tcPr>
          <w:p>
            <w:pPr>
              <w:jc w:val="right"/>
              <w:spacing w:after="0" w:line="228"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0.04</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Weighted average number of common shares outstanding:</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Basic</w:t>
            </w:r>
          </w:p>
        </w:tc>
        <w:tc>
          <w:tcPr>
            <w:tcW w:w="10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34,665,473</w:t>
            </w:r>
          </w:p>
        </w:tc>
        <w:tc>
          <w:tcPr>
            <w:tcW w:w="1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0" w:type="dxa"/>
            <w:vAlign w:val="bottom"/>
            <w:tcBorders>
              <w:bottom w:val="single" w:sz="8" w:color="auto"/>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34,672,007</w:t>
            </w:r>
          </w:p>
        </w:tc>
        <w:tc>
          <w:tcPr>
            <w:tcW w:w="20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35,345,785</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vMerge w:val="restart"/>
          </w:tcPr>
          <w:p>
            <w:pPr>
              <w:ind w:left="200"/>
              <w:spacing w:after="0" w:line="192" w:lineRule="exact"/>
              <w:rPr>
                <w:sz w:val="20"/>
                <w:szCs w:val="20"/>
                <w:color w:val="auto"/>
              </w:rPr>
            </w:pPr>
            <w:r>
              <w:rPr>
                <w:rFonts w:ascii="Arial" w:cs="Arial" w:eastAsia="Arial" w:hAnsi="Arial"/>
                <w:sz w:val="20"/>
                <w:szCs w:val="20"/>
                <w:color w:val="auto"/>
              </w:rPr>
              <w:t>Diluted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vMerge w:val="restart"/>
          </w:tcPr>
          <w:p>
            <w:pPr>
              <w:jc w:val="right"/>
              <w:spacing w:after="0" w:line="192" w:lineRule="exact"/>
              <w:rPr>
                <w:sz w:val="20"/>
                <w:szCs w:val="20"/>
                <w:color w:val="auto"/>
              </w:rPr>
            </w:pPr>
            <w:r>
              <w:rPr>
                <w:rFonts w:ascii="Arial" w:cs="Arial" w:eastAsia="Arial" w:hAnsi="Arial"/>
                <w:sz w:val="20"/>
                <w:szCs w:val="20"/>
                <w:color w:val="auto"/>
              </w:rPr>
              <w:t>35,334,090</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vMerge w:val="restart"/>
          </w:tcPr>
          <w:p>
            <w:pPr>
              <w:jc w:val="right"/>
              <w:spacing w:after="0" w:line="192" w:lineRule="exact"/>
              <w:rPr>
                <w:sz w:val="20"/>
                <w:szCs w:val="20"/>
                <w:color w:val="auto"/>
              </w:rPr>
            </w:pPr>
            <w:r>
              <w:rPr>
                <w:rFonts w:ascii="Arial" w:cs="Arial" w:eastAsia="Arial" w:hAnsi="Arial"/>
                <w:sz w:val="20"/>
                <w:szCs w:val="20"/>
                <w:color w:val="auto"/>
              </w:rPr>
              <w:t>35,005,159</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vMerge w:val="restart"/>
          </w:tcPr>
          <w:p>
            <w:pPr>
              <w:jc w:val="right"/>
              <w:spacing w:after="0" w:line="192" w:lineRule="exact"/>
              <w:rPr>
                <w:sz w:val="20"/>
                <w:szCs w:val="20"/>
                <w:color w:val="auto"/>
              </w:rPr>
            </w:pPr>
            <w:r>
              <w:rPr>
                <w:rFonts w:ascii="Arial" w:cs="Arial" w:eastAsia="Arial" w:hAnsi="Arial"/>
                <w:sz w:val="20"/>
                <w:szCs w:val="20"/>
                <w:color w:val="auto"/>
              </w:rPr>
              <w:t>35,594,779</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-3422015</wp:posOffset>
                </wp:positionV>
                <wp:extent cx="6921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269.4499pt" to="534.4pt,-269.4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-1691640</wp:posOffset>
                </wp:positionV>
                <wp:extent cx="6921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33.1999pt" to="534.4pt,-133.1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-1395095</wp:posOffset>
                </wp:positionV>
                <wp:extent cx="6921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09.8499pt" to="534.4pt,-109.8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-1099820</wp:posOffset>
                </wp:positionV>
                <wp:extent cx="6921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86.5999pt" to="534.4pt,-86.5999pt" o:allowincell="f" strokecolor="#FFFFFF" strokeweight="0.4751pt"/>
            </w:pict>
          </mc:Fallback>
        </mc:AlternateConten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ectPr>
          <w:pgSz w:w="11880" w:h="15480" w:orient="portrait"/>
          <w:cols w:equalWidth="0" w:num="1">
            <w:col w:w="10680"/>
          </w:cols>
          <w:pgMar w:left="600" w:top="837" w:right="600" w:bottom="46"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CECO ENVIRONMENTAL CORP. AND SUBSIDIARIES</w:t>
      </w:r>
    </w:p>
    <w:p>
      <w:pPr>
        <w:jc w:val="center"/>
        <w:spacing w:after="0" w:line="235" w:lineRule="auto"/>
        <w:rPr>
          <w:sz w:val="20"/>
          <w:szCs w:val="20"/>
          <w:color w:val="auto"/>
        </w:rPr>
      </w:pPr>
      <w:r>
        <w:rPr>
          <w:rFonts w:ascii="Arial" w:cs="Arial" w:eastAsia="Arial" w:hAnsi="Arial"/>
          <w:sz w:val="20"/>
          <w:szCs w:val="20"/>
          <w:b w:val="1"/>
          <w:bCs w:val="1"/>
          <w:color w:val="auto"/>
        </w:rPr>
        <w:t>CONSOLIDATED STATEMENTS OF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w w:val="90"/>
              </w:rPr>
              <w:t>Year Ended December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5780" w:type="dxa"/>
            <w:vAlign w:val="bottom"/>
            <w:tcBorders>
              <w:bottom w:val="single" w:sz="8" w:color="E9E9E9"/>
            </w:tcBorders>
          </w:tcPr>
          <w:p>
            <w:pPr>
              <w:spacing w:after="0" w:line="172" w:lineRule="exact"/>
              <w:rPr>
                <w:sz w:val="20"/>
                <w:szCs w:val="20"/>
                <w:color w:val="auto"/>
              </w:rPr>
            </w:pPr>
            <w:r>
              <w:rPr>
                <w:rFonts w:ascii="Arial" w:cs="Arial" w:eastAsia="Arial" w:hAnsi="Arial"/>
                <w:sz w:val="16"/>
                <w:szCs w:val="16"/>
                <w:b w:val="1"/>
                <w:bCs w:val="1"/>
                <w:color w:val="auto"/>
              </w:rPr>
              <w:t>(dollars in thousands)</w:t>
            </w:r>
          </w:p>
        </w:tc>
        <w:tc>
          <w:tcPr>
            <w:tcW w:w="100" w:type="dxa"/>
            <w:vAlign w:val="bottom"/>
            <w:tcBorders>
              <w:bottom w:val="single" w:sz="8" w:color="E9E9E9"/>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5"/>
              <w:spacing w:after="0" w:line="172"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E9E9E9"/>
            </w:tcBorders>
          </w:tcPr>
          <w:p>
            <w:pPr>
              <w:spacing w:after="0"/>
              <w:rPr>
                <w:sz w:val="14"/>
                <w:szCs w:val="14"/>
                <w:color w:val="auto"/>
              </w:rPr>
            </w:pPr>
          </w:p>
        </w:tc>
        <w:tc>
          <w:tcPr>
            <w:tcW w:w="200" w:type="dxa"/>
            <w:vAlign w:val="bottom"/>
            <w:tcBorders>
              <w:bottom w:val="single" w:sz="8" w:color="E9E9E9"/>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5"/>
              <w:spacing w:after="0" w:line="172" w:lineRule="exact"/>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65"/>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9E9E9"/>
            </w:tcBorders>
          </w:tcPr>
          <w:p>
            <w:pPr>
              <w:spacing w:after="0"/>
              <w:rPr>
                <w:sz w:val="14"/>
                <w:szCs w:val="14"/>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Net income</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14,501</w:t>
            </w:r>
          </w:p>
        </w:tc>
        <w:tc>
          <w:tcPr>
            <w:tcW w:w="20" w:type="dxa"/>
            <w:vAlign w:val="bottom"/>
            <w:shd w:val="clear" w:color="auto" w:fill="E9E9E9"/>
          </w:tcPr>
          <w:p>
            <w:pPr>
              <w:spacing w:after="0"/>
              <w:rPr>
                <w:sz w:val="18"/>
                <w:szCs w:val="18"/>
                <w:color w:val="auto"/>
              </w:rPr>
            </w:pPr>
          </w:p>
        </w:tc>
        <w:tc>
          <w:tcPr>
            <w:tcW w:w="20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18,263</w:t>
            </w:r>
          </w:p>
        </w:tc>
        <w:tc>
          <w:tcPr>
            <w:tcW w:w="200" w:type="dxa"/>
            <w:vAlign w:val="bottom"/>
            <w:shd w:val="clear" w:color="auto" w:fill="E9E9E9"/>
          </w:tcPr>
          <w:p>
            <w:pPr>
              <w:spacing w:after="0"/>
              <w:rPr>
                <w:sz w:val="18"/>
                <w:szCs w:val="18"/>
                <w:color w:val="auto"/>
              </w:rPr>
            </w:pPr>
          </w:p>
        </w:tc>
        <w:tc>
          <w:tcPr>
            <w:tcW w:w="120" w:type="dxa"/>
            <w:vAlign w:val="bottom"/>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1,983</w:t>
            </w:r>
          </w:p>
        </w:tc>
        <w:tc>
          <w:tcPr>
            <w:tcW w:w="100" w:type="dxa"/>
            <w:vAlign w:val="bottom"/>
            <w:shd w:val="clear" w:color="auto" w:fill="E9E9E9"/>
          </w:tcPr>
          <w:p>
            <w:pPr>
              <w:spacing w:after="0"/>
              <w:rPr>
                <w:sz w:val="18"/>
                <w:szCs w:val="18"/>
                <w:color w:val="auto"/>
              </w:rPr>
            </w:pPr>
          </w:p>
        </w:tc>
      </w:tr>
      <w:tr>
        <w:trPr>
          <w:trHeight w:val="217"/>
        </w:trPr>
        <w:tc>
          <w:tcPr>
            <w:tcW w:w="5780" w:type="dxa"/>
            <w:vAlign w:val="bottom"/>
          </w:tcPr>
          <w:p>
            <w:pPr>
              <w:spacing w:after="0" w:line="217" w:lineRule="exact"/>
              <w:rPr>
                <w:sz w:val="20"/>
                <w:szCs w:val="20"/>
                <w:color w:val="auto"/>
              </w:rPr>
            </w:pPr>
            <w:r>
              <w:rPr>
                <w:rFonts w:ascii="Arial" w:cs="Arial" w:eastAsia="Arial" w:hAnsi="Arial"/>
                <w:sz w:val="20"/>
                <w:szCs w:val="20"/>
                <w:color w:val="auto"/>
              </w:rPr>
              <w:t>Other comprehensive income, net of tax:</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Translation gain (loss)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497</w:t>
            </w:r>
          </w:p>
        </w:tc>
        <w:tc>
          <w:tcPr>
            <w:tcW w:w="2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(5,635)</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(538)</w:t>
            </w:r>
          </w:p>
        </w:tc>
        <w:tc>
          <w:tcPr>
            <w:tcW w:w="100" w:type="dxa"/>
            <w:vAlign w:val="bottom"/>
            <w:shd w:val="clear" w:color="auto" w:fill="E9E9E9"/>
          </w:tcPr>
          <w:p>
            <w:pPr>
              <w:spacing w:after="0"/>
              <w:rPr>
                <w:sz w:val="19"/>
                <w:szCs w:val="19"/>
                <w:color w:val="auto"/>
              </w:rPr>
            </w:pPr>
          </w:p>
        </w:tc>
      </w:tr>
      <w:tr>
        <w:trPr>
          <w:trHeight w:val="225"/>
        </w:trPr>
        <w:tc>
          <w:tcPr>
            <w:tcW w:w="5780" w:type="dxa"/>
            <w:vAlign w:val="bottom"/>
          </w:tcPr>
          <w:p>
            <w:pPr>
              <w:ind w:left="200"/>
              <w:spacing w:after="0" w:line="225" w:lineRule="exact"/>
              <w:rPr>
                <w:sz w:val="20"/>
                <w:szCs w:val="20"/>
                <w:color w:val="auto"/>
              </w:rPr>
            </w:pPr>
            <w:r>
              <w:rPr>
                <w:rFonts w:ascii="Arial" w:cs="Arial" w:eastAsia="Arial" w:hAnsi="Arial"/>
                <w:sz w:val="20"/>
                <w:szCs w:val="20"/>
                <w:color w:val="auto"/>
              </w:rPr>
              <w:t>Minimum pension liability adjustment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
              <w:spacing w:after="0" w:line="225" w:lineRule="exact"/>
              <w:rPr>
                <w:sz w:val="20"/>
                <w:szCs w:val="20"/>
                <w:color w:val="auto"/>
              </w:rPr>
            </w:pPr>
            <w:r>
              <w:rPr>
                <w:rFonts w:ascii="Arial" w:cs="Arial" w:eastAsia="Arial" w:hAnsi="Arial"/>
                <w:sz w:val="20"/>
                <w:szCs w:val="20"/>
                <w:color w:val="auto"/>
              </w:rPr>
              <w:t>1,225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40"/>
              <w:spacing w:after="0" w:line="225" w:lineRule="exact"/>
              <w:rPr>
                <w:sz w:val="20"/>
                <w:szCs w:val="20"/>
                <w:color w:val="auto"/>
              </w:rPr>
            </w:pPr>
            <w:r>
              <w:rPr>
                <w:rFonts w:ascii="Arial" w:cs="Arial" w:eastAsia="Arial" w:hAnsi="Arial"/>
                <w:sz w:val="20"/>
                <w:szCs w:val="20"/>
                <w:color w:val="auto"/>
              </w:rPr>
              <w:t>(291)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2,964</w:t>
            </w:r>
          </w:p>
        </w:tc>
      </w:tr>
      <w:tr>
        <w:trPr>
          <w:trHeight w:val="219"/>
        </w:trPr>
        <w:tc>
          <w:tcPr>
            <w:tcW w:w="578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Comprehensive income</w:t>
            </w:r>
          </w:p>
        </w:tc>
        <w:tc>
          <w:tcPr>
            <w:tcW w:w="1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16,223</w:t>
            </w:r>
          </w:p>
        </w:tc>
        <w:tc>
          <w:tcPr>
            <w:tcW w:w="20" w:type="dxa"/>
            <w:vAlign w:val="bottom"/>
            <w:tcBorders>
              <w:top w:val="single" w:sz="8" w:color="E9E9E9"/>
            </w:tcBorders>
            <w:shd w:val="clear" w:color="auto" w:fill="E9E9E9"/>
          </w:tcPr>
          <w:p>
            <w:pPr>
              <w:spacing w:after="0"/>
              <w:rPr>
                <w:sz w:val="19"/>
                <w:szCs w:val="19"/>
                <w:color w:val="auto"/>
              </w:rPr>
            </w:pPr>
          </w:p>
        </w:tc>
        <w:tc>
          <w:tcPr>
            <w:tcW w:w="2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12,337</w:t>
            </w:r>
          </w:p>
        </w:tc>
        <w:tc>
          <w:tcPr>
            <w:tcW w:w="2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4,409</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-888365</wp:posOffset>
                </wp:positionV>
                <wp:extent cx="6921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69.9499pt" to="534.4pt,-69.9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-615315</wp:posOffset>
                </wp:positionV>
                <wp:extent cx="6921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48.4499pt" to="534.4pt,-48.4499pt" o:allowincell="f" strokecolor="#FFFFFF" strokeweight="0.4751pt"/>
            </w:pict>
          </mc:Fallback>
        </mc:AlternateConten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w:t>
      </w:r>
    </w:p>
    <w:p>
      <w:pPr>
        <w:sectPr>
          <w:pgSz w:w="11880" w:h="15480" w:orient="portrait"/>
          <w:cols w:equalWidth="0" w:num="1">
            <w:col w:w="10680"/>
          </w:cols>
          <w:pgMar w:left="600" w:top="837" w:right="600" w:bottom="46"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CECO ENVIRONMENTAL CORP. AND SUBSIDIARIES</w:t>
      </w:r>
    </w:p>
    <w:p>
      <w:pPr>
        <w:jc w:val="center"/>
        <w:spacing w:after="0" w:line="235" w:lineRule="auto"/>
        <w:rPr>
          <w:sz w:val="20"/>
          <w:szCs w:val="20"/>
          <w:color w:val="auto"/>
        </w:rPr>
      </w:pPr>
      <w:r>
        <w:rPr>
          <w:rFonts w:ascii="Arial" w:cs="Arial" w:eastAsia="Arial" w:hAnsi="Arial"/>
          <w:sz w:val="20"/>
          <w:szCs w:val="20"/>
          <w:b w:val="1"/>
          <w:bCs w:val="1"/>
          <w:color w:val="auto"/>
        </w:rPr>
        <w:t>CONSOLIDATED STATEMENTS OF SHAREHOLDERS’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spacing w:after="0" w:line="172" w:lineRule="exact"/>
              <w:rPr>
                <w:sz w:val="20"/>
                <w:szCs w:val="20"/>
                <w:color w:val="auto"/>
              </w:rPr>
            </w:pPr>
            <w:r>
              <w:rPr>
                <w:rFonts w:ascii="Arial" w:cs="Arial" w:eastAsia="Arial" w:hAnsi="Arial"/>
                <w:sz w:val="15"/>
                <w:szCs w:val="15"/>
                <w:b w:val="1"/>
                <w:bCs w:val="1"/>
                <w:color w:val="auto"/>
              </w:rPr>
              <w:t>Capital 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40"/>
              <w:spacing w:after="0" w:line="172"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line="172" w:lineRule="exact"/>
              <w:rPr>
                <w:sz w:val="20"/>
                <w:szCs w:val="20"/>
                <w:color w:val="auto"/>
              </w:rPr>
            </w:pPr>
            <w:r>
              <w:rPr>
                <w:rFonts w:ascii="Arial" w:cs="Arial" w:eastAsia="Arial" w:hAnsi="Arial"/>
                <w:sz w:val="15"/>
                <w:szCs w:val="15"/>
                <w:b w:val="1"/>
                <w:bCs w:val="1"/>
                <w:color w:val="auto"/>
              </w:rPr>
              <w:t>Total</w:t>
            </w:r>
          </w:p>
        </w:tc>
      </w:tr>
      <w:tr>
        <w:trPr>
          <w:trHeight w:val="172"/>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7"/>
          </w:tcPr>
          <w:p>
            <w:pPr>
              <w:jc w:val="right"/>
              <w:spacing w:after="0" w:line="172" w:lineRule="exact"/>
              <w:rPr>
                <w:sz w:val="20"/>
                <w:szCs w:val="20"/>
                <w:color w:val="auto"/>
              </w:rPr>
            </w:pPr>
            <w:r>
              <w:rPr>
                <w:rFonts w:ascii="Arial" w:cs="Arial" w:eastAsia="Arial" w:hAnsi="Arial"/>
                <w:sz w:val="15"/>
                <w:szCs w:val="15"/>
                <w:b w:val="1"/>
                <w:bCs w:val="1"/>
                <w:color w:val="auto"/>
                <w:w w:val="89"/>
              </w:rPr>
              <w:t>Common Stock</w:t>
            </w:r>
          </w:p>
        </w:tc>
        <w:tc>
          <w:tcPr>
            <w:tcW w:w="60" w:type="dxa"/>
            <w:vAlign w:val="bottom"/>
          </w:tcPr>
          <w:p>
            <w:pPr>
              <w:spacing w:after="0"/>
              <w:rPr>
                <w:sz w:val="14"/>
                <w:szCs w:val="14"/>
                <w:color w:val="auto"/>
              </w:rPr>
            </w:pPr>
          </w:p>
        </w:tc>
        <w:tc>
          <w:tcPr>
            <w:tcW w:w="700" w:type="dxa"/>
            <w:vAlign w:val="bottom"/>
            <w:gridSpan w:val="4"/>
          </w:tcPr>
          <w:p>
            <w:pPr>
              <w:ind w:left="40"/>
              <w:spacing w:after="0" w:line="172" w:lineRule="exact"/>
              <w:rPr>
                <w:sz w:val="20"/>
                <w:szCs w:val="20"/>
                <w:color w:val="auto"/>
              </w:rPr>
            </w:pPr>
            <w:r>
              <w:rPr>
                <w:rFonts w:ascii="Arial" w:cs="Arial" w:eastAsia="Arial" w:hAnsi="Arial"/>
                <w:sz w:val="15"/>
                <w:szCs w:val="15"/>
                <w:b w:val="1"/>
                <w:bCs w:val="1"/>
                <w:color w:val="auto"/>
                <w:w w:val="93"/>
              </w:rPr>
              <w:t>excess of</w:t>
            </w:r>
          </w:p>
        </w:tc>
        <w:tc>
          <w:tcPr>
            <w:tcW w:w="40" w:type="dxa"/>
            <w:vAlign w:val="bottom"/>
          </w:tcPr>
          <w:p>
            <w:pPr>
              <w:spacing w:after="0"/>
              <w:rPr>
                <w:sz w:val="14"/>
                <w:szCs w:val="14"/>
                <w:color w:val="auto"/>
              </w:rPr>
            </w:pPr>
          </w:p>
        </w:tc>
        <w:tc>
          <w:tcPr>
            <w:tcW w:w="920" w:type="dxa"/>
            <w:vAlign w:val="bottom"/>
            <w:gridSpan w:val="4"/>
          </w:tcPr>
          <w:p>
            <w:pPr>
              <w:ind w:left="20"/>
              <w:spacing w:after="0" w:line="172" w:lineRule="exact"/>
              <w:rPr>
                <w:sz w:val="20"/>
                <w:szCs w:val="20"/>
                <w:color w:val="auto"/>
              </w:rPr>
            </w:pPr>
            <w:r>
              <w:rPr>
                <w:rFonts w:ascii="Arial" w:cs="Arial" w:eastAsia="Arial" w:hAnsi="Arial"/>
                <w:sz w:val="15"/>
                <w:szCs w:val="15"/>
                <w:b w:val="1"/>
                <w:bCs w:val="1"/>
                <w:color w:val="auto"/>
                <w:w w:val="93"/>
              </w:rPr>
              <w:t>Accumulated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spacing w:after="0" w:line="172" w:lineRule="exact"/>
              <w:rPr>
                <w:sz w:val="20"/>
                <w:szCs w:val="20"/>
                <w:color w:val="auto"/>
              </w:rPr>
            </w:pPr>
            <w:r>
              <w:rPr>
                <w:rFonts w:ascii="Arial" w:cs="Arial" w:eastAsia="Arial" w:hAnsi="Arial"/>
                <w:sz w:val="15"/>
                <w:szCs w:val="15"/>
                <w:b w:val="1"/>
                <w:bCs w:val="1"/>
                <w:color w:val="auto"/>
                <w:w w:val="95"/>
              </w:rPr>
              <w:t>Comprehensive</w:t>
            </w: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8"/>
          </w:tcPr>
          <w:p>
            <w:pPr>
              <w:jc w:val="right"/>
              <w:ind w:right="3"/>
              <w:spacing w:after="0" w:line="172" w:lineRule="exact"/>
              <w:rPr>
                <w:sz w:val="20"/>
                <w:szCs w:val="20"/>
                <w:color w:val="auto"/>
              </w:rPr>
            </w:pPr>
            <w:r>
              <w:rPr>
                <w:rFonts w:ascii="Arial" w:cs="Arial" w:eastAsia="Arial" w:hAnsi="Arial"/>
                <w:sz w:val="15"/>
                <w:szCs w:val="15"/>
                <w:b w:val="1"/>
                <w:bCs w:val="1"/>
                <w:color w:val="auto"/>
                <w:w w:val="92"/>
              </w:rPr>
              <w:t>Treasury Stock</w:t>
            </w:r>
          </w:p>
        </w:tc>
        <w:tc>
          <w:tcPr>
            <w:tcW w:w="60" w:type="dxa"/>
            <w:vAlign w:val="bottom"/>
          </w:tcPr>
          <w:p>
            <w:pPr>
              <w:spacing w:after="0"/>
              <w:rPr>
                <w:sz w:val="14"/>
                <w:szCs w:val="14"/>
                <w:color w:val="auto"/>
              </w:rPr>
            </w:pPr>
          </w:p>
        </w:tc>
        <w:tc>
          <w:tcPr>
            <w:tcW w:w="1020" w:type="dxa"/>
            <w:vAlign w:val="bottom"/>
            <w:gridSpan w:val="3"/>
          </w:tcPr>
          <w:p>
            <w:pPr>
              <w:spacing w:after="0" w:line="172" w:lineRule="exact"/>
              <w:rPr>
                <w:sz w:val="20"/>
                <w:szCs w:val="20"/>
                <w:color w:val="auto"/>
              </w:rPr>
            </w:pPr>
            <w:r>
              <w:rPr>
                <w:rFonts w:ascii="Arial" w:cs="Arial" w:eastAsia="Arial" w:hAnsi="Arial"/>
                <w:sz w:val="15"/>
                <w:szCs w:val="15"/>
                <w:b w:val="1"/>
                <w:bCs w:val="1"/>
                <w:color w:val="auto"/>
                <w:w w:val="93"/>
              </w:rPr>
              <w:t>Noncontrolling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spacing w:after="0" w:line="172" w:lineRule="exact"/>
              <w:rPr>
                <w:sz w:val="20"/>
                <w:szCs w:val="20"/>
                <w:color w:val="auto"/>
              </w:rPr>
            </w:pPr>
            <w:r>
              <w:rPr>
                <w:rFonts w:ascii="Arial" w:cs="Arial" w:eastAsia="Arial" w:hAnsi="Arial"/>
                <w:sz w:val="15"/>
                <w:szCs w:val="15"/>
                <w:b w:val="1"/>
                <w:bCs w:val="1"/>
                <w:color w:val="auto"/>
                <w:w w:val="90"/>
              </w:rPr>
              <w:t>Shareholders'</w:t>
            </w:r>
          </w:p>
        </w:tc>
      </w:tr>
      <w:tr>
        <w:trPr>
          <w:trHeight w:val="163"/>
        </w:trPr>
        <w:tc>
          <w:tcPr>
            <w:tcW w:w="3560" w:type="dxa"/>
            <w:vAlign w:val="bottom"/>
            <w:gridSpan w:val="4"/>
          </w:tcPr>
          <w:p>
            <w:pPr>
              <w:spacing w:after="0" w:line="157" w:lineRule="exact"/>
              <w:rPr>
                <w:sz w:val="20"/>
                <w:szCs w:val="20"/>
                <w:color w:val="auto"/>
              </w:rPr>
            </w:pPr>
            <w:r>
              <w:rPr>
                <w:rFonts w:ascii="Arial" w:cs="Arial" w:eastAsia="Arial" w:hAnsi="Arial"/>
                <w:sz w:val="16"/>
                <w:szCs w:val="16"/>
                <w:b w:val="1"/>
                <w:bCs w:val="1"/>
                <w:color w:val="auto"/>
              </w:rPr>
              <w:t>(in thousands)</w:t>
            </w:r>
          </w:p>
        </w:tc>
        <w:tc>
          <w:tcPr>
            <w:tcW w:w="520" w:type="dxa"/>
            <w:vAlign w:val="bottom"/>
            <w:gridSpan w:val="4"/>
          </w:tcPr>
          <w:p>
            <w:pPr>
              <w:jc w:val="right"/>
              <w:ind w:right="80"/>
              <w:spacing w:after="0" w:line="156" w:lineRule="exact"/>
              <w:rPr>
                <w:sz w:val="20"/>
                <w:szCs w:val="20"/>
                <w:color w:val="auto"/>
              </w:rPr>
            </w:pPr>
            <w:r>
              <w:rPr>
                <w:rFonts w:ascii="Arial" w:cs="Arial" w:eastAsia="Arial" w:hAnsi="Arial"/>
                <w:sz w:val="15"/>
                <w:szCs w:val="15"/>
                <w:b w:val="1"/>
                <w:bCs w:val="1"/>
                <w:color w:val="auto"/>
                <w:w w:val="83"/>
              </w:rPr>
              <w:t>Shares</w:t>
            </w:r>
          </w:p>
        </w:tc>
        <w:tc>
          <w:tcPr>
            <w:tcW w:w="20" w:type="dxa"/>
            <w:vAlign w:val="bottom"/>
          </w:tcPr>
          <w:p>
            <w:pPr>
              <w:spacing w:after="0"/>
              <w:rPr>
                <w:sz w:val="14"/>
                <w:szCs w:val="14"/>
                <w:color w:val="auto"/>
              </w:rPr>
            </w:pPr>
          </w:p>
        </w:tc>
        <w:tc>
          <w:tcPr>
            <w:tcW w:w="1280" w:type="dxa"/>
            <w:vAlign w:val="bottom"/>
            <w:gridSpan w:val="7"/>
          </w:tcPr>
          <w:p>
            <w:pPr>
              <w:spacing w:after="0" w:line="156" w:lineRule="exact"/>
              <w:rPr>
                <w:sz w:val="20"/>
                <w:szCs w:val="20"/>
                <w:color w:val="auto"/>
              </w:rPr>
            </w:pPr>
            <w:r>
              <w:rPr>
                <w:rFonts w:ascii="Arial" w:cs="Arial" w:eastAsia="Arial" w:hAnsi="Arial"/>
                <w:sz w:val="15"/>
                <w:szCs w:val="15"/>
                <w:b w:val="1"/>
                <w:bCs w:val="1"/>
                <w:color w:val="auto"/>
                <w:w w:val="99"/>
              </w:rPr>
              <w:t>Amount par value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40"/>
              <w:spacing w:after="0" w:line="156" w:lineRule="exact"/>
              <w:rPr>
                <w:sz w:val="20"/>
                <w:szCs w:val="20"/>
                <w:color w:val="auto"/>
              </w:rPr>
            </w:pPr>
            <w:r>
              <w:rPr>
                <w:rFonts w:ascii="Arial" w:cs="Arial" w:eastAsia="Arial" w:hAnsi="Arial"/>
                <w:sz w:val="15"/>
                <w:szCs w:val="15"/>
                <w:b w:val="1"/>
                <w:bCs w:val="1"/>
                <w:color w:val="auto"/>
              </w:rPr>
              <w:t>Loss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40"/>
              <w:spacing w:after="0" w:line="156" w:lineRule="exact"/>
              <w:rPr>
                <w:sz w:val="20"/>
                <w:szCs w:val="20"/>
                <w:color w:val="auto"/>
              </w:rPr>
            </w:pPr>
            <w:r>
              <w:rPr>
                <w:rFonts w:ascii="Arial" w:cs="Arial" w:eastAsia="Arial" w:hAnsi="Arial"/>
                <w:sz w:val="15"/>
                <w:szCs w:val="15"/>
                <w:b w:val="1"/>
                <w:bCs w:val="1"/>
                <w:color w:val="auto"/>
                <w:w w:val="85"/>
              </w:rPr>
              <w:t>Loss</w:t>
            </w:r>
          </w:p>
        </w:tc>
        <w:tc>
          <w:tcPr>
            <w:tcW w:w="500" w:type="dxa"/>
            <w:vAlign w:val="bottom"/>
            <w:gridSpan w:val="4"/>
          </w:tcPr>
          <w:p>
            <w:pPr>
              <w:spacing w:after="0" w:line="156" w:lineRule="exact"/>
              <w:rPr>
                <w:sz w:val="20"/>
                <w:szCs w:val="20"/>
                <w:color w:val="auto"/>
              </w:rPr>
            </w:pPr>
            <w:r>
              <w:rPr>
                <w:rFonts w:ascii="Arial" w:cs="Arial" w:eastAsia="Arial" w:hAnsi="Arial"/>
                <w:sz w:val="15"/>
                <w:szCs w:val="15"/>
                <w:b w:val="1"/>
                <w:bCs w:val="1"/>
                <w:color w:val="auto"/>
                <w:w w:val="95"/>
              </w:rPr>
              <w:t>Shares</w:t>
            </w:r>
          </w:p>
        </w:tc>
        <w:tc>
          <w:tcPr>
            <w:tcW w:w="60" w:type="dxa"/>
            <w:vAlign w:val="bottom"/>
          </w:tcPr>
          <w:p>
            <w:pPr>
              <w:spacing w:after="0"/>
              <w:rPr>
                <w:sz w:val="14"/>
                <w:szCs w:val="14"/>
                <w:color w:val="auto"/>
              </w:rPr>
            </w:pPr>
          </w:p>
        </w:tc>
        <w:tc>
          <w:tcPr>
            <w:tcW w:w="580" w:type="dxa"/>
            <w:vAlign w:val="bottom"/>
            <w:gridSpan w:val="4"/>
          </w:tcPr>
          <w:p>
            <w:pPr>
              <w:spacing w:after="0" w:line="156" w:lineRule="exact"/>
              <w:rPr>
                <w:sz w:val="20"/>
                <w:szCs w:val="20"/>
                <w:color w:val="auto"/>
              </w:rPr>
            </w:pPr>
            <w:r>
              <w:rPr>
                <w:rFonts w:ascii="Arial" w:cs="Arial" w:eastAsia="Arial" w:hAnsi="Arial"/>
                <w:sz w:val="15"/>
                <w:szCs w:val="15"/>
                <w:b w:val="1"/>
                <w:bCs w:val="1"/>
                <w:color w:val="auto"/>
                <w:w w:val="98"/>
              </w:rPr>
              <w:t>Amount</w:t>
            </w:r>
          </w:p>
        </w:tc>
        <w:tc>
          <w:tcPr>
            <w:tcW w:w="200" w:type="dxa"/>
            <w:vAlign w:val="bottom"/>
          </w:tcPr>
          <w:p>
            <w:pPr>
              <w:spacing w:after="0"/>
              <w:rPr>
                <w:sz w:val="14"/>
                <w:szCs w:val="14"/>
                <w:color w:val="auto"/>
              </w:rPr>
            </w:pPr>
          </w:p>
        </w:tc>
        <w:tc>
          <w:tcPr>
            <w:tcW w:w="820" w:type="dxa"/>
            <w:vAlign w:val="bottom"/>
            <w:gridSpan w:val="2"/>
          </w:tcPr>
          <w:p>
            <w:pPr>
              <w:jc w:val="right"/>
              <w:ind w:right="280"/>
              <w:spacing w:after="0" w:line="156" w:lineRule="exact"/>
              <w:rPr>
                <w:sz w:val="20"/>
                <w:szCs w:val="20"/>
                <w:color w:val="auto"/>
              </w:rPr>
            </w:pPr>
            <w:r>
              <w:rPr>
                <w:rFonts w:ascii="Arial" w:cs="Arial" w:eastAsia="Arial" w:hAnsi="Arial"/>
                <w:sz w:val="15"/>
                <w:szCs w:val="15"/>
                <w:b w:val="1"/>
                <w:bCs w:val="1"/>
                <w:color w:val="auto"/>
                <w:w w:val="95"/>
              </w:rPr>
              <w:t>Interest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80"/>
              <w:spacing w:after="0" w:line="156" w:lineRule="exact"/>
              <w:rPr>
                <w:sz w:val="20"/>
                <w:szCs w:val="20"/>
                <w:color w:val="auto"/>
              </w:rPr>
            </w:pPr>
            <w:r>
              <w:rPr>
                <w:rFonts w:ascii="Arial" w:cs="Arial" w:eastAsia="Arial" w:hAnsi="Arial"/>
                <w:sz w:val="15"/>
                <w:szCs w:val="15"/>
                <w:b w:val="1"/>
                <w:bCs w:val="1"/>
                <w:color w:val="auto"/>
              </w:rPr>
              <w:t>Equity</w:t>
            </w:r>
          </w:p>
        </w:tc>
      </w:tr>
      <w:tr>
        <w:trPr>
          <w:trHeight w:val="171"/>
        </w:trPr>
        <w:tc>
          <w:tcPr>
            <w:tcW w:w="3460" w:type="dxa"/>
            <w:vAlign w:val="bottom"/>
            <w:tcBorders>
              <w:top w:val="single" w:sz="8" w:color="E9E9E9"/>
            </w:tcBorders>
            <w:shd w:val="clear" w:color="auto" w:fill="E9E9E9"/>
          </w:tcPr>
          <w:p>
            <w:pPr>
              <w:spacing w:after="0" w:line="170" w:lineRule="exact"/>
              <w:rPr>
                <w:sz w:val="20"/>
                <w:szCs w:val="20"/>
                <w:color w:val="auto"/>
              </w:rPr>
            </w:pPr>
            <w:r>
              <w:rPr>
                <w:rFonts w:ascii="Arial" w:cs="Arial" w:eastAsia="Arial" w:hAnsi="Arial"/>
                <w:sz w:val="15"/>
                <w:szCs w:val="15"/>
                <w:color w:val="auto"/>
              </w:rPr>
              <w:t>Balance January 1, 2021</w:t>
            </w:r>
          </w:p>
        </w:tc>
        <w:tc>
          <w:tcPr>
            <w:tcW w:w="60" w:type="dxa"/>
            <w:vAlign w:val="bottom"/>
            <w:tcBorders>
              <w:top w:val="single" w:sz="8" w:color="E9E9E9"/>
            </w:tcBorders>
            <w:shd w:val="clear" w:color="auto" w:fill="E9E9E9"/>
          </w:tcPr>
          <w:p>
            <w:pPr>
              <w:spacing w:after="0"/>
              <w:rPr>
                <w:sz w:val="14"/>
                <w:szCs w:val="14"/>
                <w:color w:val="auto"/>
              </w:rPr>
            </w:pPr>
          </w:p>
        </w:tc>
        <w:tc>
          <w:tcPr>
            <w:tcW w:w="20" w:type="dxa"/>
            <w:vAlign w:val="bottom"/>
            <w:tcBorders>
              <w:top w:val="single" w:sz="8" w:color="E9E9E9"/>
            </w:tcBorders>
            <w:shd w:val="clear" w:color="auto" w:fill="E9E9E9"/>
          </w:tcPr>
          <w:p>
            <w:pPr>
              <w:spacing w:after="0"/>
              <w:rPr>
                <w:sz w:val="14"/>
                <w:szCs w:val="14"/>
                <w:color w:val="auto"/>
              </w:rPr>
            </w:pPr>
          </w:p>
        </w:tc>
        <w:tc>
          <w:tcPr>
            <w:tcW w:w="20" w:type="dxa"/>
            <w:vAlign w:val="bottom"/>
            <w:tcBorders>
              <w:top w:val="single" w:sz="8" w:color="auto"/>
            </w:tcBorders>
            <w:shd w:val="clear" w:color="auto" w:fill="E9E9E9"/>
          </w:tcPr>
          <w:p>
            <w:pPr>
              <w:spacing w:after="0"/>
              <w:rPr>
                <w:sz w:val="14"/>
                <w:szCs w:val="14"/>
                <w:color w:val="auto"/>
              </w:rPr>
            </w:pPr>
          </w:p>
        </w:tc>
        <w:tc>
          <w:tcPr>
            <w:tcW w:w="60" w:type="dxa"/>
            <w:vAlign w:val="bottom"/>
            <w:tcBorders>
              <w:top w:val="single" w:sz="8" w:color="auto"/>
            </w:tcBorders>
            <w:shd w:val="clear" w:color="auto" w:fill="E9E9E9"/>
          </w:tcPr>
          <w:p>
            <w:pPr>
              <w:spacing w:after="0"/>
              <w:rPr>
                <w:sz w:val="14"/>
                <w:szCs w:val="14"/>
                <w:color w:val="auto"/>
              </w:rPr>
            </w:pPr>
          </w:p>
        </w:tc>
        <w:tc>
          <w:tcPr>
            <w:tcW w:w="40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w w:val="82"/>
              </w:rPr>
              <w:t>35,505</w:t>
            </w:r>
          </w:p>
        </w:tc>
        <w:tc>
          <w:tcPr>
            <w:tcW w:w="20" w:type="dxa"/>
            <w:vAlign w:val="bottom"/>
            <w:tcBorders>
              <w:top w:val="single" w:sz="8" w:color="E9E9E9"/>
            </w:tcBorders>
            <w:shd w:val="clear" w:color="auto" w:fill="E9E9E9"/>
          </w:tcPr>
          <w:p>
            <w:pPr>
              <w:spacing w:after="0"/>
              <w:rPr>
                <w:sz w:val="14"/>
                <w:szCs w:val="14"/>
                <w:color w:val="auto"/>
              </w:rPr>
            </w:pPr>
          </w:p>
        </w:tc>
        <w:tc>
          <w:tcPr>
            <w:tcW w:w="40" w:type="dxa"/>
            <w:vAlign w:val="bottom"/>
            <w:tcBorders>
              <w:top w:val="single" w:sz="8" w:color="E9E9E9"/>
            </w:tcBorders>
            <w:shd w:val="clear" w:color="auto" w:fill="E9E9E9"/>
          </w:tcPr>
          <w:p>
            <w:pPr>
              <w:spacing w:after="0"/>
              <w:rPr>
                <w:sz w:val="14"/>
                <w:szCs w:val="14"/>
                <w:color w:val="auto"/>
              </w:rPr>
            </w:pPr>
          </w:p>
        </w:tc>
        <w:tc>
          <w:tcPr>
            <w:tcW w:w="20" w:type="dxa"/>
            <w:vAlign w:val="bottom"/>
            <w:tcBorders>
              <w:top w:val="single" w:sz="8" w:color="E9E9E9"/>
            </w:tcBorders>
            <w:shd w:val="clear" w:color="auto" w:fill="E9E9E9"/>
          </w:tcPr>
          <w:p>
            <w:pPr>
              <w:spacing w:after="0"/>
              <w:rPr>
                <w:sz w:val="14"/>
                <w:szCs w:val="14"/>
                <w:color w:val="auto"/>
              </w:rPr>
            </w:pPr>
          </w:p>
        </w:tc>
        <w:tc>
          <w:tcPr>
            <w:tcW w:w="120" w:type="dxa"/>
            <w:vAlign w:val="bottom"/>
            <w:tcBorders>
              <w:top w:val="single" w:sz="8" w:color="auto"/>
            </w:tcBorders>
            <w:shd w:val="clear" w:color="auto" w:fill="E9E9E9"/>
          </w:tcPr>
          <w:p>
            <w:pPr>
              <w:spacing w:after="0" w:line="170"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rPr>
              <w:t>355</w:t>
            </w:r>
          </w:p>
        </w:tc>
        <w:tc>
          <w:tcPr>
            <w:tcW w:w="60" w:type="dxa"/>
            <w:vAlign w:val="bottom"/>
            <w:shd w:val="clear" w:color="auto" w:fill="E9E9E9"/>
          </w:tcPr>
          <w:p>
            <w:pPr>
              <w:spacing w:after="0"/>
              <w:rPr>
                <w:sz w:val="14"/>
                <w:szCs w:val="14"/>
                <w:color w:val="auto"/>
              </w:rPr>
            </w:pPr>
          </w:p>
        </w:tc>
        <w:tc>
          <w:tcPr>
            <w:tcW w:w="140" w:type="dxa"/>
            <w:vAlign w:val="bottom"/>
            <w:tcBorders>
              <w:top w:val="single" w:sz="8" w:color="auto"/>
            </w:tcBorders>
            <w:shd w:val="clear" w:color="auto" w:fill="E9E9E9"/>
          </w:tcPr>
          <w:p>
            <w:pPr>
              <w:spacing w:after="0" w:line="170" w:lineRule="exact"/>
              <w:rPr>
                <w:sz w:val="20"/>
                <w:szCs w:val="20"/>
                <w:color w:val="auto"/>
              </w:rPr>
            </w:pPr>
            <w:r>
              <w:rPr>
                <w:rFonts w:ascii="Arial" w:cs="Arial" w:eastAsia="Arial" w:hAnsi="Arial"/>
                <w:sz w:val="15"/>
                <w:szCs w:val="15"/>
                <w:color w:val="auto"/>
                <w:shd w:val="clear" w:color="auto" w:fill="E9E9E9"/>
              </w:rPr>
              <w:t>$</w:t>
            </w:r>
          </w:p>
        </w:tc>
        <w:tc>
          <w:tcPr>
            <w:tcW w:w="50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w w:val="88"/>
                <w:shd w:val="clear" w:color="auto" w:fill="E9E9E9"/>
              </w:rPr>
              <w:t>255,296</w:t>
            </w:r>
          </w:p>
        </w:tc>
        <w:tc>
          <w:tcPr>
            <w:tcW w:w="20" w:type="dxa"/>
            <w:vAlign w:val="bottom"/>
            <w:tcBorders>
              <w:top w:val="single" w:sz="8" w:color="E9E9E9"/>
            </w:tcBorders>
            <w:shd w:val="clear" w:color="auto" w:fill="E9E9E9"/>
          </w:tcPr>
          <w:p>
            <w:pPr>
              <w:spacing w:after="0"/>
              <w:rPr>
                <w:sz w:val="14"/>
                <w:szCs w:val="14"/>
                <w:color w:val="auto"/>
              </w:rPr>
            </w:pPr>
          </w:p>
        </w:tc>
        <w:tc>
          <w:tcPr>
            <w:tcW w:w="40" w:type="dxa"/>
            <w:vAlign w:val="bottom"/>
            <w:tcBorders>
              <w:top w:val="single" w:sz="8" w:color="E9E9E9"/>
            </w:tcBorders>
            <w:shd w:val="clear" w:color="auto" w:fill="E9E9E9"/>
          </w:tcPr>
          <w:p>
            <w:pPr>
              <w:spacing w:after="0"/>
              <w:rPr>
                <w:sz w:val="14"/>
                <w:szCs w:val="14"/>
                <w:color w:val="auto"/>
              </w:rPr>
            </w:pPr>
          </w:p>
        </w:tc>
        <w:tc>
          <w:tcPr>
            <w:tcW w:w="40" w:type="dxa"/>
            <w:vAlign w:val="bottom"/>
            <w:tcBorders>
              <w:top w:val="single" w:sz="8" w:color="E9E9E9"/>
            </w:tcBorders>
            <w:shd w:val="clear" w:color="auto" w:fill="E9E9E9"/>
          </w:tcPr>
          <w:p>
            <w:pPr>
              <w:spacing w:after="0"/>
              <w:rPr>
                <w:sz w:val="14"/>
                <w:szCs w:val="14"/>
                <w:color w:val="auto"/>
              </w:rPr>
            </w:pPr>
          </w:p>
        </w:tc>
        <w:tc>
          <w:tcPr>
            <w:tcW w:w="20" w:type="dxa"/>
            <w:vAlign w:val="bottom"/>
            <w:tcBorders>
              <w:top w:val="single" w:sz="8" w:color="E9E9E9"/>
            </w:tcBorders>
            <w:shd w:val="clear" w:color="auto" w:fill="E9E9E9"/>
          </w:tcPr>
          <w:p>
            <w:pPr>
              <w:spacing w:after="0"/>
              <w:rPr>
                <w:sz w:val="14"/>
                <w:szCs w:val="14"/>
                <w:color w:val="auto"/>
              </w:rPr>
            </w:pPr>
          </w:p>
        </w:tc>
        <w:tc>
          <w:tcPr>
            <w:tcW w:w="160" w:type="dxa"/>
            <w:vAlign w:val="bottom"/>
            <w:tcBorders>
              <w:top w:val="single" w:sz="8" w:color="auto"/>
            </w:tcBorders>
            <w:shd w:val="clear" w:color="auto" w:fill="E9E9E9"/>
          </w:tcPr>
          <w:p>
            <w:pPr>
              <w:spacing w:after="0" w:line="170" w:lineRule="exact"/>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rPr>
              <w:t>(38,141)</w:t>
            </w:r>
          </w:p>
        </w:tc>
        <w:tc>
          <w:tcPr>
            <w:tcW w:w="60" w:type="dxa"/>
            <w:vAlign w:val="bottom"/>
            <w:tcBorders>
              <w:top w:val="single" w:sz="8" w:color="E9E9E9"/>
            </w:tcBorders>
            <w:shd w:val="clear" w:color="auto" w:fill="E9E9E9"/>
          </w:tcPr>
          <w:p>
            <w:pPr>
              <w:spacing w:after="0"/>
              <w:rPr>
                <w:sz w:val="14"/>
                <w:szCs w:val="14"/>
                <w:color w:val="auto"/>
              </w:rPr>
            </w:pPr>
          </w:p>
        </w:tc>
        <w:tc>
          <w:tcPr>
            <w:tcW w:w="40" w:type="dxa"/>
            <w:vAlign w:val="bottom"/>
            <w:tcBorders>
              <w:top w:val="single" w:sz="8" w:color="E9E9E9"/>
            </w:tcBorders>
            <w:shd w:val="clear" w:color="auto" w:fill="E9E9E9"/>
          </w:tcPr>
          <w:p>
            <w:pPr>
              <w:spacing w:after="0"/>
              <w:rPr>
                <w:sz w:val="14"/>
                <w:szCs w:val="14"/>
                <w:color w:val="auto"/>
              </w:rPr>
            </w:pPr>
          </w:p>
        </w:tc>
        <w:tc>
          <w:tcPr>
            <w:tcW w:w="20" w:type="dxa"/>
            <w:vAlign w:val="bottom"/>
            <w:tcBorders>
              <w:top w:val="single" w:sz="8" w:color="E9E9E9"/>
            </w:tcBorders>
            <w:shd w:val="clear" w:color="auto" w:fill="E9E9E9"/>
          </w:tcPr>
          <w:p>
            <w:pPr>
              <w:spacing w:after="0"/>
              <w:rPr>
                <w:sz w:val="14"/>
                <w:szCs w:val="14"/>
                <w:color w:val="auto"/>
              </w:rPr>
            </w:pPr>
          </w:p>
        </w:tc>
        <w:tc>
          <w:tcPr>
            <w:tcW w:w="80" w:type="dxa"/>
            <w:vAlign w:val="bottom"/>
            <w:tcBorders>
              <w:top w:val="single" w:sz="8" w:color="auto"/>
            </w:tcBorders>
            <w:shd w:val="clear" w:color="auto" w:fill="E9E9E9"/>
          </w:tcPr>
          <w:p>
            <w:pPr>
              <w:spacing w:after="0" w:line="170" w:lineRule="exact"/>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E9E9E9"/>
          </w:tcPr>
          <w:p>
            <w:pPr>
              <w:spacing w:after="0"/>
              <w:rPr>
                <w:sz w:val="14"/>
                <w:szCs w:val="14"/>
                <w:color w:val="auto"/>
              </w:rPr>
            </w:pPr>
          </w:p>
        </w:tc>
        <w:tc>
          <w:tcPr>
            <w:tcW w:w="78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rPr>
              <w:t>(14,496)</w:t>
            </w:r>
          </w:p>
        </w:tc>
        <w:tc>
          <w:tcPr>
            <w:tcW w:w="120" w:type="dxa"/>
            <w:vAlign w:val="bottom"/>
            <w:tcBorders>
              <w:top w:val="single" w:sz="8" w:color="E9E9E9"/>
            </w:tcBorders>
            <w:shd w:val="clear" w:color="auto" w:fill="E9E9E9"/>
          </w:tcPr>
          <w:p>
            <w:pPr>
              <w:spacing w:after="0"/>
              <w:rPr>
                <w:sz w:val="14"/>
                <w:szCs w:val="14"/>
                <w:color w:val="auto"/>
              </w:rPr>
            </w:pPr>
          </w:p>
        </w:tc>
        <w:tc>
          <w:tcPr>
            <w:tcW w:w="20" w:type="dxa"/>
            <w:vAlign w:val="bottom"/>
            <w:tcBorders>
              <w:top w:val="single" w:sz="8" w:color="auto"/>
            </w:tcBorders>
            <w:shd w:val="clear" w:color="auto" w:fill="E9E9E9"/>
          </w:tcPr>
          <w:p>
            <w:pPr>
              <w:spacing w:after="0"/>
              <w:rPr>
                <w:sz w:val="14"/>
                <w:szCs w:val="14"/>
                <w:color w:val="auto"/>
              </w:rPr>
            </w:pPr>
          </w:p>
        </w:tc>
        <w:tc>
          <w:tcPr>
            <w:tcW w:w="80" w:type="dxa"/>
            <w:vAlign w:val="bottom"/>
            <w:tcBorders>
              <w:top w:val="single" w:sz="8" w:color="auto"/>
            </w:tcBorders>
            <w:shd w:val="clear" w:color="auto" w:fill="E9E9E9"/>
          </w:tcPr>
          <w:p>
            <w:pPr>
              <w:spacing w:after="0"/>
              <w:rPr>
                <w:sz w:val="14"/>
                <w:szCs w:val="14"/>
                <w:color w:val="auto"/>
              </w:rPr>
            </w:pPr>
          </w:p>
        </w:tc>
        <w:tc>
          <w:tcPr>
            <w:tcW w:w="36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w w:val="96"/>
              </w:rPr>
              <w:t>(138)</w:t>
            </w:r>
          </w:p>
        </w:tc>
        <w:tc>
          <w:tcPr>
            <w:tcW w:w="20" w:type="dxa"/>
            <w:vAlign w:val="bottom"/>
            <w:tcBorders>
              <w:top w:val="single" w:sz="8" w:color="auto"/>
            </w:tcBorders>
            <w:shd w:val="clear" w:color="auto" w:fill="E9E9E9"/>
          </w:tcPr>
          <w:p>
            <w:pPr>
              <w:spacing w:after="0"/>
              <w:rPr>
                <w:sz w:val="14"/>
                <w:szCs w:val="14"/>
                <w:color w:val="auto"/>
              </w:rPr>
            </w:pPr>
          </w:p>
        </w:tc>
        <w:tc>
          <w:tcPr>
            <w:tcW w:w="40" w:type="dxa"/>
            <w:vAlign w:val="bottom"/>
            <w:tcBorders>
              <w:top w:val="single" w:sz="8" w:color="E9E9E9"/>
            </w:tcBorders>
            <w:shd w:val="clear" w:color="auto" w:fill="E9E9E9"/>
          </w:tcPr>
          <w:p>
            <w:pPr>
              <w:spacing w:after="0"/>
              <w:rPr>
                <w:sz w:val="14"/>
                <w:szCs w:val="14"/>
                <w:color w:val="auto"/>
              </w:rPr>
            </w:pPr>
          </w:p>
        </w:tc>
        <w:tc>
          <w:tcPr>
            <w:tcW w:w="60" w:type="dxa"/>
            <w:vAlign w:val="bottom"/>
            <w:tcBorders>
              <w:top w:val="single" w:sz="8" w:color="E9E9E9"/>
            </w:tcBorders>
            <w:shd w:val="clear" w:color="auto" w:fill="E9E9E9"/>
          </w:tcPr>
          <w:p>
            <w:pPr>
              <w:spacing w:after="0"/>
              <w:rPr>
                <w:sz w:val="14"/>
                <w:szCs w:val="14"/>
                <w:color w:val="auto"/>
              </w:rPr>
            </w:pPr>
          </w:p>
        </w:tc>
        <w:tc>
          <w:tcPr>
            <w:tcW w:w="20" w:type="dxa"/>
            <w:vAlign w:val="bottom"/>
            <w:tcBorders>
              <w:top w:val="single" w:sz="8" w:color="E9E9E9"/>
            </w:tcBorders>
            <w:shd w:val="clear" w:color="auto" w:fill="E9E9E9"/>
          </w:tcPr>
          <w:p>
            <w:pPr>
              <w:spacing w:after="0"/>
              <w:rPr>
                <w:sz w:val="14"/>
                <w:szCs w:val="14"/>
                <w:color w:val="auto"/>
              </w:rPr>
            </w:pPr>
          </w:p>
        </w:tc>
        <w:tc>
          <w:tcPr>
            <w:tcW w:w="100" w:type="dxa"/>
            <w:vAlign w:val="bottom"/>
            <w:tcBorders>
              <w:top w:val="single" w:sz="8" w:color="auto"/>
            </w:tcBorders>
            <w:shd w:val="clear" w:color="auto" w:fill="E9E9E9"/>
          </w:tcPr>
          <w:p>
            <w:pPr>
              <w:spacing w:after="0" w:line="170" w:lineRule="exact"/>
              <w:rPr>
                <w:sz w:val="20"/>
                <w:szCs w:val="20"/>
                <w:color w:val="auto"/>
              </w:rPr>
            </w:pPr>
            <w:r>
              <w:rPr>
                <w:rFonts w:ascii="Arial" w:cs="Arial" w:eastAsia="Arial" w:hAnsi="Arial"/>
                <w:sz w:val="15"/>
                <w:szCs w:val="15"/>
                <w:color w:val="auto"/>
                <w:w w:val="95"/>
              </w:rPr>
              <w:t>$</w:t>
            </w:r>
          </w:p>
        </w:tc>
        <w:tc>
          <w:tcPr>
            <w:tcW w:w="40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rPr>
              <w:t>(356)</w:t>
            </w:r>
          </w:p>
        </w:tc>
        <w:tc>
          <w:tcPr>
            <w:tcW w:w="60" w:type="dxa"/>
            <w:vAlign w:val="bottom"/>
            <w:shd w:val="clear" w:color="auto" w:fill="E9E9E9"/>
          </w:tcPr>
          <w:p>
            <w:pPr>
              <w:spacing w:after="0"/>
              <w:rPr>
                <w:sz w:val="14"/>
                <w:szCs w:val="14"/>
                <w:color w:val="auto"/>
              </w:rPr>
            </w:pPr>
          </w:p>
        </w:tc>
        <w:tc>
          <w:tcPr>
            <w:tcW w:w="200" w:type="dxa"/>
            <w:vAlign w:val="bottom"/>
            <w:tcBorders>
              <w:top w:val="single" w:sz="8" w:color="auto"/>
            </w:tcBorders>
            <w:shd w:val="clear" w:color="auto" w:fill="E9E9E9"/>
          </w:tcPr>
          <w:p>
            <w:pPr>
              <w:spacing w:after="0" w:line="170"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rPr>
              <w:t>953</w:t>
            </w:r>
          </w:p>
        </w:tc>
        <w:tc>
          <w:tcPr>
            <w:tcW w:w="60" w:type="dxa"/>
            <w:vAlign w:val="bottom"/>
            <w:tcBorders>
              <w:top w:val="single" w:sz="8" w:color="E9E9E9"/>
            </w:tcBorders>
            <w:shd w:val="clear" w:color="auto" w:fill="E9E9E9"/>
          </w:tcPr>
          <w:p>
            <w:pPr>
              <w:spacing w:after="0"/>
              <w:rPr>
                <w:sz w:val="14"/>
                <w:szCs w:val="14"/>
                <w:color w:val="auto"/>
              </w:rPr>
            </w:pPr>
          </w:p>
        </w:tc>
        <w:tc>
          <w:tcPr>
            <w:tcW w:w="60" w:type="dxa"/>
            <w:vAlign w:val="bottom"/>
            <w:tcBorders>
              <w:top w:val="single" w:sz="8" w:color="E9E9E9"/>
            </w:tcBorders>
            <w:shd w:val="clear" w:color="auto" w:fill="E9E9E9"/>
          </w:tcPr>
          <w:p>
            <w:pPr>
              <w:spacing w:after="0"/>
              <w:rPr>
                <w:sz w:val="14"/>
                <w:szCs w:val="14"/>
                <w:color w:val="auto"/>
              </w:rPr>
            </w:pPr>
          </w:p>
        </w:tc>
        <w:tc>
          <w:tcPr>
            <w:tcW w:w="20" w:type="dxa"/>
            <w:vAlign w:val="bottom"/>
            <w:tcBorders>
              <w:top w:val="single" w:sz="8" w:color="E9E9E9"/>
            </w:tcBorders>
            <w:shd w:val="clear" w:color="auto" w:fill="E9E9E9"/>
          </w:tcPr>
          <w:p>
            <w:pPr>
              <w:spacing w:after="0"/>
              <w:rPr>
                <w:sz w:val="14"/>
                <w:szCs w:val="14"/>
                <w:color w:val="auto"/>
              </w:rPr>
            </w:pPr>
          </w:p>
        </w:tc>
        <w:tc>
          <w:tcPr>
            <w:tcW w:w="160" w:type="dxa"/>
            <w:vAlign w:val="bottom"/>
            <w:tcBorders>
              <w:top w:val="single" w:sz="8" w:color="auto"/>
            </w:tcBorders>
            <w:shd w:val="clear" w:color="auto" w:fill="E9E9E9"/>
          </w:tcPr>
          <w:p>
            <w:pPr>
              <w:spacing w:after="0" w:line="170"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E9E9E9"/>
          </w:tcPr>
          <w:p>
            <w:pPr>
              <w:jc w:val="right"/>
              <w:spacing w:after="0" w:line="170" w:lineRule="exact"/>
              <w:rPr>
                <w:sz w:val="20"/>
                <w:szCs w:val="20"/>
                <w:color w:val="auto"/>
              </w:rPr>
            </w:pPr>
            <w:r>
              <w:rPr>
                <w:rFonts w:ascii="Arial" w:cs="Arial" w:eastAsia="Arial" w:hAnsi="Arial"/>
                <w:sz w:val="15"/>
                <w:szCs w:val="15"/>
                <w:color w:val="auto"/>
              </w:rPr>
              <w:t>203,611</w:t>
            </w:r>
          </w:p>
        </w:tc>
        <w:tc>
          <w:tcPr>
            <w:tcW w:w="60" w:type="dxa"/>
            <w:vAlign w:val="bottom"/>
            <w:shd w:val="clear" w:color="auto" w:fill="E9E9E9"/>
          </w:tcPr>
          <w:p>
            <w:pPr>
              <w:spacing w:after="0"/>
              <w:rPr>
                <w:sz w:val="14"/>
                <w:szCs w:val="14"/>
                <w:color w:val="auto"/>
              </w:rPr>
            </w:pPr>
          </w:p>
        </w:tc>
      </w:tr>
      <w:tr>
        <w:trPr>
          <w:trHeight w:val="170"/>
        </w:trPr>
        <w:tc>
          <w:tcPr>
            <w:tcW w:w="3560" w:type="dxa"/>
            <w:vAlign w:val="bottom"/>
            <w:gridSpan w:val="4"/>
          </w:tcPr>
          <w:p>
            <w:pPr>
              <w:spacing w:after="0" w:line="170" w:lineRule="exact"/>
              <w:rPr>
                <w:sz w:val="20"/>
                <w:szCs w:val="20"/>
                <w:color w:val="auto"/>
              </w:rPr>
            </w:pPr>
            <w:r>
              <w:rPr>
                <w:rFonts w:ascii="Arial" w:cs="Arial" w:eastAsia="Arial" w:hAnsi="Arial"/>
                <w:sz w:val="15"/>
                <w:szCs w:val="15"/>
                <w:color w:val="auto"/>
              </w:rPr>
              <w:t>Net income for the year ended December 31, 2021</w:t>
            </w:r>
          </w:p>
        </w:tc>
        <w:tc>
          <w:tcPr>
            <w:tcW w:w="4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1,426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557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5"/>
                <w:szCs w:val="15"/>
                <w:color w:val="auto"/>
              </w:rPr>
              <w:t>1,983</w:t>
            </w:r>
          </w:p>
        </w:tc>
        <w:tc>
          <w:tcPr>
            <w:tcW w:w="60" w:type="dxa"/>
            <w:vAlign w:val="bottom"/>
          </w:tcPr>
          <w:p>
            <w:pPr>
              <w:spacing w:after="0"/>
              <w:rPr>
                <w:sz w:val="14"/>
                <w:szCs w:val="14"/>
                <w:color w:val="auto"/>
              </w:rPr>
            </w:pPr>
          </w:p>
        </w:tc>
      </w:tr>
      <w:tr>
        <w:trPr>
          <w:trHeight w:val="172"/>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rPr>
              <w:t>Exercise of stock options</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2</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13</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13</w:t>
            </w:r>
          </w:p>
        </w:tc>
        <w:tc>
          <w:tcPr>
            <w:tcW w:w="60" w:type="dxa"/>
            <w:vAlign w:val="bottom"/>
            <w:shd w:val="clear" w:color="auto" w:fill="E9E9E9"/>
          </w:tcPr>
          <w:p>
            <w:pPr>
              <w:spacing w:after="0"/>
              <w:rPr>
                <w:sz w:val="14"/>
                <w:szCs w:val="14"/>
                <w:color w:val="auto"/>
              </w:rPr>
            </w:pPr>
          </w:p>
        </w:tc>
      </w:tr>
      <w:tr>
        <w:trPr>
          <w:trHeight w:val="170"/>
        </w:trPr>
        <w:tc>
          <w:tcPr>
            <w:tcW w:w="3560" w:type="dxa"/>
            <w:vAlign w:val="bottom"/>
            <w:gridSpan w:val="4"/>
          </w:tcPr>
          <w:p>
            <w:pPr>
              <w:spacing w:after="0" w:line="170" w:lineRule="exact"/>
              <w:rPr>
                <w:sz w:val="20"/>
                <w:szCs w:val="20"/>
                <w:color w:val="auto"/>
              </w:rPr>
            </w:pPr>
            <w:r>
              <w:rPr>
                <w:rFonts w:ascii="Arial" w:cs="Arial" w:eastAsia="Arial" w:hAnsi="Arial"/>
                <w:sz w:val="15"/>
                <w:szCs w:val="15"/>
                <w:color w:val="auto"/>
              </w:rPr>
              <w:t>Restricted stock units issued</w:t>
            </w:r>
          </w:p>
        </w:tc>
        <w:tc>
          <w:tcPr>
            <w:tcW w:w="480" w:type="dxa"/>
            <w:vAlign w:val="bottom"/>
            <w:gridSpan w:val="3"/>
          </w:tcPr>
          <w:p>
            <w:pPr>
              <w:jc w:val="right"/>
              <w:ind w:right="20"/>
              <w:spacing w:after="0" w:line="170" w:lineRule="exact"/>
              <w:rPr>
                <w:sz w:val="20"/>
                <w:szCs w:val="20"/>
                <w:color w:val="auto"/>
              </w:rPr>
            </w:pPr>
            <w:r>
              <w:rPr>
                <w:rFonts w:ascii="Arial" w:cs="Arial" w:eastAsia="Arial" w:hAnsi="Arial"/>
                <w:sz w:val="15"/>
                <w:szCs w:val="15"/>
                <w:color w:val="auto"/>
              </w:rPr>
              <w:t>263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3</w:t>
            </w:r>
          </w:p>
        </w:tc>
        <w:tc>
          <w:tcPr>
            <w:tcW w:w="140" w:type="dxa"/>
            <w:vAlign w:val="bottom"/>
          </w:tcPr>
          <w:p>
            <w:pPr>
              <w:spacing w:after="0"/>
              <w:rPr>
                <w:sz w:val="14"/>
                <w:szCs w:val="14"/>
                <w:color w:val="auto"/>
              </w:rPr>
            </w:pPr>
          </w:p>
        </w:tc>
        <w:tc>
          <w:tcPr>
            <w:tcW w:w="560" w:type="dxa"/>
            <w:vAlign w:val="bottom"/>
            <w:gridSpan w:val="3"/>
          </w:tcPr>
          <w:p>
            <w:pPr>
              <w:jc w:val="right"/>
              <w:ind w:right="20"/>
              <w:spacing w:after="0" w:line="170" w:lineRule="exact"/>
              <w:rPr>
                <w:sz w:val="20"/>
                <w:szCs w:val="20"/>
                <w:color w:val="auto"/>
              </w:rPr>
            </w:pPr>
            <w:r>
              <w:rPr>
                <w:rFonts w:ascii="Arial" w:cs="Arial" w:eastAsia="Arial" w:hAnsi="Arial"/>
                <w:sz w:val="15"/>
                <w:szCs w:val="15"/>
                <w:color w:val="auto"/>
              </w:rPr>
              <w:t>(517)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(514)</w:t>
            </w:r>
          </w:p>
        </w:tc>
      </w:tr>
      <w:tr>
        <w:trPr>
          <w:trHeight w:val="172"/>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rPr>
              <w:t>Share-based compensation earned</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39</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3,558</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3,558</w:t>
            </w:r>
          </w:p>
        </w:tc>
        <w:tc>
          <w:tcPr>
            <w:tcW w:w="60" w:type="dxa"/>
            <w:vAlign w:val="bottom"/>
            <w:shd w:val="clear" w:color="auto" w:fill="E9E9E9"/>
          </w:tcPr>
          <w:p>
            <w:pPr>
              <w:spacing w:after="0"/>
              <w:rPr>
                <w:sz w:val="14"/>
                <w:szCs w:val="14"/>
                <w:color w:val="auto"/>
              </w:rPr>
            </w:pPr>
          </w:p>
        </w:tc>
      </w:tr>
      <w:tr>
        <w:trPr>
          <w:trHeight w:val="168"/>
        </w:trPr>
        <w:tc>
          <w:tcPr>
            <w:tcW w:w="3560" w:type="dxa"/>
            <w:vAlign w:val="bottom"/>
            <w:gridSpan w:val="4"/>
          </w:tcPr>
          <w:p>
            <w:pPr>
              <w:spacing w:after="0" w:line="167" w:lineRule="exact"/>
              <w:rPr>
                <w:sz w:val="20"/>
                <w:szCs w:val="20"/>
                <w:color w:val="auto"/>
              </w:rPr>
            </w:pPr>
            <w:r>
              <w:rPr>
                <w:rFonts w:ascii="Arial" w:cs="Arial" w:eastAsia="Arial" w:hAnsi="Arial"/>
                <w:sz w:val="15"/>
                <w:szCs w:val="15"/>
                <w:color w:val="auto"/>
                <w:w w:val="95"/>
              </w:rPr>
              <w:t>Common stock repurchase and retirement (See Note 9)</w:t>
            </w:r>
          </w:p>
        </w:tc>
        <w:tc>
          <w:tcPr>
            <w:tcW w:w="520" w:type="dxa"/>
            <w:vAlign w:val="bottom"/>
            <w:gridSpan w:val="4"/>
          </w:tcPr>
          <w:p>
            <w:pPr>
              <w:jc w:val="right"/>
              <w:spacing w:after="0" w:line="167" w:lineRule="exact"/>
              <w:rPr>
                <w:sz w:val="20"/>
                <w:szCs w:val="20"/>
                <w:color w:val="auto"/>
              </w:rPr>
            </w:pPr>
            <w:r>
              <w:rPr>
                <w:rFonts w:ascii="Arial" w:cs="Arial" w:eastAsia="Arial" w:hAnsi="Arial"/>
                <w:sz w:val="15"/>
                <w:szCs w:val="15"/>
                <w:color w:val="auto"/>
              </w:rPr>
              <w:t>(781)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(8)</w:t>
            </w:r>
          </w:p>
        </w:tc>
        <w:tc>
          <w:tcPr>
            <w:tcW w:w="140" w:type="dxa"/>
            <w:vAlign w:val="bottom"/>
          </w:tcPr>
          <w:p>
            <w:pPr>
              <w:spacing w:after="0"/>
              <w:rPr>
                <w:sz w:val="14"/>
                <w:szCs w:val="14"/>
                <w:color w:val="auto"/>
              </w:rPr>
            </w:pPr>
          </w:p>
        </w:tc>
        <w:tc>
          <w:tcPr>
            <w:tcW w:w="560" w:type="dxa"/>
            <w:vAlign w:val="bottom"/>
            <w:gridSpan w:val="3"/>
          </w:tcPr>
          <w:p>
            <w:pPr>
              <w:jc w:val="right"/>
              <w:ind w:right="20"/>
              <w:spacing w:after="0" w:line="167" w:lineRule="exact"/>
              <w:rPr>
                <w:sz w:val="20"/>
                <w:szCs w:val="20"/>
                <w:color w:val="auto"/>
              </w:rPr>
            </w:pPr>
            <w:r>
              <w:rPr>
                <w:rFonts w:ascii="Arial" w:cs="Arial" w:eastAsia="Arial" w:hAnsi="Arial"/>
                <w:sz w:val="15"/>
                <w:szCs w:val="15"/>
                <w:color w:val="auto"/>
              </w:rPr>
              <w:t>(5,361)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138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60"/>
              <w:spacing w:after="0" w:line="167" w:lineRule="exact"/>
              <w:rPr>
                <w:sz w:val="20"/>
                <w:szCs w:val="20"/>
                <w:color w:val="auto"/>
              </w:rPr>
            </w:pPr>
            <w:r>
              <w:rPr>
                <w:rFonts w:ascii="Arial" w:cs="Arial" w:eastAsia="Arial" w:hAnsi="Arial"/>
                <w:sz w:val="15"/>
                <w:szCs w:val="15"/>
                <w:color w:val="auto"/>
              </w:rPr>
              <w:t>356</w:t>
            </w:r>
          </w:p>
        </w:tc>
        <w:tc>
          <w:tcPr>
            <w:tcW w:w="20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(5,013)</w:t>
            </w:r>
          </w:p>
        </w:tc>
      </w:tr>
      <w:tr>
        <w:trPr>
          <w:trHeight w:val="170"/>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w w:val="97"/>
              </w:rPr>
              <w:t>Adjustment for minimum pension liability, net of tax of</w:t>
            </w:r>
          </w:p>
        </w:tc>
        <w:tc>
          <w:tcPr>
            <w:tcW w:w="60" w:type="dxa"/>
            <w:vAlign w:val="bottom"/>
            <w:shd w:val="clear" w:color="auto" w:fill="E9E9E9"/>
          </w:tcPr>
          <w:p>
            <w:pPr>
              <w:spacing w:after="0"/>
              <w:rPr>
                <w:sz w:val="14"/>
                <w:szCs w:val="14"/>
                <w:color w:val="auto"/>
              </w:rPr>
            </w:pPr>
          </w:p>
        </w:tc>
        <w:tc>
          <w:tcPr>
            <w:tcW w:w="40" w:type="dxa"/>
            <w:vAlign w:val="bottom"/>
            <w:gridSpan w:val="2"/>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r>
      <w:tr>
        <w:trPr>
          <w:trHeight w:val="172"/>
        </w:trPr>
        <w:tc>
          <w:tcPr>
            <w:tcW w:w="3460" w:type="dxa"/>
            <w:vAlign w:val="bottom"/>
            <w:shd w:val="clear" w:color="auto" w:fill="E9E9E9"/>
          </w:tcPr>
          <w:p>
            <w:pPr>
              <w:spacing w:after="0" w:line="172" w:lineRule="exact"/>
              <w:rPr>
                <w:sz w:val="20"/>
                <w:szCs w:val="20"/>
                <w:color w:val="auto"/>
              </w:rPr>
            </w:pPr>
            <w:r>
              <w:rPr>
                <w:rFonts w:ascii="Arial" w:cs="Arial" w:eastAsia="Arial" w:hAnsi="Arial"/>
                <w:sz w:val="15"/>
                <w:szCs w:val="15"/>
                <w:color w:val="auto"/>
              </w:rPr>
              <w:t>$866</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2,964</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2,964</w:t>
            </w:r>
          </w:p>
        </w:tc>
        <w:tc>
          <w:tcPr>
            <w:tcW w:w="60" w:type="dxa"/>
            <w:vAlign w:val="bottom"/>
            <w:shd w:val="clear" w:color="auto" w:fill="E9E9E9"/>
          </w:tcPr>
          <w:p>
            <w:pPr>
              <w:spacing w:after="0"/>
              <w:rPr>
                <w:sz w:val="14"/>
                <w:szCs w:val="14"/>
                <w:color w:val="auto"/>
              </w:rPr>
            </w:pPr>
          </w:p>
        </w:tc>
      </w:tr>
      <w:tr>
        <w:trPr>
          <w:trHeight w:val="170"/>
        </w:trPr>
        <w:tc>
          <w:tcPr>
            <w:tcW w:w="3560" w:type="dxa"/>
            <w:vAlign w:val="bottom"/>
            <w:gridSpan w:val="4"/>
          </w:tcPr>
          <w:p>
            <w:pPr>
              <w:spacing w:after="0" w:line="170" w:lineRule="exact"/>
              <w:rPr>
                <w:sz w:val="20"/>
                <w:szCs w:val="20"/>
                <w:color w:val="auto"/>
              </w:rPr>
            </w:pPr>
            <w:r>
              <w:rPr>
                <w:rFonts w:ascii="Arial" w:cs="Arial" w:eastAsia="Arial" w:hAnsi="Arial"/>
                <w:sz w:val="15"/>
                <w:szCs w:val="15"/>
                <w:color w:val="auto"/>
              </w:rPr>
              <w:t>Translation loss</w:t>
            </w:r>
          </w:p>
        </w:tc>
        <w:tc>
          <w:tcPr>
            <w:tcW w:w="4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60"/>
              <w:spacing w:after="0" w:line="170" w:lineRule="exact"/>
              <w:rPr>
                <w:sz w:val="20"/>
                <w:szCs w:val="20"/>
                <w:color w:val="auto"/>
              </w:rPr>
            </w:pPr>
            <w:r>
              <w:rPr>
                <w:rFonts w:ascii="Arial" w:cs="Arial" w:eastAsia="Arial" w:hAnsi="Arial"/>
                <w:sz w:val="15"/>
                <w:szCs w:val="15"/>
                <w:color w:val="auto"/>
              </w:rPr>
              <w:t>(538)</w:t>
            </w:r>
          </w:p>
        </w:tc>
        <w:tc>
          <w:tcPr>
            <w:tcW w:w="20" w:type="dxa"/>
            <w:vAlign w:val="bottom"/>
          </w:tcPr>
          <w:p>
            <w:pPr>
              <w:spacing w:after="0"/>
              <w:rPr>
                <w:sz w:val="14"/>
                <w:szCs w:val="14"/>
                <w:color w:val="auto"/>
              </w:rPr>
            </w:pPr>
          </w:p>
        </w:tc>
        <w:tc>
          <w:tcPr>
            <w:tcW w:w="4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(538)</w:t>
            </w:r>
          </w:p>
        </w:tc>
      </w:tr>
      <w:tr>
        <w:trPr>
          <w:trHeight w:val="171"/>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rPr>
              <w:t>Noncontrolling interest distribution</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tcBorders>
              <w:bottom w:val="single" w:sz="8" w:color="auto"/>
            </w:tcBorders>
            <w:shd w:val="clear" w:color="auto" w:fill="E9E9E9"/>
          </w:tcPr>
          <w:p>
            <w:pPr>
              <w:spacing w:after="0"/>
              <w:rPr>
                <w:sz w:val="14"/>
                <w:szCs w:val="14"/>
                <w:color w:val="auto"/>
              </w:rPr>
            </w:pPr>
          </w:p>
        </w:tc>
        <w:tc>
          <w:tcPr>
            <w:tcW w:w="6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140" w:type="dxa"/>
            <w:vAlign w:val="bottom"/>
            <w:tcBorders>
              <w:bottom w:val="single" w:sz="8" w:color="auto"/>
            </w:tcBorders>
            <w:shd w:val="clear" w:color="auto" w:fill="E9E9E9"/>
          </w:tcPr>
          <w:p>
            <w:pPr>
              <w:spacing w:after="0"/>
              <w:rPr>
                <w:sz w:val="14"/>
                <w:szCs w:val="14"/>
                <w:color w:val="auto"/>
              </w:rPr>
            </w:pPr>
          </w:p>
        </w:tc>
        <w:tc>
          <w:tcPr>
            <w:tcW w:w="50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tcBorders>
              <w:bottom w:val="single" w:sz="8" w:color="auto"/>
            </w:tcBorders>
            <w:shd w:val="clear" w:color="auto" w:fill="E9E9E9"/>
          </w:tcPr>
          <w:p>
            <w:pPr>
              <w:spacing w:after="0"/>
              <w:rPr>
                <w:sz w:val="14"/>
                <w:szCs w:val="14"/>
                <w:color w:val="auto"/>
              </w:rPr>
            </w:pPr>
          </w:p>
        </w:tc>
        <w:tc>
          <w:tcPr>
            <w:tcW w:w="68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tcBorders>
              <w:bottom w:val="single" w:sz="8" w:color="auto"/>
            </w:tcBorders>
            <w:shd w:val="clear" w:color="auto" w:fill="E9E9E9"/>
          </w:tcPr>
          <w:p>
            <w:pPr>
              <w:spacing w:after="0"/>
              <w:rPr>
                <w:sz w:val="14"/>
                <w:szCs w:val="14"/>
                <w:color w:val="auto"/>
              </w:rPr>
            </w:pPr>
          </w:p>
        </w:tc>
        <w:tc>
          <w:tcPr>
            <w:tcW w:w="120" w:type="dxa"/>
            <w:vAlign w:val="bottom"/>
            <w:tcBorders>
              <w:bottom w:val="single" w:sz="8" w:color="auto"/>
            </w:tcBorders>
            <w:shd w:val="clear" w:color="auto" w:fill="E9E9E9"/>
          </w:tcPr>
          <w:p>
            <w:pPr>
              <w:spacing w:after="0"/>
              <w:rPr>
                <w:sz w:val="14"/>
                <w:szCs w:val="14"/>
                <w:color w:val="auto"/>
              </w:rPr>
            </w:pPr>
          </w:p>
        </w:tc>
        <w:tc>
          <w:tcPr>
            <w:tcW w:w="78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E9E9E9"/>
          </w:tcPr>
          <w:p>
            <w:pPr>
              <w:spacing w:after="0"/>
              <w:rPr>
                <w:sz w:val="14"/>
                <w:szCs w:val="14"/>
                <w:color w:val="auto"/>
              </w:rPr>
            </w:pPr>
          </w:p>
        </w:tc>
        <w:tc>
          <w:tcPr>
            <w:tcW w:w="20" w:type="dxa"/>
            <w:vAlign w:val="bottom"/>
            <w:tcBorders>
              <w:bottom w:val="single" w:sz="8" w:color="auto"/>
            </w:tcBorders>
            <w:shd w:val="clear" w:color="auto" w:fill="E9E9E9"/>
          </w:tcPr>
          <w:p>
            <w:pPr>
              <w:spacing w:after="0"/>
              <w:rPr>
                <w:sz w:val="14"/>
                <w:szCs w:val="14"/>
                <w:color w:val="auto"/>
              </w:rPr>
            </w:pPr>
          </w:p>
        </w:tc>
        <w:tc>
          <w:tcPr>
            <w:tcW w:w="80" w:type="dxa"/>
            <w:vAlign w:val="bottom"/>
            <w:tcBorders>
              <w:bottom w:val="single" w:sz="8" w:color="auto"/>
            </w:tcBorders>
            <w:shd w:val="clear" w:color="auto" w:fill="E9E9E9"/>
          </w:tcPr>
          <w:p>
            <w:pPr>
              <w:spacing w:after="0"/>
              <w:rPr>
                <w:sz w:val="14"/>
                <w:szCs w:val="14"/>
                <w:color w:val="auto"/>
              </w:rPr>
            </w:pPr>
          </w:p>
        </w:tc>
        <w:tc>
          <w:tcPr>
            <w:tcW w:w="36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tcBorders>
              <w:bottom w:val="single" w:sz="8" w:color="auto"/>
            </w:tcBorders>
            <w:shd w:val="clear" w:color="auto" w:fill="E9E9E9"/>
          </w:tcPr>
          <w:p>
            <w:pPr>
              <w:spacing w:after="0"/>
              <w:rPr>
                <w:sz w:val="14"/>
                <w:szCs w:val="14"/>
                <w:color w:val="auto"/>
              </w:rPr>
            </w:pPr>
          </w:p>
        </w:tc>
        <w:tc>
          <w:tcPr>
            <w:tcW w:w="76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(107)</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tcBorders>
              <w:bottom w:val="single" w:sz="8" w:color="auto"/>
            </w:tcBorders>
            <w:shd w:val="clear" w:color="auto" w:fill="E9E9E9"/>
          </w:tcPr>
          <w:p>
            <w:pPr>
              <w:spacing w:after="0"/>
              <w:rPr>
                <w:sz w:val="14"/>
                <w:szCs w:val="14"/>
                <w:color w:val="auto"/>
              </w:rPr>
            </w:pPr>
          </w:p>
        </w:tc>
        <w:tc>
          <w:tcPr>
            <w:tcW w:w="70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(107)</w:t>
            </w:r>
          </w:p>
        </w:tc>
        <w:tc>
          <w:tcPr>
            <w:tcW w:w="60" w:type="dxa"/>
            <w:vAlign w:val="bottom"/>
            <w:shd w:val="clear" w:color="auto" w:fill="E9E9E9"/>
          </w:tcPr>
          <w:p>
            <w:pPr>
              <w:spacing w:after="0"/>
              <w:rPr>
                <w:sz w:val="14"/>
                <w:szCs w:val="14"/>
                <w:color w:val="auto"/>
              </w:rPr>
            </w:pPr>
          </w:p>
        </w:tc>
      </w:tr>
      <w:tr>
        <w:trPr>
          <w:trHeight w:val="161"/>
        </w:trPr>
        <w:tc>
          <w:tcPr>
            <w:tcW w:w="3560" w:type="dxa"/>
            <w:vAlign w:val="bottom"/>
            <w:gridSpan w:val="4"/>
          </w:tcPr>
          <w:p>
            <w:pPr>
              <w:spacing w:after="0" w:line="161" w:lineRule="exact"/>
              <w:rPr>
                <w:sz w:val="20"/>
                <w:szCs w:val="20"/>
                <w:color w:val="auto"/>
              </w:rPr>
            </w:pPr>
            <w:r>
              <w:rPr>
                <w:rFonts w:ascii="Arial" w:cs="Arial" w:eastAsia="Arial" w:hAnsi="Arial"/>
                <w:sz w:val="15"/>
                <w:szCs w:val="15"/>
                <w:color w:val="auto"/>
              </w:rPr>
              <w:t>Balance December 31, 2021</w:t>
            </w:r>
          </w:p>
        </w:tc>
        <w:tc>
          <w:tcPr>
            <w:tcW w:w="480" w:type="dxa"/>
            <w:vAlign w:val="bottom"/>
            <w:gridSpan w:val="3"/>
          </w:tcPr>
          <w:p>
            <w:pPr>
              <w:jc w:val="right"/>
              <w:ind w:right="20"/>
              <w:spacing w:after="0" w:line="161" w:lineRule="exact"/>
              <w:rPr>
                <w:sz w:val="20"/>
                <w:szCs w:val="20"/>
                <w:color w:val="auto"/>
              </w:rPr>
            </w:pPr>
            <w:r>
              <w:rPr>
                <w:rFonts w:ascii="Arial" w:cs="Arial" w:eastAsia="Arial" w:hAnsi="Arial"/>
                <w:sz w:val="15"/>
                <w:szCs w:val="15"/>
                <w:color w:val="auto"/>
                <w:w w:val="95"/>
              </w:rPr>
              <w:t>35,028</w:t>
            </w:r>
          </w:p>
        </w:tc>
        <w:tc>
          <w:tcPr>
            <w:tcW w:w="40" w:type="dxa"/>
            <w:vAlign w:val="bottom"/>
          </w:tcPr>
          <w:p>
            <w:pPr>
              <w:spacing w:after="0"/>
              <w:rPr>
                <w:sz w:val="13"/>
                <w:szCs w:val="13"/>
                <w:color w:val="auto"/>
              </w:rPr>
            </w:pPr>
          </w:p>
        </w:tc>
        <w:tc>
          <w:tcPr>
            <w:tcW w:w="140" w:type="dxa"/>
            <w:vAlign w:val="bottom"/>
            <w:gridSpan w:val="2"/>
          </w:tcPr>
          <w:p>
            <w:pPr>
              <w:ind w:left="20"/>
              <w:spacing w:after="0" w:line="161" w:lineRule="exact"/>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60"/>
              <w:spacing w:after="0" w:line="161" w:lineRule="exact"/>
              <w:rPr>
                <w:sz w:val="20"/>
                <w:szCs w:val="20"/>
                <w:color w:val="auto"/>
              </w:rPr>
            </w:pPr>
            <w:r>
              <w:rPr>
                <w:rFonts w:ascii="Arial" w:cs="Arial" w:eastAsia="Arial" w:hAnsi="Arial"/>
                <w:sz w:val="15"/>
                <w:szCs w:val="15"/>
                <w:color w:val="auto"/>
              </w:rPr>
              <w:t>350</w:t>
            </w:r>
          </w:p>
        </w:tc>
        <w:tc>
          <w:tcPr>
            <w:tcW w:w="140" w:type="dxa"/>
            <w:vAlign w:val="bottom"/>
          </w:tcPr>
          <w:p>
            <w:pPr>
              <w:spacing w:after="0" w:line="161"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1" w:lineRule="exact"/>
              <w:rPr>
                <w:sz w:val="20"/>
                <w:szCs w:val="20"/>
                <w:color w:val="auto"/>
              </w:rPr>
            </w:pPr>
            <w:r>
              <w:rPr>
                <w:rFonts w:ascii="Arial" w:cs="Arial" w:eastAsia="Arial" w:hAnsi="Arial"/>
                <w:sz w:val="15"/>
                <w:szCs w:val="15"/>
                <w:color w:val="auto"/>
                <w:w w:val="88"/>
              </w:rPr>
              <w:t>252,989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3"/>
          </w:tcPr>
          <w:p>
            <w:pPr>
              <w:ind w:left="60"/>
              <w:spacing w:after="0" w:line="161"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line="161" w:lineRule="exact"/>
              <w:rPr>
                <w:sz w:val="20"/>
                <w:szCs w:val="20"/>
                <w:color w:val="auto"/>
              </w:rPr>
            </w:pPr>
            <w:r>
              <w:rPr>
                <w:rFonts w:ascii="Arial" w:cs="Arial" w:eastAsia="Arial" w:hAnsi="Arial"/>
                <w:sz w:val="15"/>
                <w:szCs w:val="15"/>
                <w:color w:val="auto"/>
              </w:rPr>
              <w:t>(36,715)</w:t>
            </w:r>
          </w:p>
        </w:tc>
        <w:tc>
          <w:tcPr>
            <w:tcW w:w="140" w:type="dxa"/>
            <w:vAlign w:val="bottom"/>
            <w:gridSpan w:val="3"/>
          </w:tcPr>
          <w:p>
            <w:pPr>
              <w:ind w:left="60"/>
              <w:spacing w:after="0" w:line="161" w:lineRule="exact"/>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line="161" w:lineRule="exact"/>
              <w:rPr>
                <w:sz w:val="20"/>
                <w:szCs w:val="20"/>
                <w:color w:val="auto"/>
              </w:rPr>
            </w:pPr>
            <w:r>
              <w:rPr>
                <w:rFonts w:ascii="Arial" w:cs="Arial" w:eastAsia="Arial" w:hAnsi="Arial"/>
                <w:sz w:val="15"/>
                <w:szCs w:val="15"/>
                <w:color w:val="auto"/>
              </w:rPr>
              <w:t>(12,070)</w:t>
            </w:r>
          </w:p>
        </w:tc>
        <w:tc>
          <w:tcPr>
            <w:tcW w:w="20" w:type="dxa"/>
            <w:vAlign w:val="bottom"/>
          </w:tcPr>
          <w:p>
            <w:pPr>
              <w:spacing w:after="0"/>
              <w:rPr>
                <w:sz w:val="13"/>
                <w:szCs w:val="13"/>
                <w:color w:val="auto"/>
              </w:rPr>
            </w:pPr>
          </w:p>
        </w:tc>
        <w:tc>
          <w:tcPr>
            <w:tcW w:w="44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3"/>
          </w:tcPr>
          <w:p>
            <w:pPr>
              <w:ind w:left="60"/>
              <w:spacing w:after="0" w:line="161" w:lineRule="exact"/>
              <w:rPr>
                <w:sz w:val="20"/>
                <w:szCs w:val="20"/>
                <w:color w:val="auto"/>
              </w:rPr>
            </w:pPr>
            <w:r>
              <w:rPr>
                <w:rFonts w:ascii="Arial" w:cs="Arial" w:eastAsia="Arial" w:hAnsi="Arial"/>
                <w:sz w:val="15"/>
                <w:szCs w:val="15"/>
                <w:color w:val="auto"/>
              </w:rPr>
              <w:t>$</w:t>
            </w:r>
          </w:p>
        </w:tc>
        <w:tc>
          <w:tcPr>
            <w:tcW w:w="460" w:type="dxa"/>
            <w:vAlign w:val="bottom"/>
            <w:gridSpan w:val="2"/>
          </w:tcPr>
          <w:p>
            <w:pPr>
              <w:ind w:left="360"/>
              <w:spacing w:after="0" w:line="161" w:lineRule="exact"/>
              <w:rPr>
                <w:sz w:val="20"/>
                <w:szCs w:val="20"/>
                <w:color w:val="auto"/>
              </w:rPr>
            </w:pPr>
            <w:r>
              <w:rPr>
                <w:rFonts w:ascii="Arial" w:cs="Arial" w:eastAsia="Arial" w:hAnsi="Arial"/>
                <w:sz w:val="15"/>
                <w:szCs w:val="15"/>
                <w:color w:val="auto"/>
              </w:rPr>
              <w:t>-</w:t>
            </w:r>
          </w:p>
        </w:tc>
        <w:tc>
          <w:tcPr>
            <w:tcW w:w="200" w:type="dxa"/>
            <w:vAlign w:val="bottom"/>
          </w:tcPr>
          <w:p>
            <w:pPr>
              <w:spacing w:after="0" w:line="161"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line="161" w:lineRule="exact"/>
              <w:rPr>
                <w:sz w:val="20"/>
                <w:szCs w:val="20"/>
                <w:color w:val="auto"/>
              </w:rPr>
            </w:pPr>
            <w:r>
              <w:rPr>
                <w:rFonts w:ascii="Arial" w:cs="Arial" w:eastAsia="Arial" w:hAnsi="Arial"/>
                <w:sz w:val="15"/>
                <w:szCs w:val="15"/>
                <w:color w:val="auto"/>
              </w:rPr>
              <w:t>1,403</w:t>
            </w:r>
          </w:p>
        </w:tc>
        <w:tc>
          <w:tcPr>
            <w:tcW w:w="240" w:type="dxa"/>
            <w:vAlign w:val="bottom"/>
            <w:gridSpan w:val="3"/>
          </w:tcPr>
          <w:p>
            <w:pPr>
              <w:ind w:left="60"/>
              <w:spacing w:after="0" w:line="161"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1" w:lineRule="exact"/>
              <w:rPr>
                <w:sz w:val="20"/>
                <w:szCs w:val="20"/>
                <w:color w:val="auto"/>
              </w:rPr>
            </w:pPr>
            <w:r>
              <w:rPr>
                <w:rFonts w:ascii="Arial" w:cs="Arial" w:eastAsia="Arial" w:hAnsi="Arial"/>
                <w:sz w:val="15"/>
                <w:szCs w:val="15"/>
                <w:color w:val="auto"/>
              </w:rPr>
              <w:t>205,957</w:t>
            </w:r>
          </w:p>
        </w:tc>
        <w:tc>
          <w:tcPr>
            <w:tcW w:w="60" w:type="dxa"/>
            <w:vAlign w:val="bottom"/>
          </w:tcPr>
          <w:p>
            <w:pPr>
              <w:spacing w:after="0"/>
              <w:rPr>
                <w:sz w:val="13"/>
                <w:szCs w:val="13"/>
                <w:color w:val="auto"/>
              </w:rPr>
            </w:pPr>
          </w:p>
        </w:tc>
      </w:tr>
      <w:tr>
        <w:trPr>
          <w:trHeight w:val="172"/>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rPr>
              <w:t>Net income for the year ended December 31, 2022</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17,417</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846</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18,263</w:t>
            </w:r>
          </w:p>
        </w:tc>
        <w:tc>
          <w:tcPr>
            <w:tcW w:w="60" w:type="dxa"/>
            <w:vAlign w:val="bottom"/>
            <w:shd w:val="clear" w:color="auto" w:fill="E9E9E9"/>
          </w:tcPr>
          <w:p>
            <w:pPr>
              <w:spacing w:after="0"/>
              <w:rPr>
                <w:sz w:val="14"/>
                <w:szCs w:val="14"/>
                <w:color w:val="auto"/>
              </w:rPr>
            </w:pPr>
          </w:p>
        </w:tc>
      </w:tr>
      <w:tr>
        <w:trPr>
          <w:trHeight w:val="170"/>
        </w:trPr>
        <w:tc>
          <w:tcPr>
            <w:tcW w:w="3560" w:type="dxa"/>
            <w:vAlign w:val="bottom"/>
            <w:gridSpan w:val="4"/>
          </w:tcPr>
          <w:p>
            <w:pPr>
              <w:spacing w:after="0" w:line="170" w:lineRule="exact"/>
              <w:rPr>
                <w:sz w:val="20"/>
                <w:szCs w:val="20"/>
                <w:color w:val="auto"/>
              </w:rPr>
            </w:pPr>
            <w:r>
              <w:rPr>
                <w:rFonts w:ascii="Arial" w:cs="Arial" w:eastAsia="Arial" w:hAnsi="Arial"/>
                <w:sz w:val="15"/>
                <w:szCs w:val="15"/>
                <w:color w:val="auto"/>
              </w:rPr>
              <w:t>Exercise of stock options</w:t>
            </w:r>
          </w:p>
        </w:tc>
        <w:tc>
          <w:tcPr>
            <w:tcW w:w="480" w:type="dxa"/>
            <w:vAlign w:val="bottom"/>
            <w:gridSpan w:val="3"/>
          </w:tcPr>
          <w:p>
            <w:pPr>
              <w:jc w:val="right"/>
              <w:ind w:right="20"/>
              <w:spacing w:after="0" w:line="170" w:lineRule="exact"/>
              <w:rPr>
                <w:sz w:val="20"/>
                <w:szCs w:val="20"/>
                <w:color w:val="auto"/>
              </w:rPr>
            </w:pPr>
            <w:r>
              <w:rPr>
                <w:rFonts w:ascii="Arial" w:cs="Arial" w:eastAsia="Arial" w:hAnsi="Arial"/>
                <w:sz w:val="15"/>
                <w:szCs w:val="15"/>
                <w:color w:val="auto"/>
              </w:rPr>
              <w:t>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5"/>
                <w:szCs w:val="15"/>
                <w:color w:val="auto"/>
              </w:rPr>
              <w:t>377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5"/>
                <w:szCs w:val="15"/>
                <w:color w:val="auto"/>
              </w:rPr>
              <w:t>377</w:t>
            </w:r>
          </w:p>
        </w:tc>
        <w:tc>
          <w:tcPr>
            <w:tcW w:w="60" w:type="dxa"/>
            <w:vAlign w:val="bottom"/>
          </w:tcPr>
          <w:p>
            <w:pPr>
              <w:spacing w:after="0"/>
              <w:rPr>
                <w:sz w:val="14"/>
                <w:szCs w:val="14"/>
                <w:color w:val="auto"/>
              </w:rPr>
            </w:pPr>
          </w:p>
        </w:tc>
      </w:tr>
      <w:tr>
        <w:trPr>
          <w:trHeight w:val="169"/>
        </w:trPr>
        <w:tc>
          <w:tcPr>
            <w:tcW w:w="3460" w:type="dxa"/>
            <w:vAlign w:val="bottom"/>
            <w:shd w:val="clear" w:color="auto" w:fill="E9E9E9"/>
          </w:tcPr>
          <w:p>
            <w:pPr>
              <w:spacing w:after="0" w:line="168" w:lineRule="exact"/>
              <w:rPr>
                <w:sz w:val="20"/>
                <w:szCs w:val="20"/>
                <w:color w:val="auto"/>
              </w:rPr>
            </w:pPr>
            <w:r>
              <w:rPr>
                <w:rFonts w:ascii="Arial" w:cs="Arial" w:eastAsia="Arial" w:hAnsi="Arial"/>
                <w:sz w:val="15"/>
                <w:szCs w:val="15"/>
                <w:color w:val="auto"/>
              </w:rPr>
              <w:t>Restricted stock units issued</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68" w:lineRule="exact"/>
              <w:rPr>
                <w:sz w:val="20"/>
                <w:szCs w:val="20"/>
                <w:color w:val="auto"/>
              </w:rPr>
            </w:pPr>
            <w:r>
              <w:rPr>
                <w:rFonts w:ascii="Arial" w:cs="Arial" w:eastAsia="Arial" w:hAnsi="Arial"/>
                <w:sz w:val="15"/>
                <w:szCs w:val="15"/>
                <w:color w:val="auto"/>
              </w:rPr>
              <w:t>286</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68" w:lineRule="exact"/>
              <w:rPr>
                <w:sz w:val="20"/>
                <w:szCs w:val="20"/>
                <w:color w:val="auto"/>
              </w:rPr>
            </w:pPr>
            <w:r>
              <w:rPr>
                <w:rFonts w:ascii="Arial" w:cs="Arial" w:eastAsia="Arial" w:hAnsi="Arial"/>
                <w:sz w:val="15"/>
                <w:szCs w:val="15"/>
                <w:color w:val="auto"/>
              </w:rPr>
              <w:t>3</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68" w:lineRule="exact"/>
              <w:rPr>
                <w:sz w:val="20"/>
                <w:szCs w:val="20"/>
                <w:color w:val="auto"/>
              </w:rPr>
            </w:pPr>
            <w:r>
              <w:rPr>
                <w:rFonts w:ascii="Arial" w:cs="Arial" w:eastAsia="Arial" w:hAnsi="Arial"/>
                <w:sz w:val="15"/>
                <w:szCs w:val="15"/>
                <w:color w:val="auto"/>
              </w:rPr>
              <w:t>(443)</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68" w:lineRule="exact"/>
              <w:rPr>
                <w:sz w:val="20"/>
                <w:szCs w:val="20"/>
                <w:color w:val="auto"/>
              </w:rPr>
            </w:pPr>
            <w:r>
              <w:rPr>
                <w:rFonts w:ascii="Arial" w:cs="Arial" w:eastAsia="Arial" w:hAnsi="Arial"/>
                <w:sz w:val="15"/>
                <w:szCs w:val="15"/>
                <w:color w:val="auto"/>
              </w:rPr>
              <w:t>-</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68"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68" w:lineRule="exact"/>
              <w:rPr>
                <w:sz w:val="20"/>
                <w:szCs w:val="20"/>
                <w:color w:val="auto"/>
              </w:rPr>
            </w:pPr>
            <w:r>
              <w:rPr>
                <w:rFonts w:ascii="Arial" w:cs="Arial" w:eastAsia="Arial" w:hAnsi="Arial"/>
                <w:sz w:val="15"/>
                <w:szCs w:val="15"/>
                <w:color w:val="auto"/>
              </w:rPr>
              <w:t>(440)</w:t>
            </w:r>
          </w:p>
        </w:tc>
        <w:tc>
          <w:tcPr>
            <w:tcW w:w="60" w:type="dxa"/>
            <w:vAlign w:val="bottom"/>
            <w:shd w:val="clear" w:color="auto" w:fill="E9E9E9"/>
          </w:tcPr>
          <w:p>
            <w:pPr>
              <w:spacing w:after="0"/>
              <w:rPr>
                <w:sz w:val="14"/>
                <w:szCs w:val="14"/>
                <w:color w:val="auto"/>
              </w:rPr>
            </w:pPr>
          </w:p>
        </w:tc>
      </w:tr>
      <w:tr>
        <w:trPr>
          <w:trHeight w:val="171"/>
        </w:trPr>
        <w:tc>
          <w:tcPr>
            <w:tcW w:w="3560" w:type="dxa"/>
            <w:vAlign w:val="bottom"/>
            <w:gridSpan w:val="4"/>
          </w:tcPr>
          <w:p>
            <w:pPr>
              <w:spacing w:after="0" w:line="171" w:lineRule="exact"/>
              <w:rPr>
                <w:sz w:val="20"/>
                <w:szCs w:val="20"/>
                <w:color w:val="auto"/>
              </w:rPr>
            </w:pPr>
            <w:r>
              <w:rPr>
                <w:rFonts w:ascii="Arial" w:cs="Arial" w:eastAsia="Arial" w:hAnsi="Arial"/>
                <w:sz w:val="15"/>
                <w:szCs w:val="15"/>
                <w:color w:val="auto"/>
              </w:rPr>
              <w:t>Share-based compensation earned</w:t>
            </w:r>
          </w:p>
        </w:tc>
        <w:tc>
          <w:tcPr>
            <w:tcW w:w="48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57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w:t>
            </w:r>
          </w:p>
        </w:tc>
        <w:tc>
          <w:tcPr>
            <w:tcW w:w="140" w:type="dxa"/>
            <w:vAlign w:val="bottom"/>
          </w:tcPr>
          <w:p>
            <w:pPr>
              <w:spacing w:after="0"/>
              <w:rPr>
                <w:sz w:val="14"/>
                <w:szCs w:val="14"/>
                <w:color w:val="auto"/>
              </w:rPr>
            </w:pPr>
          </w:p>
        </w:tc>
        <w:tc>
          <w:tcPr>
            <w:tcW w:w="500" w:type="dxa"/>
            <w:vAlign w:val="bottom"/>
          </w:tcPr>
          <w:p>
            <w:pPr>
              <w:jc w:val="right"/>
              <w:spacing w:after="0" w:line="171" w:lineRule="exact"/>
              <w:rPr>
                <w:sz w:val="20"/>
                <w:szCs w:val="20"/>
                <w:color w:val="auto"/>
              </w:rPr>
            </w:pPr>
            <w:r>
              <w:rPr>
                <w:rFonts w:ascii="Arial" w:cs="Arial" w:eastAsia="Arial" w:hAnsi="Arial"/>
                <w:sz w:val="15"/>
                <w:szCs w:val="15"/>
                <w:color w:val="auto"/>
              </w:rPr>
              <w:t>4,261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71" w:lineRule="exact"/>
              <w:rPr>
                <w:sz w:val="20"/>
                <w:szCs w:val="20"/>
                <w:color w:val="auto"/>
              </w:rPr>
            </w:pPr>
            <w:r>
              <w:rPr>
                <w:rFonts w:ascii="Arial" w:cs="Arial" w:eastAsia="Arial" w:hAnsi="Arial"/>
                <w:sz w:val="15"/>
                <w:szCs w:val="15"/>
                <w:color w:val="auto"/>
              </w:rPr>
              <w:t>4,262</w:t>
            </w:r>
          </w:p>
        </w:tc>
        <w:tc>
          <w:tcPr>
            <w:tcW w:w="60" w:type="dxa"/>
            <w:vAlign w:val="bottom"/>
          </w:tcPr>
          <w:p>
            <w:pPr>
              <w:spacing w:after="0"/>
              <w:rPr>
                <w:sz w:val="14"/>
                <w:szCs w:val="14"/>
                <w:color w:val="auto"/>
              </w:rPr>
            </w:pPr>
          </w:p>
        </w:tc>
      </w:tr>
      <w:tr>
        <w:trPr>
          <w:trHeight w:val="172"/>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w w:val="93"/>
              </w:rPr>
              <w:t>Common stock repurchase and retirement (See Note 9)</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w w:val="79"/>
              </w:rPr>
              <w:t>(1,032)</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(10)</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(7,010)</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(7,020)</w:t>
            </w:r>
          </w:p>
        </w:tc>
        <w:tc>
          <w:tcPr>
            <w:tcW w:w="60" w:type="dxa"/>
            <w:vAlign w:val="bottom"/>
            <w:shd w:val="clear" w:color="auto" w:fill="E9E9E9"/>
          </w:tcPr>
          <w:p>
            <w:pPr>
              <w:spacing w:after="0"/>
              <w:rPr>
                <w:sz w:val="14"/>
                <w:szCs w:val="14"/>
                <w:color w:val="auto"/>
              </w:rPr>
            </w:pPr>
          </w:p>
        </w:tc>
      </w:tr>
      <w:tr>
        <w:trPr>
          <w:trHeight w:val="170"/>
        </w:trPr>
        <w:tc>
          <w:tcPr>
            <w:tcW w:w="3560" w:type="dxa"/>
            <w:vAlign w:val="bottom"/>
            <w:gridSpan w:val="4"/>
          </w:tcPr>
          <w:p>
            <w:pPr>
              <w:spacing w:after="0" w:line="170" w:lineRule="exact"/>
              <w:rPr>
                <w:sz w:val="20"/>
                <w:szCs w:val="20"/>
                <w:color w:val="auto"/>
              </w:rPr>
            </w:pPr>
            <w:r>
              <w:rPr>
                <w:rFonts w:ascii="Arial" w:cs="Arial" w:eastAsia="Arial" w:hAnsi="Arial"/>
                <w:sz w:val="15"/>
                <w:szCs w:val="15"/>
                <w:color w:val="auto"/>
                <w:w w:val="99"/>
              </w:rPr>
              <w:t>Adjustment for minimum pension liability, net of tax of</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460" w:type="dxa"/>
            <w:vAlign w:val="bottom"/>
          </w:tcPr>
          <w:p>
            <w:pPr>
              <w:spacing w:after="0" w:line="172" w:lineRule="exact"/>
              <w:rPr>
                <w:sz w:val="20"/>
                <w:szCs w:val="20"/>
                <w:color w:val="auto"/>
              </w:rPr>
            </w:pPr>
            <w:r>
              <w:rPr>
                <w:rFonts w:ascii="Arial" w:cs="Arial" w:eastAsia="Arial" w:hAnsi="Arial"/>
                <w:sz w:val="15"/>
                <w:szCs w:val="15"/>
                <w:color w:val="auto"/>
              </w:rPr>
              <w:t>$97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ind w:left="360"/>
              <w:spacing w:after="0" w:line="17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60"/>
              <w:spacing w:after="0" w:line="172" w:lineRule="exact"/>
              <w:rPr>
                <w:sz w:val="20"/>
                <w:szCs w:val="20"/>
                <w:color w:val="auto"/>
              </w:rPr>
            </w:pPr>
            <w:r>
              <w:rPr>
                <w:rFonts w:ascii="Arial" w:cs="Arial" w:eastAsia="Arial" w:hAnsi="Arial"/>
                <w:sz w:val="15"/>
                <w:szCs w:val="15"/>
                <w:color w:val="auto"/>
              </w:rPr>
              <w:t>(291)</w:t>
            </w:r>
          </w:p>
        </w:tc>
        <w:tc>
          <w:tcPr>
            <w:tcW w:w="20" w:type="dxa"/>
            <w:vAlign w:val="bottom"/>
          </w:tcPr>
          <w:p>
            <w:pPr>
              <w:spacing w:after="0"/>
              <w:rPr>
                <w:sz w:val="14"/>
                <w:szCs w:val="14"/>
                <w:color w:val="auto"/>
              </w:rPr>
            </w:pPr>
          </w:p>
        </w:tc>
        <w:tc>
          <w:tcPr>
            <w:tcW w:w="4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(291)</w:t>
            </w:r>
          </w:p>
        </w:tc>
      </w:tr>
      <w:tr>
        <w:trPr>
          <w:trHeight w:val="172"/>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rPr>
              <w:t>Translation loss</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(5,635)</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(5,635)</w:t>
            </w:r>
          </w:p>
        </w:tc>
        <w:tc>
          <w:tcPr>
            <w:tcW w:w="60" w:type="dxa"/>
            <w:vAlign w:val="bottom"/>
            <w:shd w:val="clear" w:color="auto" w:fill="E9E9E9"/>
          </w:tcPr>
          <w:p>
            <w:pPr>
              <w:spacing w:after="0"/>
              <w:rPr>
                <w:sz w:val="14"/>
                <w:szCs w:val="14"/>
                <w:color w:val="auto"/>
              </w:rPr>
            </w:pPr>
          </w:p>
        </w:tc>
      </w:tr>
      <w:tr>
        <w:trPr>
          <w:trHeight w:val="170"/>
        </w:trPr>
        <w:tc>
          <w:tcPr>
            <w:tcW w:w="3560" w:type="dxa"/>
            <w:vAlign w:val="bottom"/>
            <w:gridSpan w:val="4"/>
          </w:tcPr>
          <w:p>
            <w:pPr>
              <w:spacing w:after="0" w:line="170" w:lineRule="exact"/>
              <w:rPr>
                <w:sz w:val="20"/>
                <w:szCs w:val="20"/>
                <w:color w:val="auto"/>
              </w:rPr>
            </w:pPr>
            <w:r>
              <w:rPr>
                <w:rFonts w:ascii="Arial" w:cs="Arial" w:eastAsia="Arial" w:hAnsi="Arial"/>
                <w:sz w:val="15"/>
                <w:szCs w:val="15"/>
                <w:color w:val="auto"/>
              </w:rPr>
              <w:t>Noncontrolling interest distribution</w:t>
            </w:r>
          </w:p>
        </w:tc>
        <w:tc>
          <w:tcPr>
            <w:tcW w:w="4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2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(1,425)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(1,425)</w:t>
            </w:r>
          </w:p>
        </w:tc>
      </w:tr>
      <w:tr>
        <w:trPr>
          <w:trHeight w:val="170"/>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w w:val="95"/>
              </w:rPr>
              <w:t>Fair value of noncontrolling interest equity issued (See</w:t>
            </w:r>
          </w:p>
        </w:tc>
        <w:tc>
          <w:tcPr>
            <w:tcW w:w="60" w:type="dxa"/>
            <w:vAlign w:val="bottom"/>
            <w:shd w:val="clear" w:color="auto" w:fill="E9E9E9"/>
          </w:tcPr>
          <w:p>
            <w:pPr>
              <w:spacing w:after="0"/>
              <w:rPr>
                <w:sz w:val="14"/>
                <w:szCs w:val="14"/>
                <w:color w:val="auto"/>
              </w:rPr>
            </w:pPr>
          </w:p>
        </w:tc>
        <w:tc>
          <w:tcPr>
            <w:tcW w:w="40" w:type="dxa"/>
            <w:vAlign w:val="bottom"/>
            <w:gridSpan w:val="2"/>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r>
      <w:tr>
        <w:trPr>
          <w:trHeight w:val="169"/>
        </w:trPr>
        <w:tc>
          <w:tcPr>
            <w:tcW w:w="3460" w:type="dxa"/>
            <w:vAlign w:val="bottom"/>
            <w:tcBorders>
              <w:bottom w:val="single" w:sz="8" w:color="E9E9E9"/>
            </w:tcBorders>
            <w:shd w:val="clear" w:color="auto" w:fill="E9E9E9"/>
          </w:tcPr>
          <w:p>
            <w:pPr>
              <w:spacing w:after="0" w:line="169" w:lineRule="exact"/>
              <w:rPr>
                <w:sz w:val="20"/>
                <w:szCs w:val="20"/>
                <w:color w:val="auto"/>
              </w:rPr>
            </w:pPr>
            <w:r>
              <w:rPr>
                <w:rFonts w:ascii="Arial" w:cs="Arial" w:eastAsia="Arial" w:hAnsi="Arial"/>
                <w:sz w:val="15"/>
                <w:szCs w:val="15"/>
                <w:color w:val="auto"/>
              </w:rPr>
              <w:t>Note 14)</w:t>
            </w:r>
          </w:p>
        </w:tc>
        <w:tc>
          <w:tcPr>
            <w:tcW w:w="60" w:type="dxa"/>
            <w:vAlign w:val="bottom"/>
            <w:tcBorders>
              <w:bottom w:val="single" w:sz="8" w:color="E9E9E9"/>
            </w:tcBorders>
            <w:shd w:val="clear" w:color="auto" w:fill="E9E9E9"/>
          </w:tcPr>
          <w:p>
            <w:pPr>
              <w:spacing w:after="0"/>
              <w:rPr>
                <w:sz w:val="14"/>
                <w:szCs w:val="14"/>
                <w:color w:val="auto"/>
              </w:rPr>
            </w:pPr>
          </w:p>
        </w:tc>
        <w:tc>
          <w:tcPr>
            <w:tcW w:w="20" w:type="dxa"/>
            <w:vAlign w:val="bottom"/>
            <w:tcBorders>
              <w:bottom w:val="single" w:sz="8" w:color="E9E9E9"/>
            </w:tcBorders>
            <w:shd w:val="clear" w:color="auto" w:fill="E9E9E9"/>
          </w:tcPr>
          <w:p>
            <w:pPr>
              <w:spacing w:after="0"/>
              <w:rPr>
                <w:sz w:val="14"/>
                <w:szCs w:val="14"/>
                <w:color w:val="auto"/>
              </w:rPr>
            </w:pPr>
          </w:p>
        </w:tc>
        <w:tc>
          <w:tcPr>
            <w:tcW w:w="20" w:type="dxa"/>
            <w:vAlign w:val="bottom"/>
            <w:tcBorders>
              <w:bottom w:val="single" w:sz="8" w:color="auto"/>
            </w:tcBorders>
            <w:shd w:val="clear" w:color="auto" w:fill="E9E9E9"/>
          </w:tcPr>
          <w:p>
            <w:pPr>
              <w:spacing w:after="0"/>
              <w:rPr>
                <w:sz w:val="14"/>
                <w:szCs w:val="14"/>
                <w:color w:val="auto"/>
              </w:rPr>
            </w:pPr>
          </w:p>
        </w:tc>
        <w:tc>
          <w:tcPr>
            <w:tcW w:w="6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E9E9E9"/>
            </w:tcBorders>
            <w:shd w:val="clear" w:color="auto" w:fill="E9E9E9"/>
          </w:tcPr>
          <w:p>
            <w:pPr>
              <w:spacing w:after="0"/>
              <w:rPr>
                <w:sz w:val="14"/>
                <w:szCs w:val="14"/>
                <w:color w:val="auto"/>
              </w:rPr>
            </w:pPr>
          </w:p>
        </w:tc>
        <w:tc>
          <w:tcPr>
            <w:tcW w:w="40" w:type="dxa"/>
            <w:vAlign w:val="bottom"/>
            <w:tcBorders>
              <w:bottom w:val="single" w:sz="8" w:color="E9E9E9"/>
            </w:tcBorders>
            <w:shd w:val="clear" w:color="auto" w:fill="E9E9E9"/>
          </w:tcPr>
          <w:p>
            <w:pPr>
              <w:spacing w:after="0"/>
              <w:rPr>
                <w:sz w:val="14"/>
                <w:szCs w:val="14"/>
                <w:color w:val="auto"/>
              </w:rPr>
            </w:pPr>
          </w:p>
        </w:tc>
        <w:tc>
          <w:tcPr>
            <w:tcW w:w="20" w:type="dxa"/>
            <w:vAlign w:val="bottom"/>
            <w:tcBorders>
              <w:bottom w:val="single" w:sz="8" w:color="E9E9E9"/>
            </w:tcBorders>
            <w:shd w:val="clear" w:color="auto" w:fill="E9E9E9"/>
          </w:tcPr>
          <w:p>
            <w:pPr>
              <w:spacing w:after="0"/>
              <w:rPr>
                <w:sz w:val="14"/>
                <w:szCs w:val="14"/>
                <w:color w:val="auto"/>
              </w:rPr>
            </w:pPr>
          </w:p>
        </w:tc>
        <w:tc>
          <w:tcPr>
            <w:tcW w:w="12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tcBorders>
              <w:bottom w:val="single" w:sz="8" w:color="E9E9E9"/>
            </w:tcBorders>
            <w:shd w:val="clear" w:color="auto" w:fill="E9E9E9"/>
          </w:tcPr>
          <w:p>
            <w:pPr>
              <w:spacing w:after="0"/>
              <w:rPr>
                <w:sz w:val="14"/>
                <w:szCs w:val="14"/>
                <w:color w:val="auto"/>
              </w:rPr>
            </w:pPr>
          </w:p>
        </w:tc>
        <w:tc>
          <w:tcPr>
            <w:tcW w:w="140" w:type="dxa"/>
            <w:vAlign w:val="bottom"/>
            <w:tcBorders>
              <w:bottom w:val="single" w:sz="8" w:color="auto"/>
            </w:tcBorders>
            <w:shd w:val="clear" w:color="auto" w:fill="E9E9E9"/>
          </w:tcPr>
          <w:p>
            <w:pPr>
              <w:spacing w:after="0"/>
              <w:rPr>
                <w:sz w:val="14"/>
                <w:szCs w:val="14"/>
                <w:color w:val="auto"/>
              </w:rPr>
            </w:pPr>
          </w:p>
        </w:tc>
        <w:tc>
          <w:tcPr>
            <w:tcW w:w="500" w:type="dxa"/>
            <w:vAlign w:val="bottom"/>
            <w:tcBorders>
              <w:bottom w:val="single" w:sz="8" w:color="auto"/>
            </w:tcBorders>
            <w:shd w:val="clear" w:color="auto" w:fill="E9E9E9"/>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E9E9E9"/>
          </w:tcPr>
          <w:p>
            <w:pPr>
              <w:spacing w:after="0"/>
              <w:rPr>
                <w:sz w:val="14"/>
                <w:szCs w:val="14"/>
                <w:color w:val="auto"/>
              </w:rPr>
            </w:pPr>
          </w:p>
        </w:tc>
        <w:tc>
          <w:tcPr>
            <w:tcW w:w="40" w:type="dxa"/>
            <w:vAlign w:val="bottom"/>
            <w:tcBorders>
              <w:bottom w:val="single" w:sz="8" w:color="E9E9E9"/>
            </w:tcBorders>
            <w:shd w:val="clear" w:color="auto" w:fill="E9E9E9"/>
          </w:tcPr>
          <w:p>
            <w:pPr>
              <w:spacing w:after="0"/>
              <w:rPr>
                <w:sz w:val="14"/>
                <w:szCs w:val="14"/>
                <w:color w:val="auto"/>
              </w:rPr>
            </w:pPr>
          </w:p>
        </w:tc>
        <w:tc>
          <w:tcPr>
            <w:tcW w:w="40" w:type="dxa"/>
            <w:vAlign w:val="bottom"/>
            <w:tcBorders>
              <w:bottom w:val="single" w:sz="8" w:color="E9E9E9"/>
            </w:tcBorders>
            <w:shd w:val="clear" w:color="auto" w:fill="E9E9E9"/>
          </w:tcPr>
          <w:p>
            <w:pPr>
              <w:spacing w:after="0"/>
              <w:rPr>
                <w:sz w:val="14"/>
                <w:szCs w:val="14"/>
                <w:color w:val="auto"/>
              </w:rPr>
            </w:pPr>
          </w:p>
        </w:tc>
        <w:tc>
          <w:tcPr>
            <w:tcW w:w="20" w:type="dxa"/>
            <w:vAlign w:val="bottom"/>
            <w:tcBorders>
              <w:bottom w:val="single" w:sz="8" w:color="E9E9E9"/>
            </w:tcBorders>
            <w:shd w:val="clear" w:color="auto" w:fill="E9E9E9"/>
          </w:tcPr>
          <w:p>
            <w:pPr>
              <w:spacing w:after="0"/>
              <w:rPr>
                <w:sz w:val="14"/>
                <w:szCs w:val="14"/>
                <w:color w:val="auto"/>
              </w:rPr>
            </w:pPr>
          </w:p>
        </w:tc>
        <w:tc>
          <w:tcPr>
            <w:tcW w:w="160" w:type="dxa"/>
            <w:vAlign w:val="bottom"/>
            <w:tcBorders>
              <w:bottom w:val="single" w:sz="8" w:color="auto"/>
            </w:tcBorders>
            <w:shd w:val="clear" w:color="auto" w:fill="E9E9E9"/>
          </w:tcPr>
          <w:p>
            <w:pPr>
              <w:spacing w:after="0"/>
              <w:rPr>
                <w:sz w:val="14"/>
                <w:szCs w:val="14"/>
                <w:color w:val="auto"/>
              </w:rPr>
            </w:pPr>
          </w:p>
        </w:tc>
        <w:tc>
          <w:tcPr>
            <w:tcW w:w="680" w:type="dxa"/>
            <w:vAlign w:val="bottom"/>
            <w:tcBorders>
              <w:bottom w:val="single" w:sz="8" w:color="auto"/>
            </w:tcBorders>
            <w:shd w:val="clear" w:color="auto" w:fill="E9E9E9"/>
          </w:tcPr>
          <w:p>
            <w:pPr>
              <w:jc w:val="right"/>
              <w:spacing w:after="0" w:line="169" w:lineRule="exact"/>
              <w:rPr>
                <w:sz w:val="20"/>
                <w:szCs w:val="20"/>
                <w:color w:val="auto"/>
              </w:rPr>
            </w:pPr>
            <w:r>
              <w:rPr>
                <w:rFonts w:ascii="Arial" w:cs="Arial" w:eastAsia="Arial" w:hAnsi="Arial"/>
                <w:sz w:val="15"/>
                <w:szCs w:val="15"/>
                <w:color w:val="auto"/>
              </w:rPr>
              <w:t>-</w:t>
            </w:r>
          </w:p>
        </w:tc>
        <w:tc>
          <w:tcPr>
            <w:tcW w:w="60" w:type="dxa"/>
            <w:vAlign w:val="bottom"/>
            <w:tcBorders>
              <w:bottom w:val="single" w:sz="8" w:color="E9E9E9"/>
            </w:tcBorders>
            <w:shd w:val="clear" w:color="auto" w:fill="E9E9E9"/>
          </w:tcPr>
          <w:p>
            <w:pPr>
              <w:spacing w:after="0"/>
              <w:rPr>
                <w:sz w:val="14"/>
                <w:szCs w:val="14"/>
                <w:color w:val="auto"/>
              </w:rPr>
            </w:pPr>
          </w:p>
        </w:tc>
        <w:tc>
          <w:tcPr>
            <w:tcW w:w="40" w:type="dxa"/>
            <w:vAlign w:val="bottom"/>
            <w:tcBorders>
              <w:bottom w:val="single" w:sz="8" w:color="E9E9E9"/>
            </w:tcBorders>
            <w:shd w:val="clear" w:color="auto" w:fill="E9E9E9"/>
          </w:tcPr>
          <w:p>
            <w:pPr>
              <w:spacing w:after="0"/>
              <w:rPr>
                <w:sz w:val="14"/>
                <w:szCs w:val="14"/>
                <w:color w:val="auto"/>
              </w:rPr>
            </w:pPr>
          </w:p>
        </w:tc>
        <w:tc>
          <w:tcPr>
            <w:tcW w:w="20" w:type="dxa"/>
            <w:vAlign w:val="bottom"/>
            <w:tcBorders>
              <w:bottom w:val="single" w:sz="8" w:color="E9E9E9"/>
            </w:tcBorders>
            <w:shd w:val="clear" w:color="auto" w:fill="E9E9E9"/>
          </w:tcPr>
          <w:p>
            <w:pPr>
              <w:spacing w:after="0"/>
              <w:rPr>
                <w:sz w:val="14"/>
                <w:szCs w:val="14"/>
                <w:color w:val="auto"/>
              </w:rPr>
            </w:pPr>
          </w:p>
        </w:tc>
        <w:tc>
          <w:tcPr>
            <w:tcW w:w="80" w:type="dxa"/>
            <w:vAlign w:val="bottom"/>
            <w:tcBorders>
              <w:bottom w:val="single" w:sz="8" w:color="auto"/>
            </w:tcBorders>
            <w:shd w:val="clear" w:color="auto" w:fill="E9E9E9"/>
          </w:tcPr>
          <w:p>
            <w:pPr>
              <w:spacing w:after="0"/>
              <w:rPr>
                <w:sz w:val="14"/>
                <w:szCs w:val="14"/>
                <w:color w:val="auto"/>
              </w:rPr>
            </w:pPr>
          </w:p>
        </w:tc>
        <w:tc>
          <w:tcPr>
            <w:tcW w:w="120" w:type="dxa"/>
            <w:vAlign w:val="bottom"/>
            <w:tcBorders>
              <w:bottom w:val="single" w:sz="8" w:color="auto"/>
            </w:tcBorders>
            <w:shd w:val="clear" w:color="auto" w:fill="E9E9E9"/>
          </w:tcPr>
          <w:p>
            <w:pPr>
              <w:spacing w:after="0"/>
              <w:rPr>
                <w:sz w:val="14"/>
                <w:szCs w:val="14"/>
                <w:color w:val="auto"/>
              </w:rPr>
            </w:pPr>
          </w:p>
        </w:tc>
        <w:tc>
          <w:tcPr>
            <w:tcW w:w="780" w:type="dxa"/>
            <w:vAlign w:val="bottom"/>
            <w:tcBorders>
              <w:bottom w:val="single" w:sz="8" w:color="auto"/>
            </w:tcBorders>
            <w:shd w:val="clear" w:color="auto" w:fill="E9E9E9"/>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E9E9E9"/>
            </w:tcBorders>
            <w:shd w:val="clear" w:color="auto" w:fill="E9E9E9"/>
          </w:tcPr>
          <w:p>
            <w:pPr>
              <w:spacing w:after="0"/>
              <w:rPr>
                <w:sz w:val="14"/>
                <w:szCs w:val="14"/>
                <w:color w:val="auto"/>
              </w:rPr>
            </w:pPr>
          </w:p>
        </w:tc>
        <w:tc>
          <w:tcPr>
            <w:tcW w:w="20" w:type="dxa"/>
            <w:vAlign w:val="bottom"/>
            <w:tcBorders>
              <w:bottom w:val="single" w:sz="8" w:color="auto"/>
            </w:tcBorders>
            <w:shd w:val="clear" w:color="auto" w:fill="E9E9E9"/>
          </w:tcPr>
          <w:p>
            <w:pPr>
              <w:spacing w:after="0"/>
              <w:rPr>
                <w:sz w:val="14"/>
                <w:szCs w:val="14"/>
                <w:color w:val="auto"/>
              </w:rPr>
            </w:pPr>
          </w:p>
        </w:tc>
        <w:tc>
          <w:tcPr>
            <w:tcW w:w="80" w:type="dxa"/>
            <w:vAlign w:val="bottom"/>
            <w:tcBorders>
              <w:bottom w:val="single" w:sz="8" w:color="auto"/>
            </w:tcBorders>
            <w:shd w:val="clear" w:color="auto" w:fill="E9E9E9"/>
          </w:tcPr>
          <w:p>
            <w:pPr>
              <w:spacing w:after="0"/>
              <w:rPr>
                <w:sz w:val="14"/>
                <w:szCs w:val="14"/>
                <w:color w:val="auto"/>
              </w:rPr>
            </w:pPr>
          </w:p>
        </w:tc>
        <w:tc>
          <w:tcPr>
            <w:tcW w:w="360" w:type="dxa"/>
            <w:vAlign w:val="bottom"/>
            <w:tcBorders>
              <w:bottom w:val="single" w:sz="8" w:color="auto"/>
            </w:tcBorders>
            <w:shd w:val="clear" w:color="auto" w:fill="E9E9E9"/>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E9E9E9"/>
          </w:tcPr>
          <w:p>
            <w:pPr>
              <w:spacing w:after="0"/>
              <w:rPr>
                <w:sz w:val="14"/>
                <w:szCs w:val="14"/>
                <w:color w:val="auto"/>
              </w:rPr>
            </w:pPr>
          </w:p>
        </w:tc>
        <w:tc>
          <w:tcPr>
            <w:tcW w:w="40" w:type="dxa"/>
            <w:vAlign w:val="bottom"/>
            <w:tcBorders>
              <w:bottom w:val="single" w:sz="8" w:color="E9E9E9"/>
            </w:tcBorders>
            <w:shd w:val="clear" w:color="auto" w:fill="E9E9E9"/>
          </w:tcPr>
          <w:p>
            <w:pPr>
              <w:spacing w:after="0"/>
              <w:rPr>
                <w:sz w:val="14"/>
                <w:szCs w:val="14"/>
                <w:color w:val="auto"/>
              </w:rPr>
            </w:pPr>
          </w:p>
        </w:tc>
        <w:tc>
          <w:tcPr>
            <w:tcW w:w="60" w:type="dxa"/>
            <w:vAlign w:val="bottom"/>
            <w:tcBorders>
              <w:bottom w:val="single" w:sz="8" w:color="E9E9E9"/>
            </w:tcBorders>
            <w:shd w:val="clear" w:color="auto" w:fill="E9E9E9"/>
          </w:tcPr>
          <w:p>
            <w:pPr>
              <w:spacing w:after="0"/>
              <w:rPr>
                <w:sz w:val="14"/>
                <w:szCs w:val="14"/>
                <w:color w:val="auto"/>
              </w:rPr>
            </w:pPr>
          </w:p>
        </w:tc>
        <w:tc>
          <w:tcPr>
            <w:tcW w:w="20" w:type="dxa"/>
            <w:vAlign w:val="bottom"/>
            <w:tcBorders>
              <w:bottom w:val="single" w:sz="8" w:color="E9E9E9"/>
            </w:tcBorders>
            <w:shd w:val="clear" w:color="auto" w:fill="E9E9E9"/>
          </w:tcPr>
          <w:p>
            <w:pPr>
              <w:spacing w:after="0"/>
              <w:rPr>
                <w:sz w:val="14"/>
                <w:szCs w:val="14"/>
                <w:color w:val="auto"/>
              </w:rPr>
            </w:pPr>
          </w:p>
        </w:tc>
        <w:tc>
          <w:tcPr>
            <w:tcW w:w="10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tcBorders>
              <w:bottom w:val="single" w:sz="8" w:color="E9E9E9"/>
            </w:tcBorders>
            <w:shd w:val="clear" w:color="auto" w:fill="E9E9E9"/>
          </w:tcPr>
          <w:p>
            <w:pPr>
              <w:spacing w:after="0"/>
              <w:rPr>
                <w:sz w:val="14"/>
                <w:szCs w:val="14"/>
                <w:color w:val="auto"/>
              </w:rPr>
            </w:pPr>
          </w:p>
        </w:tc>
        <w:tc>
          <w:tcPr>
            <w:tcW w:w="200" w:type="dxa"/>
            <w:vAlign w:val="bottom"/>
            <w:tcBorders>
              <w:bottom w:val="single" w:sz="8" w:color="auto"/>
            </w:tcBorders>
            <w:shd w:val="clear" w:color="auto" w:fill="E9E9E9"/>
          </w:tcPr>
          <w:p>
            <w:pPr>
              <w:spacing w:after="0"/>
              <w:rPr>
                <w:sz w:val="14"/>
                <w:szCs w:val="14"/>
                <w:color w:val="auto"/>
              </w:rPr>
            </w:pPr>
          </w:p>
        </w:tc>
        <w:tc>
          <w:tcPr>
            <w:tcW w:w="760" w:type="dxa"/>
            <w:vAlign w:val="bottom"/>
            <w:tcBorders>
              <w:bottom w:val="single" w:sz="8" w:color="auto"/>
            </w:tcBorders>
            <w:shd w:val="clear" w:color="auto" w:fill="E9E9E9"/>
          </w:tcPr>
          <w:p>
            <w:pPr>
              <w:jc w:val="right"/>
              <w:spacing w:after="0" w:line="169" w:lineRule="exact"/>
              <w:rPr>
                <w:sz w:val="20"/>
                <w:szCs w:val="20"/>
                <w:color w:val="auto"/>
              </w:rPr>
            </w:pPr>
            <w:r>
              <w:rPr>
                <w:rFonts w:ascii="Arial" w:cs="Arial" w:eastAsia="Arial" w:hAnsi="Arial"/>
                <w:sz w:val="15"/>
                <w:szCs w:val="15"/>
                <w:color w:val="auto"/>
              </w:rPr>
              <w:t>4,100</w:t>
            </w:r>
          </w:p>
        </w:tc>
        <w:tc>
          <w:tcPr>
            <w:tcW w:w="60" w:type="dxa"/>
            <w:vAlign w:val="bottom"/>
            <w:tcBorders>
              <w:bottom w:val="single" w:sz="8" w:color="E9E9E9"/>
            </w:tcBorders>
            <w:shd w:val="clear" w:color="auto" w:fill="E9E9E9"/>
          </w:tcPr>
          <w:p>
            <w:pPr>
              <w:spacing w:after="0"/>
              <w:rPr>
                <w:sz w:val="14"/>
                <w:szCs w:val="14"/>
                <w:color w:val="auto"/>
              </w:rPr>
            </w:pPr>
          </w:p>
        </w:tc>
        <w:tc>
          <w:tcPr>
            <w:tcW w:w="60" w:type="dxa"/>
            <w:vAlign w:val="bottom"/>
            <w:tcBorders>
              <w:bottom w:val="single" w:sz="8" w:color="E9E9E9"/>
            </w:tcBorders>
            <w:shd w:val="clear" w:color="auto" w:fill="E9E9E9"/>
          </w:tcPr>
          <w:p>
            <w:pPr>
              <w:spacing w:after="0"/>
              <w:rPr>
                <w:sz w:val="14"/>
                <w:szCs w:val="14"/>
                <w:color w:val="auto"/>
              </w:rPr>
            </w:pPr>
          </w:p>
        </w:tc>
        <w:tc>
          <w:tcPr>
            <w:tcW w:w="20" w:type="dxa"/>
            <w:vAlign w:val="bottom"/>
            <w:tcBorders>
              <w:bottom w:val="single" w:sz="8" w:color="E9E9E9"/>
            </w:tcBorders>
            <w:shd w:val="clear" w:color="auto" w:fill="E9E9E9"/>
          </w:tcPr>
          <w:p>
            <w:pPr>
              <w:spacing w:after="0"/>
              <w:rPr>
                <w:sz w:val="14"/>
                <w:szCs w:val="14"/>
                <w:color w:val="auto"/>
              </w:rPr>
            </w:pPr>
          </w:p>
        </w:tc>
        <w:tc>
          <w:tcPr>
            <w:tcW w:w="160" w:type="dxa"/>
            <w:vAlign w:val="bottom"/>
            <w:tcBorders>
              <w:bottom w:val="single" w:sz="8" w:color="auto"/>
            </w:tcBorders>
            <w:shd w:val="clear" w:color="auto" w:fill="E9E9E9"/>
          </w:tcPr>
          <w:p>
            <w:pPr>
              <w:spacing w:after="0"/>
              <w:rPr>
                <w:sz w:val="14"/>
                <w:szCs w:val="14"/>
                <w:color w:val="auto"/>
              </w:rPr>
            </w:pPr>
          </w:p>
        </w:tc>
        <w:tc>
          <w:tcPr>
            <w:tcW w:w="700" w:type="dxa"/>
            <w:vAlign w:val="bottom"/>
            <w:tcBorders>
              <w:bottom w:val="single" w:sz="8" w:color="auto"/>
            </w:tcBorders>
            <w:shd w:val="clear" w:color="auto" w:fill="E9E9E9"/>
          </w:tcPr>
          <w:p>
            <w:pPr>
              <w:jc w:val="right"/>
              <w:spacing w:after="0" w:line="169" w:lineRule="exact"/>
              <w:rPr>
                <w:sz w:val="20"/>
                <w:szCs w:val="20"/>
                <w:color w:val="auto"/>
              </w:rPr>
            </w:pPr>
            <w:r>
              <w:rPr>
                <w:rFonts w:ascii="Arial" w:cs="Arial" w:eastAsia="Arial" w:hAnsi="Arial"/>
                <w:sz w:val="15"/>
                <w:szCs w:val="15"/>
                <w:color w:val="auto"/>
              </w:rPr>
              <w:t>4,100</w:t>
            </w:r>
          </w:p>
        </w:tc>
        <w:tc>
          <w:tcPr>
            <w:tcW w:w="60" w:type="dxa"/>
            <w:vAlign w:val="bottom"/>
            <w:tcBorders>
              <w:bottom w:val="single" w:sz="8" w:color="E9E9E9"/>
            </w:tcBorders>
            <w:shd w:val="clear" w:color="auto" w:fill="E9E9E9"/>
          </w:tcPr>
          <w:p>
            <w:pPr>
              <w:spacing w:after="0"/>
              <w:rPr>
                <w:sz w:val="14"/>
                <w:szCs w:val="14"/>
                <w:color w:val="auto"/>
              </w:rPr>
            </w:pPr>
          </w:p>
        </w:tc>
      </w:tr>
      <w:tr>
        <w:trPr>
          <w:trHeight w:val="232"/>
        </w:trPr>
        <w:tc>
          <w:tcPr>
            <w:tcW w:w="3560" w:type="dxa"/>
            <w:vAlign w:val="bottom"/>
            <w:gridSpan w:val="4"/>
          </w:tcPr>
          <w:p>
            <w:pPr>
              <w:spacing w:after="0" w:line="165" w:lineRule="exact"/>
              <w:rPr>
                <w:sz w:val="20"/>
                <w:szCs w:val="20"/>
                <w:color w:val="auto"/>
              </w:rPr>
            </w:pPr>
            <w:r>
              <w:rPr>
                <w:rFonts w:ascii="Arial" w:cs="Arial" w:eastAsia="Arial" w:hAnsi="Arial"/>
                <w:sz w:val="15"/>
                <w:szCs w:val="15"/>
                <w:color w:val="auto"/>
              </w:rPr>
              <w:t>Balance December 31, 2022</w:t>
            </w:r>
          </w:p>
        </w:tc>
        <w:tc>
          <w:tcPr>
            <w:tcW w:w="480" w:type="dxa"/>
            <w:vAlign w:val="bottom"/>
            <w:gridSpan w:val="3"/>
          </w:tcPr>
          <w:p>
            <w:pPr>
              <w:jc w:val="right"/>
              <w:ind w:right="20"/>
              <w:spacing w:after="0"/>
              <w:rPr>
                <w:sz w:val="20"/>
                <w:szCs w:val="20"/>
                <w:color w:val="auto"/>
              </w:rPr>
            </w:pPr>
            <w:r>
              <w:rPr>
                <w:rFonts w:ascii="Arial" w:cs="Arial" w:eastAsia="Arial" w:hAnsi="Arial"/>
                <w:sz w:val="15"/>
                <w:szCs w:val="15"/>
                <w:color w:val="auto"/>
                <w:w w:val="95"/>
              </w:rPr>
              <w:t>34,382</w:t>
            </w:r>
          </w:p>
        </w:tc>
        <w:tc>
          <w:tcPr>
            <w:tcW w:w="40" w:type="dxa"/>
            <w:vAlign w:val="bottom"/>
          </w:tcPr>
          <w:p>
            <w:pPr>
              <w:spacing w:after="0"/>
              <w:rPr>
                <w:sz w:val="20"/>
                <w:szCs w:val="20"/>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344</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250,174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3"/>
          </w:tcPr>
          <w:p>
            <w:pPr>
              <w:ind w:left="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(19,298)</w:t>
            </w: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5"/>
                <w:szCs w:val="15"/>
                <w:color w:val="auto"/>
              </w:rPr>
              <w:t>(17,996)</w:t>
            </w:r>
          </w:p>
        </w:tc>
        <w:tc>
          <w:tcPr>
            <w:tcW w:w="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3"/>
          </w:tcPr>
          <w:p>
            <w:pPr>
              <w:ind w:left="60"/>
              <w:spacing w:after="0"/>
              <w:rPr>
                <w:sz w:val="20"/>
                <w:szCs w:val="20"/>
                <w:color w:val="auto"/>
              </w:rPr>
            </w:pPr>
            <w:r>
              <w:rPr>
                <w:rFonts w:ascii="Arial" w:cs="Arial" w:eastAsia="Arial" w:hAnsi="Arial"/>
                <w:sz w:val="15"/>
                <w:szCs w:val="15"/>
                <w:color w:val="auto"/>
              </w:rPr>
              <w:t>$</w:t>
            </w:r>
          </w:p>
        </w:tc>
        <w:tc>
          <w:tcPr>
            <w:tcW w:w="46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4,924</w:t>
            </w:r>
          </w:p>
        </w:tc>
        <w:tc>
          <w:tcPr>
            <w:tcW w:w="240" w:type="dxa"/>
            <w:vAlign w:val="bottom"/>
            <w:gridSpan w:val="3"/>
          </w:tcPr>
          <w:p>
            <w:pPr>
              <w:ind w:lef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218,148</w:t>
            </w:r>
          </w:p>
        </w:tc>
        <w:tc>
          <w:tcPr>
            <w:tcW w:w="60" w:type="dxa"/>
            <w:vAlign w:val="bottom"/>
          </w:tcPr>
          <w:p>
            <w:pPr>
              <w:spacing w:after="0"/>
              <w:rPr>
                <w:sz w:val="20"/>
                <w:szCs w:val="20"/>
                <w:color w:val="auto"/>
              </w:rPr>
            </w:pPr>
          </w:p>
        </w:tc>
      </w:tr>
      <w:tr>
        <w:trPr>
          <w:trHeight w:val="137"/>
        </w:trPr>
        <w:tc>
          <w:tcPr>
            <w:tcW w:w="3460" w:type="dxa"/>
            <w:vAlign w:val="bottom"/>
            <w:tcBorders>
              <w:top w:val="single" w:sz="8" w:color="E9E9E9"/>
            </w:tcBorders>
            <w:shd w:val="clear" w:color="auto" w:fill="E9E9E9"/>
          </w:tcPr>
          <w:p>
            <w:pPr>
              <w:spacing w:after="0" w:line="137" w:lineRule="exact"/>
              <w:rPr>
                <w:sz w:val="20"/>
                <w:szCs w:val="20"/>
                <w:color w:val="auto"/>
              </w:rPr>
            </w:pPr>
            <w:r>
              <w:rPr>
                <w:rFonts w:ascii="Arial" w:cs="Arial" w:eastAsia="Arial" w:hAnsi="Arial"/>
                <w:sz w:val="15"/>
                <w:szCs w:val="15"/>
                <w:color w:val="auto"/>
              </w:rPr>
              <w:t>Net income for the year ended December 31, 2023</w:t>
            </w:r>
          </w:p>
        </w:tc>
        <w:tc>
          <w:tcPr>
            <w:tcW w:w="6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auto"/>
            </w:tcBorders>
            <w:shd w:val="clear" w:color="auto" w:fill="E9E9E9"/>
          </w:tcPr>
          <w:p>
            <w:pPr>
              <w:spacing w:after="0"/>
              <w:rPr>
                <w:sz w:val="11"/>
                <w:szCs w:val="11"/>
                <w:color w:val="auto"/>
              </w:rPr>
            </w:pPr>
          </w:p>
        </w:tc>
        <w:tc>
          <w:tcPr>
            <w:tcW w:w="60" w:type="dxa"/>
            <w:vAlign w:val="bottom"/>
            <w:tcBorders>
              <w:top w:val="single" w:sz="8" w:color="auto"/>
            </w:tcBorders>
            <w:shd w:val="clear" w:color="auto" w:fill="E9E9E9"/>
          </w:tcPr>
          <w:p>
            <w:pPr>
              <w:spacing w:after="0"/>
              <w:rPr>
                <w:sz w:val="11"/>
                <w:szCs w:val="11"/>
                <w:color w:val="auto"/>
              </w:rPr>
            </w:pPr>
          </w:p>
        </w:tc>
        <w:tc>
          <w:tcPr>
            <w:tcW w:w="400" w:type="dxa"/>
            <w:vAlign w:val="bottom"/>
            <w:tcBorders>
              <w:top w:val="single" w:sz="8" w:color="auto"/>
            </w:tcBorders>
            <w:shd w:val="clear" w:color="auto" w:fill="E9E9E9"/>
          </w:tcPr>
          <w:p>
            <w:pPr>
              <w:jc w:val="right"/>
              <w:spacing w:after="0" w:line="137" w:lineRule="exact"/>
              <w:rPr>
                <w:sz w:val="20"/>
                <w:szCs w:val="20"/>
                <w:color w:val="auto"/>
              </w:rPr>
            </w:pPr>
            <w:r>
              <w:rPr>
                <w:rFonts w:ascii="Arial" w:cs="Arial" w:eastAsia="Arial" w:hAnsi="Arial"/>
                <w:sz w:val="15"/>
                <w:szCs w:val="15"/>
                <w:color w:val="auto"/>
              </w:rPr>
              <w:t>-</w:t>
            </w:r>
          </w:p>
        </w:tc>
        <w:tc>
          <w:tcPr>
            <w:tcW w:w="2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120" w:type="dxa"/>
            <w:vAlign w:val="bottom"/>
            <w:tcBorders>
              <w:top w:val="single" w:sz="8" w:color="auto"/>
            </w:tcBorders>
            <w:shd w:val="clear" w:color="auto" w:fill="E9E9E9"/>
          </w:tcPr>
          <w:p>
            <w:pPr>
              <w:spacing w:after="0"/>
              <w:rPr>
                <w:sz w:val="11"/>
                <w:szCs w:val="11"/>
                <w:color w:val="auto"/>
              </w:rPr>
            </w:pPr>
          </w:p>
        </w:tc>
        <w:tc>
          <w:tcPr>
            <w:tcW w:w="400" w:type="dxa"/>
            <w:vAlign w:val="bottom"/>
            <w:tcBorders>
              <w:top w:val="single" w:sz="8" w:color="auto"/>
            </w:tcBorders>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1"/>
                <w:szCs w:val="11"/>
                <w:color w:val="auto"/>
              </w:rPr>
            </w:pPr>
          </w:p>
        </w:tc>
        <w:tc>
          <w:tcPr>
            <w:tcW w:w="140" w:type="dxa"/>
            <w:vAlign w:val="bottom"/>
            <w:tcBorders>
              <w:top w:val="single" w:sz="8" w:color="auto"/>
            </w:tcBorders>
            <w:shd w:val="clear" w:color="auto" w:fill="E9E9E9"/>
          </w:tcPr>
          <w:p>
            <w:pPr>
              <w:spacing w:after="0"/>
              <w:rPr>
                <w:sz w:val="11"/>
                <w:szCs w:val="11"/>
                <w:color w:val="auto"/>
              </w:rPr>
            </w:pPr>
          </w:p>
        </w:tc>
        <w:tc>
          <w:tcPr>
            <w:tcW w:w="500" w:type="dxa"/>
            <w:vAlign w:val="bottom"/>
            <w:tcBorders>
              <w:top w:val="single" w:sz="8" w:color="auto"/>
            </w:tcBorders>
            <w:shd w:val="clear" w:color="auto" w:fill="E9E9E9"/>
          </w:tcPr>
          <w:p>
            <w:pPr>
              <w:jc w:val="right"/>
              <w:spacing w:after="0" w:line="137" w:lineRule="exact"/>
              <w:rPr>
                <w:sz w:val="20"/>
                <w:szCs w:val="20"/>
                <w:color w:val="auto"/>
              </w:rPr>
            </w:pPr>
            <w:r>
              <w:rPr>
                <w:rFonts w:ascii="Arial" w:cs="Arial" w:eastAsia="Arial" w:hAnsi="Arial"/>
                <w:sz w:val="15"/>
                <w:szCs w:val="15"/>
                <w:color w:val="auto"/>
              </w:rPr>
              <w:t>-</w:t>
            </w:r>
          </w:p>
        </w:tc>
        <w:tc>
          <w:tcPr>
            <w:tcW w:w="2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160" w:type="dxa"/>
            <w:vAlign w:val="bottom"/>
            <w:tcBorders>
              <w:top w:val="single" w:sz="8" w:color="auto"/>
            </w:tcBorders>
            <w:shd w:val="clear" w:color="auto" w:fill="E9E9E9"/>
          </w:tcPr>
          <w:p>
            <w:pPr>
              <w:spacing w:after="0"/>
              <w:rPr>
                <w:sz w:val="11"/>
                <w:szCs w:val="11"/>
                <w:color w:val="auto"/>
              </w:rPr>
            </w:pPr>
          </w:p>
        </w:tc>
        <w:tc>
          <w:tcPr>
            <w:tcW w:w="680" w:type="dxa"/>
            <w:vAlign w:val="bottom"/>
            <w:tcBorders>
              <w:top w:val="single" w:sz="8" w:color="auto"/>
            </w:tcBorders>
            <w:shd w:val="clear" w:color="auto" w:fill="E9E9E9"/>
          </w:tcPr>
          <w:p>
            <w:pPr>
              <w:jc w:val="right"/>
              <w:spacing w:after="0" w:line="137" w:lineRule="exact"/>
              <w:rPr>
                <w:sz w:val="20"/>
                <w:szCs w:val="20"/>
                <w:color w:val="auto"/>
              </w:rPr>
            </w:pPr>
            <w:r>
              <w:rPr>
                <w:rFonts w:ascii="Arial" w:cs="Arial" w:eastAsia="Arial" w:hAnsi="Arial"/>
                <w:sz w:val="15"/>
                <w:szCs w:val="15"/>
                <w:color w:val="auto"/>
              </w:rPr>
              <w:t>12,911</w:t>
            </w:r>
          </w:p>
        </w:tc>
        <w:tc>
          <w:tcPr>
            <w:tcW w:w="6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auto"/>
            </w:tcBorders>
            <w:shd w:val="clear" w:color="auto" w:fill="E9E9E9"/>
          </w:tcPr>
          <w:p>
            <w:pPr>
              <w:spacing w:after="0"/>
              <w:rPr>
                <w:sz w:val="11"/>
                <w:szCs w:val="11"/>
                <w:color w:val="auto"/>
              </w:rPr>
            </w:pPr>
          </w:p>
        </w:tc>
        <w:tc>
          <w:tcPr>
            <w:tcW w:w="120" w:type="dxa"/>
            <w:vAlign w:val="bottom"/>
            <w:tcBorders>
              <w:top w:val="single" w:sz="8" w:color="auto"/>
            </w:tcBorders>
            <w:shd w:val="clear" w:color="auto" w:fill="E9E9E9"/>
          </w:tcPr>
          <w:p>
            <w:pPr>
              <w:spacing w:after="0"/>
              <w:rPr>
                <w:sz w:val="11"/>
                <w:szCs w:val="11"/>
                <w:color w:val="auto"/>
              </w:rPr>
            </w:pPr>
          </w:p>
        </w:tc>
        <w:tc>
          <w:tcPr>
            <w:tcW w:w="780" w:type="dxa"/>
            <w:vAlign w:val="bottom"/>
            <w:tcBorders>
              <w:top w:val="single" w:sz="8" w:color="auto"/>
            </w:tcBorders>
            <w:shd w:val="clear" w:color="auto" w:fill="E9E9E9"/>
          </w:tcPr>
          <w:p>
            <w:pPr>
              <w:jc w:val="right"/>
              <w:spacing w:after="0" w:line="137"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auto"/>
            </w:tcBorders>
            <w:shd w:val="clear" w:color="auto" w:fill="E9E9E9"/>
          </w:tcPr>
          <w:p>
            <w:pPr>
              <w:spacing w:after="0"/>
              <w:rPr>
                <w:sz w:val="11"/>
                <w:szCs w:val="11"/>
                <w:color w:val="auto"/>
              </w:rPr>
            </w:pPr>
          </w:p>
        </w:tc>
        <w:tc>
          <w:tcPr>
            <w:tcW w:w="80" w:type="dxa"/>
            <w:vAlign w:val="bottom"/>
            <w:tcBorders>
              <w:top w:val="single" w:sz="8" w:color="auto"/>
            </w:tcBorders>
            <w:shd w:val="clear" w:color="auto" w:fill="E9E9E9"/>
          </w:tcPr>
          <w:p>
            <w:pPr>
              <w:spacing w:after="0"/>
              <w:rPr>
                <w:sz w:val="11"/>
                <w:szCs w:val="11"/>
                <w:color w:val="auto"/>
              </w:rPr>
            </w:pPr>
          </w:p>
        </w:tc>
        <w:tc>
          <w:tcPr>
            <w:tcW w:w="360" w:type="dxa"/>
            <w:vAlign w:val="bottom"/>
            <w:tcBorders>
              <w:top w:val="single" w:sz="8" w:color="auto"/>
            </w:tcBorders>
            <w:shd w:val="clear" w:color="auto" w:fill="E9E9E9"/>
          </w:tcPr>
          <w:p>
            <w:pPr>
              <w:jc w:val="right"/>
              <w:spacing w:after="0" w:line="137" w:lineRule="exact"/>
              <w:rPr>
                <w:sz w:val="20"/>
                <w:szCs w:val="20"/>
                <w:color w:val="auto"/>
              </w:rPr>
            </w:pPr>
            <w:r>
              <w:rPr>
                <w:rFonts w:ascii="Arial" w:cs="Arial" w:eastAsia="Arial" w:hAnsi="Arial"/>
                <w:sz w:val="15"/>
                <w:szCs w:val="15"/>
                <w:color w:val="auto"/>
              </w:rPr>
              <w:t>-</w:t>
            </w:r>
          </w:p>
        </w:tc>
        <w:tc>
          <w:tcPr>
            <w:tcW w:w="20" w:type="dxa"/>
            <w:vAlign w:val="bottom"/>
            <w:tcBorders>
              <w:top w:val="single" w:sz="8" w:color="auto"/>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6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100" w:type="dxa"/>
            <w:vAlign w:val="bottom"/>
            <w:tcBorders>
              <w:top w:val="single" w:sz="8" w:color="auto"/>
            </w:tcBorders>
            <w:shd w:val="clear" w:color="auto" w:fill="E9E9E9"/>
          </w:tcPr>
          <w:p>
            <w:pPr>
              <w:spacing w:after="0"/>
              <w:rPr>
                <w:sz w:val="11"/>
                <w:szCs w:val="11"/>
                <w:color w:val="auto"/>
              </w:rPr>
            </w:pPr>
          </w:p>
        </w:tc>
        <w:tc>
          <w:tcPr>
            <w:tcW w:w="400" w:type="dxa"/>
            <w:vAlign w:val="bottom"/>
            <w:tcBorders>
              <w:top w:val="single" w:sz="8" w:color="auto"/>
            </w:tcBorders>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1"/>
                <w:szCs w:val="11"/>
                <w:color w:val="auto"/>
              </w:rPr>
            </w:pPr>
          </w:p>
        </w:tc>
        <w:tc>
          <w:tcPr>
            <w:tcW w:w="200" w:type="dxa"/>
            <w:vAlign w:val="bottom"/>
            <w:tcBorders>
              <w:top w:val="single" w:sz="8" w:color="auto"/>
            </w:tcBorders>
            <w:shd w:val="clear" w:color="auto" w:fill="E9E9E9"/>
          </w:tcPr>
          <w:p>
            <w:pPr>
              <w:spacing w:after="0"/>
              <w:rPr>
                <w:sz w:val="11"/>
                <w:szCs w:val="11"/>
                <w:color w:val="auto"/>
              </w:rPr>
            </w:pPr>
          </w:p>
        </w:tc>
        <w:tc>
          <w:tcPr>
            <w:tcW w:w="760" w:type="dxa"/>
            <w:vAlign w:val="bottom"/>
            <w:tcBorders>
              <w:top w:val="single" w:sz="8" w:color="auto"/>
            </w:tcBorders>
            <w:shd w:val="clear" w:color="auto" w:fill="E9E9E9"/>
          </w:tcPr>
          <w:p>
            <w:pPr>
              <w:jc w:val="right"/>
              <w:spacing w:after="0" w:line="137" w:lineRule="exact"/>
              <w:rPr>
                <w:sz w:val="20"/>
                <w:szCs w:val="20"/>
                <w:color w:val="auto"/>
              </w:rPr>
            </w:pPr>
            <w:r>
              <w:rPr>
                <w:rFonts w:ascii="Arial" w:cs="Arial" w:eastAsia="Arial" w:hAnsi="Arial"/>
                <w:sz w:val="15"/>
                <w:szCs w:val="15"/>
                <w:color w:val="auto"/>
              </w:rPr>
              <w:t>1,590</w:t>
            </w:r>
          </w:p>
        </w:tc>
        <w:tc>
          <w:tcPr>
            <w:tcW w:w="60" w:type="dxa"/>
            <w:vAlign w:val="bottom"/>
            <w:tcBorders>
              <w:top w:val="single" w:sz="8" w:color="E9E9E9"/>
            </w:tcBorders>
            <w:shd w:val="clear" w:color="auto" w:fill="E9E9E9"/>
          </w:tcPr>
          <w:p>
            <w:pPr>
              <w:spacing w:after="0"/>
              <w:rPr>
                <w:sz w:val="11"/>
                <w:szCs w:val="11"/>
                <w:color w:val="auto"/>
              </w:rPr>
            </w:pPr>
          </w:p>
        </w:tc>
        <w:tc>
          <w:tcPr>
            <w:tcW w:w="6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160" w:type="dxa"/>
            <w:vAlign w:val="bottom"/>
            <w:tcBorders>
              <w:top w:val="single" w:sz="8" w:color="auto"/>
            </w:tcBorders>
            <w:shd w:val="clear" w:color="auto" w:fill="E9E9E9"/>
          </w:tcPr>
          <w:p>
            <w:pPr>
              <w:spacing w:after="0"/>
              <w:rPr>
                <w:sz w:val="11"/>
                <w:szCs w:val="11"/>
                <w:color w:val="auto"/>
              </w:rPr>
            </w:pPr>
          </w:p>
        </w:tc>
        <w:tc>
          <w:tcPr>
            <w:tcW w:w="700" w:type="dxa"/>
            <w:vAlign w:val="bottom"/>
            <w:tcBorders>
              <w:top w:val="single" w:sz="8" w:color="auto"/>
            </w:tcBorders>
            <w:shd w:val="clear" w:color="auto" w:fill="E9E9E9"/>
          </w:tcPr>
          <w:p>
            <w:pPr>
              <w:jc w:val="right"/>
              <w:spacing w:after="0" w:line="137" w:lineRule="exact"/>
              <w:rPr>
                <w:sz w:val="20"/>
                <w:szCs w:val="20"/>
                <w:color w:val="auto"/>
              </w:rPr>
            </w:pPr>
            <w:r>
              <w:rPr>
                <w:rFonts w:ascii="Arial" w:cs="Arial" w:eastAsia="Arial" w:hAnsi="Arial"/>
                <w:sz w:val="15"/>
                <w:szCs w:val="15"/>
                <w:color w:val="auto"/>
              </w:rPr>
              <w:t>14,501</w:t>
            </w:r>
          </w:p>
        </w:tc>
        <w:tc>
          <w:tcPr>
            <w:tcW w:w="60" w:type="dxa"/>
            <w:vAlign w:val="bottom"/>
            <w:shd w:val="clear" w:color="auto" w:fill="E9E9E9"/>
          </w:tcPr>
          <w:p>
            <w:pPr>
              <w:spacing w:after="0"/>
              <w:rPr>
                <w:sz w:val="11"/>
                <w:szCs w:val="11"/>
                <w:color w:val="auto"/>
              </w:rPr>
            </w:pPr>
          </w:p>
        </w:tc>
      </w:tr>
      <w:tr>
        <w:trPr>
          <w:trHeight w:val="168"/>
        </w:trPr>
        <w:tc>
          <w:tcPr>
            <w:tcW w:w="3560" w:type="dxa"/>
            <w:vAlign w:val="bottom"/>
            <w:gridSpan w:val="4"/>
          </w:tcPr>
          <w:p>
            <w:pPr>
              <w:spacing w:after="0" w:line="167" w:lineRule="exact"/>
              <w:rPr>
                <w:sz w:val="20"/>
                <w:szCs w:val="20"/>
                <w:color w:val="auto"/>
              </w:rPr>
            </w:pPr>
            <w:r>
              <w:rPr>
                <w:rFonts w:ascii="Arial" w:cs="Arial" w:eastAsia="Arial" w:hAnsi="Arial"/>
                <w:sz w:val="15"/>
                <w:szCs w:val="15"/>
                <w:color w:val="auto"/>
              </w:rPr>
              <w:t>Exercise of stock options</w:t>
            </w:r>
          </w:p>
        </w:tc>
        <w:tc>
          <w:tcPr>
            <w:tcW w:w="480" w:type="dxa"/>
            <w:vAlign w:val="bottom"/>
            <w:gridSpan w:val="3"/>
          </w:tcPr>
          <w:p>
            <w:pPr>
              <w:jc w:val="right"/>
              <w:ind w:right="20"/>
              <w:spacing w:after="0" w:line="167" w:lineRule="exact"/>
              <w:rPr>
                <w:sz w:val="20"/>
                <w:szCs w:val="20"/>
                <w:color w:val="auto"/>
              </w:rPr>
            </w:pPr>
            <w:r>
              <w:rPr>
                <w:rFonts w:ascii="Arial" w:cs="Arial" w:eastAsia="Arial" w:hAnsi="Arial"/>
                <w:sz w:val="15"/>
                <w:szCs w:val="15"/>
                <w:color w:val="auto"/>
              </w:rPr>
              <w:t>101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60"/>
              <w:spacing w:after="0" w:line="167" w:lineRule="exact"/>
              <w:rPr>
                <w:sz w:val="20"/>
                <w:szCs w:val="20"/>
                <w:color w:val="auto"/>
              </w:rPr>
            </w:pPr>
            <w:r>
              <w:rPr>
                <w:rFonts w:ascii="Arial" w:cs="Arial" w:eastAsia="Arial" w:hAnsi="Arial"/>
                <w:sz w:val="15"/>
                <w:szCs w:val="15"/>
                <w:color w:val="auto"/>
              </w:rPr>
              <w:t>1</w:t>
            </w:r>
          </w:p>
        </w:tc>
        <w:tc>
          <w:tcPr>
            <w:tcW w:w="140" w:type="dxa"/>
            <w:vAlign w:val="bottom"/>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Arial" w:cs="Arial" w:eastAsia="Arial" w:hAnsi="Arial"/>
                <w:sz w:val="15"/>
                <w:szCs w:val="15"/>
                <w:color w:val="auto"/>
              </w:rPr>
              <w:t>1,209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67"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7" w:lineRule="exact"/>
              <w:rPr>
                <w:sz w:val="20"/>
                <w:szCs w:val="20"/>
                <w:color w:val="auto"/>
              </w:rPr>
            </w:pPr>
            <w:r>
              <w:rPr>
                <w:rFonts w:ascii="Arial" w:cs="Arial" w:eastAsia="Arial" w:hAnsi="Arial"/>
                <w:sz w:val="15"/>
                <w:szCs w:val="15"/>
                <w:color w:val="auto"/>
              </w:rPr>
              <w:t>1,210</w:t>
            </w:r>
          </w:p>
        </w:tc>
        <w:tc>
          <w:tcPr>
            <w:tcW w:w="60" w:type="dxa"/>
            <w:vAlign w:val="bottom"/>
          </w:tcPr>
          <w:p>
            <w:pPr>
              <w:spacing w:after="0"/>
              <w:rPr>
                <w:sz w:val="14"/>
                <w:szCs w:val="14"/>
                <w:color w:val="auto"/>
              </w:rPr>
            </w:pPr>
          </w:p>
        </w:tc>
      </w:tr>
      <w:tr>
        <w:trPr>
          <w:trHeight w:val="172"/>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rPr>
              <w:t>Restricted stock units issued</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328</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3</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(1,189)</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71" w:lineRule="exact"/>
              <w:rPr>
                <w:sz w:val="20"/>
                <w:szCs w:val="20"/>
                <w:color w:val="auto"/>
              </w:rPr>
            </w:pPr>
            <w:r>
              <w:rPr>
                <w:rFonts w:ascii="Arial" w:cs="Arial" w:eastAsia="Arial" w:hAnsi="Arial"/>
                <w:sz w:val="15"/>
                <w:szCs w:val="15"/>
                <w:color w:val="auto"/>
              </w:rPr>
              <w:t>(1,186)</w:t>
            </w:r>
          </w:p>
        </w:tc>
        <w:tc>
          <w:tcPr>
            <w:tcW w:w="60" w:type="dxa"/>
            <w:vAlign w:val="bottom"/>
            <w:shd w:val="clear" w:color="auto" w:fill="E9E9E9"/>
          </w:tcPr>
          <w:p>
            <w:pPr>
              <w:spacing w:after="0"/>
              <w:rPr>
                <w:sz w:val="14"/>
                <w:szCs w:val="14"/>
                <w:color w:val="auto"/>
              </w:rPr>
            </w:pPr>
          </w:p>
        </w:tc>
      </w:tr>
      <w:tr>
        <w:trPr>
          <w:trHeight w:val="170"/>
        </w:trPr>
        <w:tc>
          <w:tcPr>
            <w:tcW w:w="3560" w:type="dxa"/>
            <w:vAlign w:val="bottom"/>
            <w:gridSpan w:val="4"/>
          </w:tcPr>
          <w:p>
            <w:pPr>
              <w:spacing w:after="0" w:line="170" w:lineRule="exact"/>
              <w:rPr>
                <w:sz w:val="20"/>
                <w:szCs w:val="20"/>
                <w:color w:val="auto"/>
              </w:rPr>
            </w:pPr>
            <w:r>
              <w:rPr>
                <w:rFonts w:ascii="Arial" w:cs="Arial" w:eastAsia="Arial" w:hAnsi="Arial"/>
                <w:sz w:val="15"/>
                <w:szCs w:val="15"/>
                <w:color w:val="auto"/>
              </w:rPr>
              <w:t>Share-based compensation earned</w:t>
            </w:r>
          </w:p>
        </w:tc>
        <w:tc>
          <w:tcPr>
            <w:tcW w:w="480" w:type="dxa"/>
            <w:vAlign w:val="bottom"/>
            <w:gridSpan w:val="3"/>
          </w:tcPr>
          <w:p>
            <w:pPr>
              <w:jc w:val="right"/>
              <w:ind w:right="20"/>
              <w:spacing w:after="0" w:line="170" w:lineRule="exact"/>
              <w:rPr>
                <w:sz w:val="20"/>
                <w:szCs w:val="20"/>
                <w:color w:val="auto"/>
              </w:rPr>
            </w:pPr>
            <w:r>
              <w:rPr>
                <w:rFonts w:ascii="Arial" w:cs="Arial" w:eastAsia="Arial" w:hAnsi="Arial"/>
                <w:sz w:val="15"/>
                <w:szCs w:val="15"/>
                <w:color w:val="auto"/>
              </w:rPr>
              <w:t>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5"/>
                <w:szCs w:val="15"/>
                <w:color w:val="auto"/>
              </w:rPr>
              <w:t>4,762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5"/>
                <w:szCs w:val="15"/>
                <w:color w:val="auto"/>
              </w:rPr>
              <w:t>4,762</w:t>
            </w:r>
          </w:p>
        </w:tc>
        <w:tc>
          <w:tcPr>
            <w:tcW w:w="60" w:type="dxa"/>
            <w:vAlign w:val="bottom"/>
          </w:tcPr>
          <w:p>
            <w:pPr>
              <w:spacing w:after="0"/>
              <w:rPr>
                <w:sz w:val="14"/>
                <w:szCs w:val="14"/>
                <w:color w:val="auto"/>
              </w:rPr>
            </w:pPr>
          </w:p>
        </w:tc>
      </w:tr>
      <w:tr>
        <w:trPr>
          <w:trHeight w:val="170"/>
        </w:trPr>
        <w:tc>
          <w:tcPr>
            <w:tcW w:w="3460" w:type="dxa"/>
            <w:vAlign w:val="bottom"/>
            <w:shd w:val="clear" w:color="auto" w:fill="E9E9E9"/>
          </w:tcPr>
          <w:p>
            <w:pPr>
              <w:ind w:left="40"/>
              <w:spacing w:after="0" w:line="171" w:lineRule="exact"/>
              <w:rPr>
                <w:sz w:val="20"/>
                <w:szCs w:val="20"/>
                <w:color w:val="auto"/>
              </w:rPr>
            </w:pPr>
            <w:r>
              <w:rPr>
                <w:rFonts w:ascii="Arial" w:cs="Arial" w:eastAsia="Arial" w:hAnsi="Arial"/>
                <w:sz w:val="15"/>
                <w:szCs w:val="15"/>
                <w:color w:val="auto"/>
                <w:w w:val="95"/>
              </w:rPr>
              <w:t>Adjustment for minimum pension liability, net of tax of</w:t>
            </w:r>
          </w:p>
        </w:tc>
        <w:tc>
          <w:tcPr>
            <w:tcW w:w="60" w:type="dxa"/>
            <w:vAlign w:val="bottom"/>
            <w:shd w:val="clear" w:color="auto" w:fill="E9E9E9"/>
          </w:tcPr>
          <w:p>
            <w:pPr>
              <w:spacing w:after="0"/>
              <w:rPr>
                <w:sz w:val="14"/>
                <w:szCs w:val="14"/>
                <w:color w:val="auto"/>
              </w:rPr>
            </w:pPr>
          </w:p>
        </w:tc>
        <w:tc>
          <w:tcPr>
            <w:tcW w:w="40" w:type="dxa"/>
            <w:vAlign w:val="bottom"/>
            <w:gridSpan w:val="2"/>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r>
      <w:tr>
        <w:trPr>
          <w:trHeight w:val="172"/>
        </w:trPr>
        <w:tc>
          <w:tcPr>
            <w:tcW w:w="3460" w:type="dxa"/>
            <w:vAlign w:val="bottom"/>
            <w:shd w:val="clear" w:color="auto" w:fill="E9E9E9"/>
          </w:tcPr>
          <w:p>
            <w:pPr>
              <w:spacing w:after="0" w:line="172" w:lineRule="exact"/>
              <w:rPr>
                <w:sz w:val="20"/>
                <w:szCs w:val="20"/>
                <w:color w:val="auto"/>
              </w:rPr>
            </w:pPr>
            <w:r>
              <w:rPr>
                <w:rFonts w:ascii="Arial" w:cs="Arial" w:eastAsia="Arial" w:hAnsi="Arial"/>
                <w:sz w:val="15"/>
                <w:szCs w:val="15"/>
                <w:color w:val="auto"/>
              </w:rPr>
              <w:t>$619</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40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140" w:type="dxa"/>
            <w:vAlign w:val="bottom"/>
            <w:shd w:val="clear" w:color="auto" w:fill="E9E9E9"/>
          </w:tcPr>
          <w:p>
            <w:pPr>
              <w:spacing w:after="0"/>
              <w:rPr>
                <w:sz w:val="14"/>
                <w:szCs w:val="14"/>
                <w:color w:val="auto"/>
              </w:rPr>
            </w:pPr>
          </w:p>
        </w:tc>
        <w:tc>
          <w:tcPr>
            <w:tcW w:w="50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8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120" w:type="dxa"/>
            <w:vAlign w:val="bottom"/>
            <w:shd w:val="clear" w:color="auto" w:fill="E9E9E9"/>
          </w:tcPr>
          <w:p>
            <w:pPr>
              <w:spacing w:after="0"/>
              <w:rPr>
                <w:sz w:val="14"/>
                <w:szCs w:val="14"/>
                <w:color w:val="auto"/>
              </w:rPr>
            </w:pPr>
          </w:p>
        </w:tc>
        <w:tc>
          <w:tcPr>
            <w:tcW w:w="78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1,225</w:t>
            </w:r>
          </w:p>
        </w:tc>
        <w:tc>
          <w:tcPr>
            <w:tcW w:w="12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36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400" w:type="dxa"/>
            <w:vAlign w:val="bottom"/>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76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700" w:type="dxa"/>
            <w:vAlign w:val="bottom"/>
            <w:shd w:val="clear" w:color="auto" w:fill="E9E9E9"/>
          </w:tcPr>
          <w:p>
            <w:pPr>
              <w:jc w:val="right"/>
              <w:spacing w:after="0" w:line="172" w:lineRule="exact"/>
              <w:rPr>
                <w:sz w:val="20"/>
                <w:szCs w:val="20"/>
                <w:color w:val="auto"/>
              </w:rPr>
            </w:pPr>
            <w:r>
              <w:rPr>
                <w:rFonts w:ascii="Arial" w:cs="Arial" w:eastAsia="Arial" w:hAnsi="Arial"/>
                <w:sz w:val="15"/>
                <w:szCs w:val="15"/>
                <w:color w:val="auto"/>
              </w:rPr>
              <w:t>1,225</w:t>
            </w:r>
          </w:p>
        </w:tc>
        <w:tc>
          <w:tcPr>
            <w:tcW w:w="60" w:type="dxa"/>
            <w:vAlign w:val="bottom"/>
            <w:shd w:val="clear" w:color="auto" w:fill="E9E9E9"/>
          </w:tcPr>
          <w:p>
            <w:pPr>
              <w:spacing w:after="0"/>
              <w:rPr>
                <w:sz w:val="14"/>
                <w:szCs w:val="14"/>
                <w:color w:val="auto"/>
              </w:rPr>
            </w:pPr>
          </w:p>
        </w:tc>
      </w:tr>
      <w:tr>
        <w:trPr>
          <w:trHeight w:val="170"/>
        </w:trPr>
        <w:tc>
          <w:tcPr>
            <w:tcW w:w="3560" w:type="dxa"/>
            <w:vAlign w:val="bottom"/>
            <w:gridSpan w:val="4"/>
          </w:tcPr>
          <w:p>
            <w:pPr>
              <w:spacing w:after="0" w:line="170" w:lineRule="exact"/>
              <w:rPr>
                <w:sz w:val="20"/>
                <w:szCs w:val="20"/>
                <w:color w:val="auto"/>
              </w:rPr>
            </w:pPr>
            <w:r>
              <w:rPr>
                <w:rFonts w:ascii="Arial" w:cs="Arial" w:eastAsia="Arial" w:hAnsi="Arial"/>
                <w:sz w:val="15"/>
                <w:szCs w:val="15"/>
                <w:color w:val="auto"/>
              </w:rPr>
              <w:t>Translation gain</w:t>
            </w:r>
          </w:p>
        </w:tc>
        <w:tc>
          <w:tcPr>
            <w:tcW w:w="4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497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360"/>
              <w:spacing w:after="0" w:line="170"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5"/>
                <w:szCs w:val="15"/>
                <w:color w:val="auto"/>
              </w:rPr>
              <w:t>497</w:t>
            </w:r>
          </w:p>
        </w:tc>
        <w:tc>
          <w:tcPr>
            <w:tcW w:w="60" w:type="dxa"/>
            <w:vAlign w:val="bottom"/>
          </w:tcPr>
          <w:p>
            <w:pPr>
              <w:spacing w:after="0"/>
              <w:rPr>
                <w:sz w:val="14"/>
                <w:szCs w:val="14"/>
                <w:color w:val="auto"/>
              </w:rPr>
            </w:pPr>
          </w:p>
        </w:tc>
      </w:tr>
      <w:tr>
        <w:trPr>
          <w:trHeight w:val="171"/>
        </w:trPr>
        <w:tc>
          <w:tcPr>
            <w:tcW w:w="3460" w:type="dxa"/>
            <w:vAlign w:val="bottom"/>
            <w:shd w:val="clear" w:color="auto" w:fill="E9E9E9"/>
          </w:tcPr>
          <w:p>
            <w:pPr>
              <w:spacing w:after="0" w:line="171" w:lineRule="exact"/>
              <w:rPr>
                <w:sz w:val="20"/>
                <w:szCs w:val="20"/>
                <w:color w:val="auto"/>
              </w:rPr>
            </w:pPr>
            <w:r>
              <w:rPr>
                <w:rFonts w:ascii="Arial" w:cs="Arial" w:eastAsia="Arial" w:hAnsi="Arial"/>
                <w:sz w:val="15"/>
                <w:szCs w:val="15"/>
                <w:color w:val="auto"/>
              </w:rPr>
              <w:t>Noncontrolling interest distribution</w:t>
            </w: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20" w:type="dxa"/>
            <w:vAlign w:val="bottom"/>
            <w:tcBorders>
              <w:bottom w:val="single" w:sz="8" w:color="auto"/>
            </w:tcBorders>
            <w:shd w:val="clear" w:color="auto" w:fill="E9E9E9"/>
          </w:tcPr>
          <w:p>
            <w:pPr>
              <w:spacing w:after="0"/>
              <w:rPr>
                <w:sz w:val="14"/>
                <w:szCs w:val="14"/>
                <w:color w:val="auto"/>
              </w:rPr>
            </w:pPr>
          </w:p>
        </w:tc>
        <w:tc>
          <w:tcPr>
            <w:tcW w:w="6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2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140" w:type="dxa"/>
            <w:vAlign w:val="bottom"/>
            <w:tcBorders>
              <w:bottom w:val="single" w:sz="8" w:color="auto"/>
            </w:tcBorders>
            <w:shd w:val="clear" w:color="auto" w:fill="E9E9E9"/>
          </w:tcPr>
          <w:p>
            <w:pPr>
              <w:spacing w:after="0"/>
              <w:rPr>
                <w:sz w:val="14"/>
                <w:szCs w:val="14"/>
                <w:color w:val="auto"/>
              </w:rPr>
            </w:pPr>
          </w:p>
        </w:tc>
        <w:tc>
          <w:tcPr>
            <w:tcW w:w="50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tcBorders>
              <w:bottom w:val="single" w:sz="8" w:color="auto"/>
            </w:tcBorders>
            <w:shd w:val="clear" w:color="auto" w:fill="E9E9E9"/>
          </w:tcPr>
          <w:p>
            <w:pPr>
              <w:spacing w:after="0"/>
              <w:rPr>
                <w:sz w:val="14"/>
                <w:szCs w:val="14"/>
                <w:color w:val="auto"/>
              </w:rPr>
            </w:pPr>
          </w:p>
        </w:tc>
        <w:tc>
          <w:tcPr>
            <w:tcW w:w="68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80" w:type="dxa"/>
            <w:vAlign w:val="bottom"/>
            <w:tcBorders>
              <w:bottom w:val="single" w:sz="8" w:color="auto"/>
            </w:tcBorders>
            <w:shd w:val="clear" w:color="auto" w:fill="E9E9E9"/>
          </w:tcPr>
          <w:p>
            <w:pPr>
              <w:spacing w:after="0"/>
              <w:rPr>
                <w:sz w:val="14"/>
                <w:szCs w:val="14"/>
                <w:color w:val="auto"/>
              </w:rPr>
            </w:pPr>
          </w:p>
        </w:tc>
        <w:tc>
          <w:tcPr>
            <w:tcW w:w="120" w:type="dxa"/>
            <w:vAlign w:val="bottom"/>
            <w:tcBorders>
              <w:bottom w:val="single" w:sz="8" w:color="auto"/>
            </w:tcBorders>
            <w:shd w:val="clear" w:color="auto" w:fill="E9E9E9"/>
          </w:tcPr>
          <w:p>
            <w:pPr>
              <w:spacing w:after="0"/>
              <w:rPr>
                <w:sz w:val="14"/>
                <w:szCs w:val="14"/>
                <w:color w:val="auto"/>
              </w:rPr>
            </w:pPr>
          </w:p>
        </w:tc>
        <w:tc>
          <w:tcPr>
            <w:tcW w:w="78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E9E9E9"/>
          </w:tcPr>
          <w:p>
            <w:pPr>
              <w:spacing w:after="0"/>
              <w:rPr>
                <w:sz w:val="14"/>
                <w:szCs w:val="14"/>
                <w:color w:val="auto"/>
              </w:rPr>
            </w:pPr>
          </w:p>
        </w:tc>
        <w:tc>
          <w:tcPr>
            <w:tcW w:w="20" w:type="dxa"/>
            <w:vAlign w:val="bottom"/>
            <w:tcBorders>
              <w:bottom w:val="single" w:sz="8" w:color="auto"/>
            </w:tcBorders>
            <w:shd w:val="clear" w:color="auto" w:fill="E9E9E9"/>
          </w:tcPr>
          <w:p>
            <w:pPr>
              <w:spacing w:after="0"/>
              <w:rPr>
                <w:sz w:val="14"/>
                <w:szCs w:val="14"/>
                <w:color w:val="auto"/>
              </w:rPr>
            </w:pPr>
          </w:p>
        </w:tc>
        <w:tc>
          <w:tcPr>
            <w:tcW w:w="80" w:type="dxa"/>
            <w:vAlign w:val="bottom"/>
            <w:tcBorders>
              <w:bottom w:val="single" w:sz="8" w:color="auto"/>
            </w:tcBorders>
            <w:shd w:val="clear" w:color="auto" w:fill="E9E9E9"/>
          </w:tcPr>
          <w:p>
            <w:pPr>
              <w:spacing w:after="0"/>
              <w:rPr>
                <w:sz w:val="14"/>
                <w:szCs w:val="14"/>
                <w:color w:val="auto"/>
              </w:rPr>
            </w:pPr>
          </w:p>
        </w:tc>
        <w:tc>
          <w:tcPr>
            <w:tcW w:w="36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E9E9E9"/>
          </w:tcPr>
          <w:p>
            <w:pPr>
              <w:spacing w:after="0"/>
              <w:rPr>
                <w:sz w:val="14"/>
                <w:szCs w:val="14"/>
                <w:color w:val="auto"/>
              </w:rPr>
            </w:pPr>
          </w:p>
        </w:tc>
        <w:tc>
          <w:tcPr>
            <w:tcW w:w="4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00" w:type="dxa"/>
            <w:vAlign w:val="bottom"/>
            <w:tcBorders>
              <w:bottom w:val="single" w:sz="8" w:color="auto"/>
            </w:tcBorders>
            <w:shd w:val="clear" w:color="auto" w:fill="E9E9E9"/>
          </w:tcPr>
          <w:p>
            <w:pPr>
              <w:spacing w:after="0"/>
              <w:rPr>
                <w:sz w:val="14"/>
                <w:szCs w:val="14"/>
                <w:color w:val="auto"/>
              </w:rPr>
            </w:pPr>
          </w:p>
        </w:tc>
        <w:tc>
          <w:tcPr>
            <w:tcW w:w="400" w:type="dxa"/>
            <w:vAlign w:val="bottom"/>
            <w:tcBorders>
              <w:bottom w:val="single" w:sz="8" w:color="auto"/>
            </w:tcBorders>
            <w:shd w:val="clear" w:color="auto" w:fill="E9E9E9"/>
          </w:tcPr>
          <w:p>
            <w:pPr>
              <w:ind w:left="360"/>
              <w:spacing w:after="0"/>
              <w:rPr>
                <w:sz w:val="20"/>
                <w:szCs w:val="20"/>
                <w:color w:val="auto"/>
              </w:rPr>
            </w:pPr>
            <w:r>
              <w:rPr>
                <w:rFonts w:ascii="Arial" w:cs="Arial" w:eastAsia="Arial" w:hAnsi="Arial"/>
                <w:sz w:val="7"/>
                <w:szCs w:val="7"/>
                <w:color w:val="auto"/>
                <w:w w:val="83"/>
              </w:rPr>
              <w:t>-</w:t>
            </w:r>
          </w:p>
        </w:tc>
        <w:tc>
          <w:tcPr>
            <w:tcW w:w="60" w:type="dxa"/>
            <w:vAlign w:val="bottom"/>
            <w:shd w:val="clear" w:color="auto" w:fill="E9E9E9"/>
          </w:tcPr>
          <w:p>
            <w:pPr>
              <w:spacing w:after="0"/>
              <w:rPr>
                <w:sz w:val="14"/>
                <w:szCs w:val="14"/>
                <w:color w:val="auto"/>
              </w:rPr>
            </w:pPr>
          </w:p>
        </w:tc>
        <w:tc>
          <w:tcPr>
            <w:tcW w:w="200" w:type="dxa"/>
            <w:vAlign w:val="bottom"/>
            <w:tcBorders>
              <w:bottom w:val="single" w:sz="8" w:color="auto"/>
            </w:tcBorders>
            <w:shd w:val="clear" w:color="auto" w:fill="E9E9E9"/>
          </w:tcPr>
          <w:p>
            <w:pPr>
              <w:spacing w:after="0"/>
              <w:rPr>
                <w:sz w:val="14"/>
                <w:szCs w:val="14"/>
                <w:color w:val="auto"/>
              </w:rPr>
            </w:pPr>
          </w:p>
        </w:tc>
        <w:tc>
          <w:tcPr>
            <w:tcW w:w="76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(1,666)</w:t>
            </w:r>
          </w:p>
        </w:tc>
        <w:tc>
          <w:tcPr>
            <w:tcW w:w="60" w:type="dxa"/>
            <w:vAlign w:val="bottom"/>
            <w:shd w:val="clear" w:color="auto" w:fill="E9E9E9"/>
          </w:tcPr>
          <w:p>
            <w:pPr>
              <w:spacing w:after="0"/>
              <w:rPr>
                <w:sz w:val="14"/>
                <w:szCs w:val="14"/>
                <w:color w:val="auto"/>
              </w:rPr>
            </w:pPr>
          </w:p>
        </w:tc>
        <w:tc>
          <w:tcPr>
            <w:tcW w:w="60" w:type="dxa"/>
            <w:vAlign w:val="bottom"/>
            <w:shd w:val="clear" w:color="auto" w:fill="E9E9E9"/>
          </w:tcPr>
          <w:p>
            <w:pPr>
              <w:spacing w:after="0"/>
              <w:rPr>
                <w:sz w:val="14"/>
                <w:szCs w:val="14"/>
                <w:color w:val="auto"/>
              </w:rPr>
            </w:pPr>
          </w:p>
        </w:tc>
        <w:tc>
          <w:tcPr>
            <w:tcW w:w="20" w:type="dxa"/>
            <w:vAlign w:val="bottom"/>
            <w:shd w:val="clear" w:color="auto" w:fill="E9E9E9"/>
          </w:tcPr>
          <w:p>
            <w:pPr>
              <w:spacing w:after="0"/>
              <w:rPr>
                <w:sz w:val="14"/>
                <w:szCs w:val="14"/>
                <w:color w:val="auto"/>
              </w:rPr>
            </w:pPr>
          </w:p>
        </w:tc>
        <w:tc>
          <w:tcPr>
            <w:tcW w:w="160" w:type="dxa"/>
            <w:vAlign w:val="bottom"/>
            <w:tcBorders>
              <w:bottom w:val="single" w:sz="8" w:color="auto"/>
            </w:tcBorders>
            <w:shd w:val="clear" w:color="auto" w:fill="E9E9E9"/>
          </w:tcPr>
          <w:p>
            <w:pPr>
              <w:spacing w:after="0"/>
              <w:rPr>
                <w:sz w:val="14"/>
                <w:szCs w:val="14"/>
                <w:color w:val="auto"/>
              </w:rPr>
            </w:pPr>
          </w:p>
        </w:tc>
        <w:tc>
          <w:tcPr>
            <w:tcW w:w="700" w:type="dxa"/>
            <w:vAlign w:val="bottom"/>
            <w:tcBorders>
              <w:bottom w:val="single" w:sz="8" w:color="auto"/>
            </w:tcBorders>
            <w:shd w:val="clear" w:color="auto" w:fill="E9E9E9"/>
          </w:tcPr>
          <w:p>
            <w:pPr>
              <w:jc w:val="right"/>
              <w:spacing w:after="0" w:line="171" w:lineRule="exact"/>
              <w:rPr>
                <w:sz w:val="20"/>
                <w:szCs w:val="20"/>
                <w:color w:val="auto"/>
              </w:rPr>
            </w:pPr>
            <w:r>
              <w:rPr>
                <w:rFonts w:ascii="Arial" w:cs="Arial" w:eastAsia="Arial" w:hAnsi="Arial"/>
                <w:sz w:val="15"/>
                <w:szCs w:val="15"/>
                <w:color w:val="auto"/>
              </w:rPr>
              <w:t>(1,666)</w:t>
            </w:r>
          </w:p>
        </w:tc>
        <w:tc>
          <w:tcPr>
            <w:tcW w:w="60" w:type="dxa"/>
            <w:vAlign w:val="bottom"/>
            <w:shd w:val="clear" w:color="auto" w:fill="E9E9E9"/>
          </w:tcPr>
          <w:p>
            <w:pPr>
              <w:spacing w:after="0"/>
              <w:rPr>
                <w:sz w:val="14"/>
                <w:szCs w:val="14"/>
                <w:color w:val="auto"/>
              </w:rPr>
            </w:pPr>
          </w:p>
        </w:tc>
      </w:tr>
      <w:tr>
        <w:trPr>
          <w:trHeight w:val="171"/>
        </w:trPr>
        <w:tc>
          <w:tcPr>
            <w:tcW w:w="3560" w:type="dxa"/>
            <w:vAlign w:val="bottom"/>
            <w:gridSpan w:val="4"/>
          </w:tcPr>
          <w:p>
            <w:pPr>
              <w:spacing w:after="0" w:line="165" w:lineRule="exact"/>
              <w:rPr>
                <w:sz w:val="20"/>
                <w:szCs w:val="20"/>
                <w:color w:val="auto"/>
              </w:rPr>
            </w:pPr>
            <w:r>
              <w:rPr>
                <w:rFonts w:ascii="Arial" w:cs="Arial" w:eastAsia="Arial" w:hAnsi="Arial"/>
                <w:sz w:val="15"/>
                <w:szCs w:val="15"/>
                <w:color w:val="auto"/>
              </w:rPr>
              <w:t>Balance December 31, 2023</w:t>
            </w:r>
          </w:p>
        </w:tc>
        <w:tc>
          <w:tcPr>
            <w:tcW w:w="48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w w:val="95"/>
              </w:rPr>
              <w:t>34,835</w:t>
            </w:r>
          </w:p>
        </w:tc>
        <w:tc>
          <w:tcPr>
            <w:tcW w:w="40" w:type="dxa"/>
            <w:vAlign w:val="bottom"/>
          </w:tcPr>
          <w:p>
            <w:pPr>
              <w:spacing w:after="0"/>
              <w:rPr>
                <w:sz w:val="14"/>
                <w:szCs w:val="14"/>
                <w:color w:val="auto"/>
              </w:rPr>
            </w:pPr>
          </w:p>
        </w:tc>
        <w:tc>
          <w:tcPr>
            <w:tcW w:w="140" w:type="dxa"/>
            <w:vAlign w:val="bottom"/>
            <w:gridSpan w:val="2"/>
          </w:tcPr>
          <w:p>
            <w:pPr>
              <w:ind w:lef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348</w:t>
            </w: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w w:val="88"/>
              </w:rPr>
              <w:t>254,956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ind w:left="60"/>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(6,387)</w:t>
            </w:r>
          </w:p>
        </w:tc>
        <w:tc>
          <w:tcPr>
            <w:tcW w:w="140" w:type="dxa"/>
            <w:vAlign w:val="bottom"/>
            <w:gridSpan w:val="3"/>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(16,274)</w:t>
            </w:r>
          </w:p>
        </w:tc>
        <w:tc>
          <w:tcPr>
            <w:tcW w:w="20" w:type="dxa"/>
            <w:vAlign w:val="bottom"/>
          </w:tcPr>
          <w:p>
            <w:pPr>
              <w:spacing w:after="0"/>
              <w:rPr>
                <w:sz w:val="14"/>
                <w:szCs w:val="14"/>
                <w:color w:val="auto"/>
              </w:rPr>
            </w:pPr>
          </w:p>
        </w:tc>
        <w:tc>
          <w:tcPr>
            <w:tcW w:w="4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3"/>
          </w:tcPr>
          <w:p>
            <w:pPr>
              <w:ind w:left="6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tcPr>
          <w:p>
            <w:pPr>
              <w:ind w:left="36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4,848</w:t>
            </w:r>
          </w:p>
        </w:tc>
        <w:tc>
          <w:tcPr>
            <w:tcW w:w="240" w:type="dxa"/>
            <w:vAlign w:val="bottom"/>
            <w:gridSpan w:val="3"/>
          </w:tcPr>
          <w:p>
            <w:pPr>
              <w:ind w:left="60"/>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237,491</w:t>
            </w:r>
          </w:p>
        </w:tc>
        <w:tc>
          <w:tcPr>
            <w:tcW w:w="60" w:type="dxa"/>
            <w:vAlign w:val="bottom"/>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2938780</wp:posOffset>
                </wp:positionH>
                <wp:positionV relativeFrom="paragraph">
                  <wp:posOffset>-3562350</wp:posOffset>
                </wp:positionV>
                <wp:extent cx="3746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4763"/>
                        </a:xfrm>
                        <a:prstGeom prst="line">
                          <a:avLst/>
                        </a:prstGeom>
                        <a:solidFill>
                          <a:srgbClr val="FFFFFF"/>
                        </a:solidFill>
                        <a:ln w="6034">
                          <a:solidFill>
                            <a:srgbClr val="E9E9E9"/>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1.4pt,-280.4999pt" to="234.35pt,-280.4999pt" o:allowincell="f" strokecolor="#E9E9E9" strokeweight="0.4751pt"/>
            </w:pict>
          </mc:Fallback>
        </mc:AlternateContent>
        <mc:AlternateContent>
          <mc:Choice Requires="wps">
            <w:drawing>
              <wp:anchor simplePos="0" relativeHeight="251657728" behindDoc="1" locked="0" layoutInCell="0" allowOverlap="1">
                <wp:simplePos x="0" y="0"/>
                <wp:positionH relativeFrom="column">
                  <wp:posOffset>5466080</wp:posOffset>
                </wp:positionH>
                <wp:positionV relativeFrom="paragraph">
                  <wp:posOffset>-3562350</wp:posOffset>
                </wp:positionV>
                <wp:extent cx="381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6034">
                          <a:solidFill>
                            <a:srgbClr val="E9E9E9"/>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4pt,-280.4999pt" to="433.4pt,-280.4999pt" o:allowincell="f" strokecolor="#E9E9E9" strokeweight="0.4751pt"/>
            </w:pict>
          </mc:Fallback>
        </mc:AlternateContent>
        <mc:AlternateContent>
          <mc:Choice Requires="wps">
            <w:drawing>
              <wp:anchor simplePos="0" relativeHeight="251657728" behindDoc="1" locked="0" layoutInCell="0" allowOverlap="1">
                <wp:simplePos x="0" y="0"/>
                <wp:positionH relativeFrom="column">
                  <wp:posOffset>6748780</wp:posOffset>
                </wp:positionH>
                <wp:positionV relativeFrom="paragraph">
                  <wp:posOffset>-3562350</wp:posOffset>
                </wp:positionV>
                <wp:extent cx="381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6034">
                          <a:solidFill>
                            <a:srgbClr val="E9E9E9"/>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1.4pt,-280.4999pt" to="534.4pt,-280.4999pt" o:allowincell="f" strokecolor="#E9E9E9" strokeweight="0.4751pt"/>
            </w:pict>
          </mc:Fallback>
        </mc:AlternateContent>
        <mc:AlternateContent>
          <mc:Choice Requires="wps">
            <w:drawing>
              <wp:anchor simplePos="0" relativeHeight="251657728" behindDoc="1" locked="0" layoutInCell="0" allowOverlap="1">
                <wp:simplePos x="0" y="0"/>
                <wp:positionH relativeFrom="column">
                  <wp:posOffset>3378200</wp:posOffset>
                </wp:positionH>
                <wp:positionV relativeFrom="paragraph">
                  <wp:posOffset>-2471420</wp:posOffset>
                </wp:positionV>
                <wp:extent cx="7493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93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194.5999pt" to="271.9pt,-194.5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6748780</wp:posOffset>
                </wp:positionH>
                <wp:positionV relativeFrom="paragraph">
                  <wp:posOffset>-2471420</wp:posOffset>
                </wp:positionV>
                <wp:extent cx="381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1.4pt,-194.5999pt" to="534.4pt,-194.5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3378200</wp:posOffset>
                </wp:positionH>
                <wp:positionV relativeFrom="paragraph">
                  <wp:posOffset>-1164590</wp:posOffset>
                </wp:positionV>
                <wp:extent cx="7493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93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91.6999pt" to="271.9pt,-91.6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6748780</wp:posOffset>
                </wp:positionH>
                <wp:positionV relativeFrom="paragraph">
                  <wp:posOffset>-1164590</wp:posOffset>
                </wp:positionV>
                <wp:extent cx="381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1.4pt,-91.6999pt" to="534.4pt,-91.6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2938780</wp:posOffset>
                </wp:positionH>
                <wp:positionV relativeFrom="paragraph">
                  <wp:posOffset>-1045210</wp:posOffset>
                </wp:positionV>
                <wp:extent cx="37465" cy="2857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28575"/>
                        </a:xfrm>
                        <a:prstGeom prst="rect">
                          <a:avLst/>
                        </a:prstGeom>
                        <a:solidFill>
                          <a:srgbClr val="E9E9E9"/>
                        </a:solidFill>
                      </wps:spPr>
                      <wps:bodyPr/>
                    </wps:wsp>
                  </a:graphicData>
                </a:graphic>
              </wp:anchor>
            </w:drawing>
          </mc:Choice>
          <mc:Fallback>
            <w:pict>
              <v:rect id="Shape 109" o:spid="_x0000_s1134" style="position:absolute;margin-left:231.4pt;margin-top:-82.2999pt;width:2.9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5466080</wp:posOffset>
                </wp:positionH>
                <wp:positionV relativeFrom="paragraph">
                  <wp:posOffset>-1045210</wp:posOffset>
                </wp:positionV>
                <wp:extent cx="38100" cy="2857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28575"/>
                        </a:xfrm>
                        <a:prstGeom prst="rect">
                          <a:avLst/>
                        </a:prstGeom>
                        <a:solidFill>
                          <a:srgbClr val="E9E9E9"/>
                        </a:solidFill>
                      </wps:spPr>
                      <wps:bodyPr/>
                    </wps:wsp>
                  </a:graphicData>
                </a:graphic>
              </wp:anchor>
            </w:drawing>
          </mc:Choice>
          <mc:Fallback>
            <w:pict>
              <v:rect id="Shape 110" o:spid="_x0000_s1135" style="position:absolute;margin-left:430.4pt;margin-top:-82.2999pt;width:3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6748780</wp:posOffset>
                </wp:positionH>
                <wp:positionV relativeFrom="paragraph">
                  <wp:posOffset>-1045210</wp:posOffset>
                </wp:positionV>
                <wp:extent cx="38100" cy="2857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28575"/>
                        </a:xfrm>
                        <a:prstGeom prst="rect">
                          <a:avLst/>
                        </a:prstGeom>
                        <a:solidFill>
                          <a:srgbClr val="E9E9E9"/>
                        </a:solidFill>
                      </wps:spPr>
                      <wps:bodyPr/>
                    </wps:wsp>
                  </a:graphicData>
                </a:graphic>
              </wp:anchor>
            </w:drawing>
          </mc:Choice>
          <mc:Fallback>
            <w:pict>
              <v:rect id="Shape 111" o:spid="_x0000_s1136" style="position:absolute;margin-left:531.4pt;margin-top:-82.2999pt;width:3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3378200</wp:posOffset>
                </wp:positionH>
                <wp:positionV relativeFrom="paragraph">
                  <wp:posOffset>-146050</wp:posOffset>
                </wp:positionV>
                <wp:extent cx="7493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93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11.4999pt" to="271.9pt,-11.4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6748780</wp:posOffset>
                </wp:positionH>
                <wp:positionV relativeFrom="paragraph">
                  <wp:posOffset>-146050</wp:posOffset>
                </wp:positionV>
                <wp:extent cx="381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1.4pt,-11.4999pt" to="534.4pt,-11.4999pt" o:allowincell="f" strokecolor="#FFFFFF" strokeweight="0.4752pt"/>
            </w:pict>
          </mc:Fallback>
        </mc:AlternateConten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w:t>
      </w:r>
    </w:p>
    <w:p>
      <w:pPr>
        <w:sectPr>
          <w:pgSz w:w="11880" w:h="15480" w:orient="portrait"/>
          <w:cols w:equalWidth="0" w:num="1">
            <w:col w:w="10680"/>
          </w:cols>
          <w:pgMar w:left="600" w:top="837" w:right="600" w:bottom="46"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CECO ENVIRONMENTAL CORP. AND SUBSIDIARIES</w:t>
      </w:r>
    </w:p>
    <w:p>
      <w:pPr>
        <w:jc w:val="center"/>
        <w:spacing w:after="0" w:line="235" w:lineRule="auto"/>
        <w:rPr>
          <w:sz w:val="20"/>
          <w:szCs w:val="20"/>
          <w:color w:val="auto"/>
        </w:rPr>
      </w:pPr>
      <w:r>
        <w:rPr>
          <w:rFonts w:ascii="Arial" w:cs="Arial" w:eastAsia="Arial" w:hAnsi="Arial"/>
          <w:sz w:val="20"/>
          <w:szCs w:val="20"/>
          <w:b w:val="1"/>
          <w:bCs w:val="1"/>
          <w:color w:val="auto"/>
        </w:rPr>
        <w:t>ACCUMULATED OTHER COMPREHENSIVE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Translation</w:t>
            </w:r>
          </w:p>
        </w:tc>
        <w:tc>
          <w:tcPr>
            <w:tcW w:w="120" w:type="dxa"/>
            <w:vAlign w:val="bottom"/>
          </w:tcPr>
          <w:p>
            <w:pPr>
              <w:spacing w:after="0"/>
              <w:rPr>
                <w:sz w:val="16"/>
                <w:szCs w:val="16"/>
                <w:color w:val="auto"/>
              </w:rPr>
            </w:pPr>
          </w:p>
        </w:tc>
        <w:tc>
          <w:tcPr>
            <w:tcW w:w="1860" w:type="dxa"/>
            <w:vAlign w:val="bottom"/>
            <w:gridSpan w:val="2"/>
          </w:tcPr>
          <w:p>
            <w:pPr>
              <w:jc w:val="right"/>
              <w:ind w:right="398"/>
              <w:spacing w:after="0"/>
              <w:rPr>
                <w:sz w:val="20"/>
                <w:szCs w:val="20"/>
                <w:color w:val="auto"/>
              </w:rPr>
            </w:pPr>
            <w:r>
              <w:rPr>
                <w:rFonts w:ascii="Arial" w:cs="Arial" w:eastAsia="Arial" w:hAnsi="Arial"/>
                <w:sz w:val="16"/>
                <w:szCs w:val="16"/>
                <w:b w:val="1"/>
                <w:bCs w:val="1"/>
                <w:color w:val="auto"/>
                <w:w w:val="99"/>
              </w:rPr>
              <w:t>Minimum pension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6"/>
              </w:rPr>
              <w:t>Accumulated other</w:t>
            </w:r>
          </w:p>
        </w:tc>
      </w:tr>
      <w:tr>
        <w:trPr>
          <w:trHeight w:val="180"/>
        </w:trPr>
        <w:tc>
          <w:tcPr>
            <w:tcW w:w="5160" w:type="dxa"/>
            <w:vAlign w:val="bottom"/>
          </w:tcPr>
          <w:p>
            <w:pPr>
              <w:spacing w:after="0" w:line="180" w:lineRule="exact"/>
              <w:rPr>
                <w:sz w:val="20"/>
                <w:szCs w:val="20"/>
                <w:color w:val="auto"/>
              </w:rPr>
            </w:pPr>
            <w:r>
              <w:rPr>
                <w:rFonts w:ascii="Arial" w:cs="Arial" w:eastAsia="Arial" w:hAnsi="Arial"/>
                <w:sz w:val="16"/>
                <w:szCs w:val="16"/>
                <w:b w:val="1"/>
                <w:bCs w:val="1"/>
                <w:color w:val="auto"/>
              </w:rPr>
              <w:t>(dollars 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800"/>
              <w:spacing w:after="0" w:line="180" w:lineRule="exact"/>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5"/>
                <w:szCs w:val="15"/>
                <w:color w:val="auto"/>
              </w:rPr>
            </w:pPr>
          </w:p>
        </w:tc>
        <w:tc>
          <w:tcPr>
            <w:tcW w:w="1860" w:type="dxa"/>
            <w:vAlign w:val="bottom"/>
            <w:gridSpan w:val="2"/>
          </w:tcPr>
          <w:p>
            <w:pPr>
              <w:jc w:val="right"/>
              <w:ind w:right="338"/>
              <w:spacing w:after="0" w:line="180" w:lineRule="exact"/>
              <w:rPr>
                <w:sz w:val="20"/>
                <w:szCs w:val="20"/>
                <w:color w:val="auto"/>
              </w:rPr>
            </w:pPr>
            <w:r>
              <w:rPr>
                <w:rFonts w:ascii="Arial" w:cs="Arial" w:eastAsia="Arial" w:hAnsi="Arial"/>
                <w:sz w:val="16"/>
                <w:szCs w:val="16"/>
                <w:b w:val="1"/>
                <w:bCs w:val="1"/>
                <w:color w:val="auto"/>
                <w:w w:val="97"/>
              </w:rPr>
              <w:t>liability adjustment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340"/>
              <w:spacing w:after="0" w:line="180" w:lineRule="exact"/>
              <w:rPr>
                <w:sz w:val="20"/>
                <w:szCs w:val="20"/>
                <w:color w:val="auto"/>
              </w:rPr>
            </w:pPr>
            <w:r>
              <w:rPr>
                <w:rFonts w:ascii="Arial" w:cs="Arial" w:eastAsia="Arial" w:hAnsi="Arial"/>
                <w:sz w:val="16"/>
                <w:szCs w:val="16"/>
                <w:b w:val="1"/>
                <w:bCs w:val="1"/>
                <w:color w:val="auto"/>
                <w:w w:val="90"/>
              </w:rPr>
              <w:t>comprehensive loss</w:t>
            </w:r>
          </w:p>
        </w:tc>
      </w:tr>
      <w:tr>
        <w:trPr>
          <w:trHeight w:val="218"/>
        </w:trPr>
        <w:tc>
          <w:tcPr>
            <w:tcW w:w="51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Balance January 1, 2021</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(5,820)</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(8,676)</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(14,496)</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5160" w:type="dxa"/>
            <w:vAlign w:val="bottom"/>
          </w:tcPr>
          <w:p>
            <w:pPr>
              <w:spacing w:after="0" w:line="228" w:lineRule="exact"/>
              <w:rPr>
                <w:sz w:val="20"/>
                <w:szCs w:val="20"/>
                <w:color w:val="auto"/>
              </w:rPr>
            </w:pPr>
            <w:r>
              <w:rPr>
                <w:rFonts w:ascii="Arial" w:cs="Arial" w:eastAsia="Arial" w:hAnsi="Arial"/>
                <w:sz w:val="20"/>
                <w:szCs w:val="20"/>
                <w:color w:val="auto"/>
              </w:rPr>
              <w:t>2021 activity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(538)</w:t>
            </w:r>
          </w:p>
        </w:tc>
        <w:tc>
          <w:tcPr>
            <w:tcW w:w="120" w:type="dxa"/>
            <w:vAlign w:val="bottom"/>
          </w:tcPr>
          <w:p>
            <w:pPr>
              <w:spacing w:after="0"/>
              <w:rPr>
                <w:sz w:val="19"/>
                <w:szCs w:val="19"/>
                <w:color w:val="auto"/>
              </w:rPr>
            </w:pPr>
          </w:p>
        </w:tc>
        <w:tc>
          <w:tcPr>
            <w:tcW w:w="1660" w:type="dxa"/>
            <w:vAlign w:val="bottom"/>
          </w:tcPr>
          <w:p>
            <w:pPr>
              <w:jc w:val="right"/>
              <w:spacing w:after="0" w:line="228" w:lineRule="exact"/>
              <w:rPr>
                <w:sz w:val="20"/>
                <w:szCs w:val="20"/>
                <w:color w:val="auto"/>
              </w:rPr>
            </w:pPr>
            <w:r>
              <w:rPr>
                <w:rFonts w:ascii="Arial" w:cs="Arial" w:eastAsia="Arial" w:hAnsi="Arial"/>
                <w:sz w:val="20"/>
                <w:szCs w:val="20"/>
                <w:color w:val="auto"/>
              </w:rPr>
              <w:t>2,964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2,426</w:t>
            </w:r>
          </w:p>
        </w:tc>
      </w:tr>
      <w:tr>
        <w:trPr>
          <w:trHeight w:val="218"/>
        </w:trPr>
        <w:tc>
          <w:tcPr>
            <w:tcW w:w="51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Balance December 31, 2021</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(6,358)</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(5,712)</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(12,070)</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5160" w:type="dxa"/>
            <w:vAlign w:val="bottom"/>
          </w:tcPr>
          <w:p>
            <w:pPr>
              <w:spacing w:after="0" w:line="228" w:lineRule="exact"/>
              <w:rPr>
                <w:sz w:val="20"/>
                <w:szCs w:val="20"/>
                <w:color w:val="auto"/>
              </w:rPr>
            </w:pPr>
            <w:r>
              <w:rPr>
                <w:rFonts w:ascii="Arial" w:cs="Arial" w:eastAsia="Arial" w:hAnsi="Arial"/>
                <w:sz w:val="20"/>
                <w:szCs w:val="20"/>
                <w:color w:val="auto"/>
              </w:rPr>
              <w:t>2022 activity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(5,635)</w:t>
            </w:r>
          </w:p>
        </w:tc>
        <w:tc>
          <w:tcPr>
            <w:tcW w:w="120" w:type="dxa"/>
            <w:vAlign w:val="bottom"/>
          </w:tcPr>
          <w:p>
            <w:pPr>
              <w:spacing w:after="0"/>
              <w:rPr>
                <w:sz w:val="19"/>
                <w:szCs w:val="19"/>
                <w:color w:val="auto"/>
              </w:rPr>
            </w:pPr>
          </w:p>
        </w:tc>
        <w:tc>
          <w:tcPr>
            <w:tcW w:w="1860" w:type="dxa"/>
            <w:vAlign w:val="bottom"/>
            <w:gridSpan w:val="2"/>
          </w:tcPr>
          <w:p>
            <w:pPr>
              <w:jc w:val="right"/>
              <w:ind w:right="58"/>
              <w:spacing w:after="0" w:line="228" w:lineRule="exact"/>
              <w:rPr>
                <w:sz w:val="20"/>
                <w:szCs w:val="20"/>
                <w:color w:val="auto"/>
              </w:rPr>
            </w:pPr>
            <w:r>
              <w:rPr>
                <w:rFonts w:ascii="Arial" w:cs="Arial" w:eastAsia="Arial" w:hAnsi="Arial"/>
                <w:sz w:val="20"/>
                <w:szCs w:val="20"/>
                <w:color w:val="auto"/>
              </w:rPr>
              <w:t>(291)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(5,926)</w:t>
            </w:r>
          </w:p>
        </w:tc>
      </w:tr>
      <w:tr>
        <w:trPr>
          <w:trHeight w:val="218"/>
        </w:trPr>
        <w:tc>
          <w:tcPr>
            <w:tcW w:w="51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Balance December 31, 2022</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(11,993)</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(6,003)</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(17,996)</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5160" w:type="dxa"/>
            <w:vAlign w:val="bottom"/>
          </w:tcPr>
          <w:p>
            <w:pPr>
              <w:spacing w:after="0" w:line="228" w:lineRule="exact"/>
              <w:rPr>
                <w:sz w:val="20"/>
                <w:szCs w:val="20"/>
                <w:color w:val="auto"/>
              </w:rPr>
            </w:pPr>
            <w:r>
              <w:rPr>
                <w:rFonts w:ascii="Arial" w:cs="Arial" w:eastAsia="Arial" w:hAnsi="Arial"/>
                <w:sz w:val="20"/>
                <w:szCs w:val="20"/>
                <w:color w:val="auto"/>
              </w:rPr>
              <w:t>2023 activity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20"/>
              <w:spacing w:after="0" w:line="228" w:lineRule="exact"/>
              <w:rPr>
                <w:sz w:val="20"/>
                <w:szCs w:val="20"/>
                <w:color w:val="auto"/>
              </w:rPr>
            </w:pPr>
            <w:r>
              <w:rPr>
                <w:rFonts w:ascii="Arial" w:cs="Arial" w:eastAsia="Arial" w:hAnsi="Arial"/>
                <w:sz w:val="20"/>
                <w:szCs w:val="20"/>
                <w:color w:val="auto"/>
              </w:rPr>
              <w:t>497</w:t>
            </w:r>
          </w:p>
        </w:tc>
        <w:tc>
          <w:tcPr>
            <w:tcW w:w="120" w:type="dxa"/>
            <w:vAlign w:val="bottom"/>
          </w:tcPr>
          <w:p>
            <w:pPr>
              <w:spacing w:after="0"/>
              <w:rPr>
                <w:sz w:val="19"/>
                <w:szCs w:val="19"/>
                <w:color w:val="auto"/>
              </w:rPr>
            </w:pPr>
          </w:p>
        </w:tc>
        <w:tc>
          <w:tcPr>
            <w:tcW w:w="1660" w:type="dxa"/>
            <w:vAlign w:val="bottom"/>
          </w:tcPr>
          <w:p>
            <w:pPr>
              <w:jc w:val="right"/>
              <w:spacing w:after="0" w:line="228" w:lineRule="exact"/>
              <w:rPr>
                <w:sz w:val="20"/>
                <w:szCs w:val="20"/>
                <w:color w:val="auto"/>
              </w:rPr>
            </w:pPr>
            <w:r>
              <w:rPr>
                <w:rFonts w:ascii="Arial" w:cs="Arial" w:eastAsia="Arial" w:hAnsi="Arial"/>
                <w:sz w:val="20"/>
                <w:szCs w:val="20"/>
                <w:color w:val="auto"/>
              </w:rPr>
              <w:t>1,225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1,722</w:t>
            </w:r>
          </w:p>
        </w:tc>
      </w:tr>
      <w:tr>
        <w:trPr>
          <w:trHeight w:val="219"/>
        </w:trPr>
        <w:tc>
          <w:tcPr>
            <w:tcW w:w="51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Balance December 31, 2023</w:t>
            </w: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(11,496)</w:t>
            </w:r>
          </w:p>
        </w:tc>
        <w:tc>
          <w:tcPr>
            <w:tcW w:w="22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66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(4,778</w:t>
            </w:r>
          </w:p>
        </w:tc>
        <w:tc>
          <w:tcPr>
            <w:tcW w:w="200" w:type="dxa"/>
            <w:vAlign w:val="bottom"/>
            <w:tcBorders>
              <w:top w:val="single" w:sz="8" w:color="E9E9E9"/>
            </w:tcBorders>
            <w:shd w:val="clear" w:color="auto" w:fill="E9E9E9"/>
          </w:tcPr>
          <w:p>
            <w:pPr>
              <w:jc w:val="right"/>
              <w:ind w:right="58"/>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66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(16,274)</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w:t>
      </w:r>
    </w:p>
    <w:p>
      <w:pPr>
        <w:sectPr>
          <w:pgSz w:w="11880" w:h="15480" w:orient="portrait"/>
          <w:cols w:equalWidth="0" w:num="1">
            <w:col w:w="10680"/>
          </w:cols>
          <w:pgMar w:left="600" w:top="837" w:right="600" w:bottom="46"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CECO ENVIRONMENTAL CORP. AND SUBSIDIARIES</w:t>
      </w:r>
    </w:p>
    <w:p>
      <w:pPr>
        <w:jc w:val="center"/>
        <w:spacing w:after="0" w:line="235" w:lineRule="auto"/>
        <w:rPr>
          <w:sz w:val="20"/>
          <w:szCs w:val="20"/>
          <w:color w:val="auto"/>
        </w:rPr>
      </w:pPr>
      <w:r>
        <w:rPr>
          <w:rFonts w:ascii="Arial" w:cs="Arial" w:eastAsia="Arial" w:hAnsi="Arial"/>
          <w:sz w:val="20"/>
          <w:szCs w:val="20"/>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w w:val="90"/>
              </w:rPr>
              <w:t>Year Ended December 31,</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73"/>
        </w:trPr>
        <w:tc>
          <w:tcPr>
            <w:tcW w:w="6460" w:type="dxa"/>
            <w:vAlign w:val="bottom"/>
            <w:tcBorders>
              <w:bottom w:val="single" w:sz="8" w:color="E9E9E9"/>
            </w:tcBorders>
            <w:gridSpan w:val="3"/>
          </w:tcPr>
          <w:p>
            <w:pPr>
              <w:spacing w:after="0" w:line="173" w:lineRule="exact"/>
              <w:rPr>
                <w:sz w:val="20"/>
                <w:szCs w:val="20"/>
                <w:color w:val="auto"/>
              </w:rPr>
            </w:pPr>
            <w:r>
              <w:rPr>
                <w:rFonts w:ascii="Arial" w:cs="Arial" w:eastAsia="Arial" w:hAnsi="Arial"/>
                <w:sz w:val="16"/>
                <w:szCs w:val="16"/>
                <w:b w:val="1"/>
                <w:bCs w:val="1"/>
                <w:color w:val="auto"/>
              </w:rPr>
              <w:t>(dollars in thousands)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1"/>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15"/>
                <w:szCs w:val="15"/>
                <w:color w:val="auto"/>
              </w:rPr>
            </w:pPr>
          </w:p>
        </w:tc>
        <w:tc>
          <w:tcPr>
            <w:tcW w:w="100" w:type="dxa"/>
            <w:vAlign w:val="bottom"/>
            <w:tcBorders>
              <w:bottom w:val="single" w:sz="8" w:color="E9E9E9"/>
            </w:tcBorders>
          </w:tcPr>
          <w:p>
            <w:pPr>
              <w:spacing w:after="0"/>
              <w:rPr>
                <w:sz w:val="15"/>
                <w:szCs w:val="15"/>
                <w:color w:val="auto"/>
              </w:rPr>
            </w:pPr>
          </w:p>
        </w:tc>
        <w:tc>
          <w:tcPr>
            <w:tcW w:w="20" w:type="dxa"/>
            <w:vAlign w:val="bottom"/>
            <w:tcBorders>
              <w:bottom w:val="single" w:sz="8" w:color="E9E9E9"/>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1"/>
              <w:spacing w:after="0" w:line="173" w:lineRule="exact"/>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9E9E9"/>
            </w:tcBorders>
          </w:tcPr>
          <w:p>
            <w:pPr>
              <w:spacing w:after="0"/>
              <w:rPr>
                <w:sz w:val="15"/>
                <w:szCs w:val="15"/>
                <w:color w:val="auto"/>
              </w:rPr>
            </w:pPr>
          </w:p>
        </w:tc>
        <w:tc>
          <w:tcPr>
            <w:tcW w:w="20" w:type="dxa"/>
            <w:vAlign w:val="bottom"/>
            <w:tcBorders>
              <w:bottom w:val="single" w:sz="8" w:color="E9E9E9"/>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1"/>
              <w:spacing w:after="0" w:line="173"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E9E9E9"/>
            </w:tcBorders>
          </w:tcPr>
          <w:p>
            <w:pPr>
              <w:spacing w:after="0"/>
              <w:rPr>
                <w:sz w:val="15"/>
                <w:szCs w:val="15"/>
                <w:color w:val="auto"/>
              </w:rPr>
            </w:pPr>
          </w:p>
        </w:tc>
        <w:tc>
          <w:tcPr>
            <w:tcW w:w="80" w:type="dxa"/>
            <w:vAlign w:val="bottom"/>
            <w:tcBorders>
              <w:bottom w:val="single" w:sz="8" w:color="E9E9E9"/>
            </w:tcBorders>
          </w:tcPr>
          <w:p>
            <w:pPr>
              <w:spacing w:after="0"/>
              <w:rPr>
                <w:sz w:val="15"/>
                <w:szCs w:val="15"/>
                <w:color w:val="auto"/>
              </w:rPr>
            </w:pPr>
          </w:p>
        </w:tc>
      </w:tr>
      <w:tr>
        <w:trPr>
          <w:trHeight w:val="194"/>
        </w:trPr>
        <w:tc>
          <w:tcPr>
            <w:tcW w:w="6340" w:type="dxa"/>
            <w:vAlign w:val="bottom"/>
            <w:shd w:val="clear" w:color="auto" w:fill="E9E9E9"/>
          </w:tcPr>
          <w:p>
            <w:pPr>
              <w:spacing w:after="0" w:line="194"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E9E9E9"/>
          </w:tcPr>
          <w:p>
            <w:pPr>
              <w:spacing w:after="0"/>
              <w:rPr>
                <w:sz w:val="16"/>
                <w:szCs w:val="16"/>
                <w:color w:val="auto"/>
              </w:rPr>
            </w:pPr>
          </w:p>
        </w:tc>
        <w:tc>
          <w:tcPr>
            <w:tcW w:w="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12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120" w:type="dxa"/>
            <w:vAlign w:val="bottom"/>
            <w:shd w:val="clear" w:color="auto" w:fill="E9E9E9"/>
          </w:tcPr>
          <w:p>
            <w:pPr>
              <w:spacing w:after="0"/>
              <w:rPr>
                <w:sz w:val="16"/>
                <w:szCs w:val="16"/>
                <w:color w:val="auto"/>
              </w:rPr>
            </w:pPr>
          </w:p>
        </w:tc>
        <w:tc>
          <w:tcPr>
            <w:tcW w:w="200" w:type="dxa"/>
            <w:vAlign w:val="bottom"/>
            <w:shd w:val="clear" w:color="auto" w:fill="E9E9E9"/>
          </w:tcPr>
          <w:p>
            <w:pPr>
              <w:spacing w:after="0"/>
              <w:rPr>
                <w:sz w:val="16"/>
                <w:szCs w:val="16"/>
                <w:color w:val="auto"/>
              </w:rPr>
            </w:pPr>
          </w:p>
        </w:tc>
        <w:tc>
          <w:tcPr>
            <w:tcW w:w="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120" w:type="dxa"/>
            <w:vAlign w:val="bottom"/>
            <w:shd w:val="clear" w:color="auto" w:fill="E9E9E9"/>
          </w:tcPr>
          <w:p>
            <w:pPr>
              <w:spacing w:after="0"/>
              <w:rPr>
                <w:sz w:val="16"/>
                <w:szCs w:val="16"/>
                <w:color w:val="auto"/>
              </w:rPr>
            </w:pPr>
          </w:p>
        </w:tc>
        <w:tc>
          <w:tcPr>
            <w:tcW w:w="2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14,501</w:t>
            </w:r>
          </w:p>
        </w:tc>
        <w:tc>
          <w:tcPr>
            <w:tcW w:w="120" w:type="dxa"/>
            <w:vAlign w:val="bottom"/>
          </w:tcPr>
          <w:p>
            <w:pPr>
              <w:spacing w:after="0"/>
              <w:rPr>
                <w:sz w:val="17"/>
                <w:szCs w:val="17"/>
                <w:color w:val="auto"/>
              </w:rPr>
            </w:pPr>
          </w:p>
        </w:tc>
        <w:tc>
          <w:tcPr>
            <w:tcW w:w="22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18,263</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1,983</w:t>
            </w:r>
          </w:p>
        </w:tc>
      </w:tr>
      <w:tr>
        <w:trPr>
          <w:trHeight w:val="207"/>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400"/>
              <w:spacing w:after="0" w:line="204"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12,507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10,614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9,853</w:t>
            </w:r>
          </w:p>
        </w:tc>
      </w:tr>
      <w:tr>
        <w:trPr>
          <w:trHeight w:val="204"/>
        </w:trPr>
        <w:tc>
          <w:tcPr>
            <w:tcW w:w="6340" w:type="dxa"/>
            <w:vAlign w:val="bottom"/>
            <w:shd w:val="clear" w:color="auto" w:fill="E9E9E9"/>
          </w:tcPr>
          <w:p>
            <w:pPr>
              <w:ind w:left="400"/>
              <w:spacing w:after="0" w:line="204" w:lineRule="exact"/>
              <w:rPr>
                <w:sz w:val="20"/>
                <w:szCs w:val="20"/>
                <w:color w:val="auto"/>
              </w:rPr>
            </w:pPr>
            <w:r>
              <w:rPr>
                <w:rFonts w:ascii="Arial" w:cs="Arial" w:eastAsia="Arial" w:hAnsi="Arial"/>
                <w:sz w:val="18"/>
                <w:szCs w:val="18"/>
                <w:color w:val="auto"/>
              </w:rPr>
              <w:t>Unrealized foreign currency (gain) loss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(1,041</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(1,284</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2,047</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400"/>
              <w:spacing w:after="0" w:line="204" w:lineRule="exact"/>
              <w:rPr>
                <w:sz w:val="20"/>
                <w:szCs w:val="20"/>
                <w:color w:val="auto"/>
              </w:rPr>
            </w:pPr>
            <w:r>
              <w:rPr>
                <w:rFonts w:ascii="Arial" w:cs="Arial" w:eastAsia="Arial" w:hAnsi="Arial"/>
                <w:sz w:val="18"/>
                <w:szCs w:val="18"/>
                <w:color w:val="auto"/>
              </w:rPr>
              <w:t>Fair value adjustments to earnout liabilities</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296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2"/>
              <w:spacing w:after="0" w:line="204" w:lineRule="exact"/>
              <w:rPr>
                <w:sz w:val="20"/>
                <w:szCs w:val="20"/>
                <w:color w:val="auto"/>
              </w:rPr>
            </w:pPr>
            <w:r>
              <w:rPr>
                <w:rFonts w:ascii="Arial" w:cs="Arial" w:eastAsia="Arial" w:hAnsi="Arial"/>
                <w:sz w:val="18"/>
                <w:szCs w:val="18"/>
                <w:color w:val="auto"/>
              </w:rPr>
              <w:t>(229)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704</w:t>
            </w:r>
          </w:p>
        </w:tc>
      </w:tr>
      <w:tr>
        <w:trPr>
          <w:trHeight w:val="207"/>
        </w:trPr>
        <w:tc>
          <w:tcPr>
            <w:tcW w:w="6340" w:type="dxa"/>
            <w:vAlign w:val="bottom"/>
            <w:shd w:val="clear" w:color="auto" w:fill="E9E9E9"/>
          </w:tcPr>
          <w:p>
            <w:pPr>
              <w:ind w:left="400"/>
              <w:spacing w:after="0" w:line="204" w:lineRule="exact"/>
              <w:rPr>
                <w:sz w:val="20"/>
                <w:szCs w:val="20"/>
                <w:color w:val="auto"/>
              </w:rPr>
            </w:pPr>
            <w:r>
              <w:rPr>
                <w:rFonts w:ascii="Arial" w:cs="Arial" w:eastAsia="Arial" w:hAnsi="Arial"/>
                <w:sz w:val="18"/>
                <w:szCs w:val="18"/>
                <w:color w:val="auto"/>
              </w:rPr>
              <w:t>Earnout payments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(1,007</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(587)</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400"/>
              <w:spacing w:after="0" w:line="204" w:lineRule="exact"/>
              <w:rPr>
                <w:sz w:val="20"/>
                <w:szCs w:val="20"/>
                <w:color w:val="auto"/>
              </w:rPr>
            </w:pPr>
            <w:r>
              <w:rPr>
                <w:rFonts w:ascii="Arial" w:cs="Arial" w:eastAsia="Arial" w:hAnsi="Arial"/>
                <w:sz w:val="18"/>
                <w:szCs w:val="18"/>
                <w:color w:val="auto"/>
              </w:rPr>
              <w:t>Loss (gain) on sale of property and equipment</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(83)</w:t>
            </w:r>
          </w:p>
        </w:tc>
      </w:tr>
      <w:tr>
        <w:trPr>
          <w:trHeight w:val="204"/>
        </w:trPr>
        <w:tc>
          <w:tcPr>
            <w:tcW w:w="6340" w:type="dxa"/>
            <w:vAlign w:val="bottom"/>
            <w:shd w:val="clear" w:color="auto" w:fill="E9E9E9"/>
          </w:tcPr>
          <w:p>
            <w:pPr>
              <w:ind w:left="400"/>
              <w:spacing w:after="0" w:line="204" w:lineRule="exact"/>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427</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371</w:t>
            </w:r>
          </w:p>
        </w:tc>
        <w:tc>
          <w:tcPr>
            <w:tcW w:w="2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404</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400"/>
              <w:spacing w:after="0" w:line="204" w:lineRule="exact"/>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4,533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3,895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3,335</w:t>
            </w:r>
          </w:p>
        </w:tc>
      </w:tr>
      <w:tr>
        <w:trPr>
          <w:trHeight w:val="207"/>
        </w:trPr>
        <w:tc>
          <w:tcPr>
            <w:tcW w:w="6340" w:type="dxa"/>
            <w:vAlign w:val="bottom"/>
            <w:shd w:val="clear" w:color="auto" w:fill="E9E9E9"/>
          </w:tcPr>
          <w:p>
            <w:pPr>
              <w:ind w:left="400"/>
              <w:spacing w:after="0" w:line="204" w:lineRule="exact"/>
              <w:rPr>
                <w:sz w:val="20"/>
                <w:szCs w:val="20"/>
                <w:color w:val="auto"/>
              </w:rPr>
            </w:pPr>
            <w:r>
              <w:rPr>
                <w:rFonts w:ascii="Arial" w:cs="Arial" w:eastAsia="Arial" w:hAnsi="Arial"/>
                <w:sz w:val="18"/>
                <w:szCs w:val="18"/>
                <w:color w:val="auto"/>
              </w:rPr>
              <w:t>Bad debt expense</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1,593</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1,340</w:t>
            </w:r>
          </w:p>
        </w:tc>
        <w:tc>
          <w:tcPr>
            <w:tcW w:w="2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688</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400"/>
              <w:spacing w:after="0" w:line="204" w:lineRule="exact"/>
              <w:rPr>
                <w:sz w:val="20"/>
                <w:szCs w:val="20"/>
                <w:color w:val="auto"/>
              </w:rPr>
            </w:pPr>
            <w:r>
              <w:rPr>
                <w:rFonts w:ascii="Arial" w:cs="Arial" w:eastAsia="Arial" w:hAnsi="Arial"/>
                <w:sz w:val="18"/>
                <w:szCs w:val="18"/>
                <w:color w:val="auto"/>
              </w:rPr>
              <w:t>Inventory reserve expense</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1,099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82</w:t>
            </w:r>
          </w:p>
        </w:tc>
      </w:tr>
      <w:tr>
        <w:trPr>
          <w:trHeight w:val="204"/>
        </w:trPr>
        <w:tc>
          <w:tcPr>
            <w:tcW w:w="6340" w:type="dxa"/>
            <w:vAlign w:val="bottom"/>
            <w:shd w:val="clear" w:color="auto" w:fill="E9E9E9"/>
          </w:tcPr>
          <w:p>
            <w:pPr>
              <w:ind w:left="400"/>
              <w:spacing w:after="0" w:line="204" w:lineRule="exact"/>
              <w:rPr>
                <w:sz w:val="20"/>
                <w:szCs w:val="20"/>
                <w:color w:val="auto"/>
              </w:rPr>
            </w:pPr>
            <w:r>
              <w:rPr>
                <w:rFonts w:ascii="Arial" w:cs="Arial" w:eastAsia="Arial" w:hAnsi="Arial"/>
                <w:sz w:val="18"/>
                <w:szCs w:val="18"/>
                <w:color w:val="auto"/>
              </w:rPr>
              <w:t>Deferred income tax (benefit) expense</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(118</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(39</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5"/>
        </w:trPr>
        <w:tc>
          <w:tcPr>
            <w:tcW w:w="6460" w:type="dxa"/>
            <w:vAlign w:val="bottom"/>
            <w:gridSpan w:val="3"/>
          </w:tcPr>
          <w:p>
            <w:pPr>
              <w:spacing w:after="0" w:line="204" w:lineRule="exact"/>
              <w:rPr>
                <w:sz w:val="20"/>
                <w:szCs w:val="20"/>
                <w:color w:val="auto"/>
              </w:rPr>
            </w:pPr>
            <w:r>
              <w:rPr>
                <w:rFonts w:ascii="Arial" w:cs="Arial" w:eastAsia="Arial" w:hAnsi="Arial"/>
                <w:sz w:val="18"/>
                <w:szCs w:val="18"/>
                <w:color w:val="auto"/>
              </w:rPr>
              <w:t>Changes in operating assets and liabilities, net of acquisitions: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6340" w:type="dxa"/>
            <w:vAlign w:val="bottom"/>
            <w:shd w:val="clear" w:color="auto" w:fill="E9E9E9"/>
          </w:tcPr>
          <w:p>
            <w:pPr>
              <w:ind w:left="200"/>
              <w:spacing w:after="0" w:line="205"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120" w:type="dxa"/>
            <w:vAlign w:val="bottom"/>
            <w:shd w:val="clear" w:color="auto" w:fill="E9E9E9"/>
          </w:tcPr>
          <w:p>
            <w:pPr>
              <w:jc w:val="right"/>
              <w:spacing w:after="0" w:line="205" w:lineRule="exact"/>
              <w:rPr>
                <w:sz w:val="20"/>
                <w:szCs w:val="20"/>
                <w:color w:val="auto"/>
              </w:rPr>
            </w:pPr>
            <w:r>
              <w:rPr>
                <w:rFonts w:ascii="Arial" w:cs="Arial" w:eastAsia="Arial" w:hAnsi="Arial"/>
                <w:sz w:val="18"/>
                <w:szCs w:val="18"/>
                <w:color w:val="auto"/>
              </w:rPr>
              <w:t>(26,851</w:t>
            </w:r>
          </w:p>
        </w:tc>
        <w:tc>
          <w:tcPr>
            <w:tcW w:w="120" w:type="dxa"/>
            <w:vAlign w:val="bottom"/>
            <w:shd w:val="clear" w:color="auto" w:fill="E9E9E9"/>
          </w:tcPr>
          <w:p>
            <w:pPr>
              <w:spacing w:after="0" w:line="205"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120" w:type="dxa"/>
            <w:vAlign w:val="bottom"/>
            <w:shd w:val="clear" w:color="auto" w:fill="E9E9E9"/>
          </w:tcPr>
          <w:p>
            <w:pPr>
              <w:jc w:val="right"/>
              <w:spacing w:after="0" w:line="205" w:lineRule="exact"/>
              <w:rPr>
                <w:sz w:val="20"/>
                <w:szCs w:val="20"/>
                <w:color w:val="auto"/>
              </w:rPr>
            </w:pPr>
            <w:r>
              <w:rPr>
                <w:rFonts w:ascii="Arial" w:cs="Arial" w:eastAsia="Arial" w:hAnsi="Arial"/>
                <w:sz w:val="18"/>
                <w:szCs w:val="18"/>
                <w:color w:val="auto"/>
              </w:rPr>
              <w:t>(6,751</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120" w:type="dxa"/>
            <w:vAlign w:val="bottom"/>
            <w:shd w:val="clear" w:color="auto" w:fill="E9E9E9"/>
          </w:tcPr>
          <w:p>
            <w:pPr>
              <w:jc w:val="right"/>
              <w:spacing w:after="0" w:line="205" w:lineRule="exact"/>
              <w:rPr>
                <w:sz w:val="20"/>
                <w:szCs w:val="20"/>
                <w:color w:val="auto"/>
              </w:rPr>
            </w:pPr>
            <w:r>
              <w:rPr>
                <w:rFonts w:ascii="Arial" w:cs="Arial" w:eastAsia="Arial" w:hAnsi="Arial"/>
                <w:sz w:val="18"/>
                <w:szCs w:val="18"/>
                <w:color w:val="auto"/>
              </w:rPr>
              <w:t>(13,165)</w:t>
            </w: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Cost and estimated earnings of billings on uncompleted contracts</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5,040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2"/>
              <w:spacing w:after="0" w:line="204" w:lineRule="exact"/>
              <w:rPr>
                <w:sz w:val="20"/>
                <w:szCs w:val="20"/>
                <w:color w:val="auto"/>
              </w:rPr>
            </w:pPr>
            <w:r>
              <w:rPr>
                <w:rFonts w:ascii="Arial" w:cs="Arial" w:eastAsia="Arial" w:hAnsi="Arial"/>
                <w:sz w:val="18"/>
                <w:szCs w:val="18"/>
                <w:color w:val="auto"/>
              </w:rPr>
              <w:t>(16,851)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(7,007)</w:t>
            </w:r>
          </w:p>
        </w:tc>
      </w:tr>
      <w:tr>
        <w:trPr>
          <w:trHeight w:val="204"/>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(6,896</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(6,023</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(203)</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1,196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5,911</w:t>
            </w:r>
          </w:p>
        </w:tc>
      </w:tr>
      <w:tr>
        <w:trPr>
          <w:trHeight w:val="207"/>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Deferred charges and other assets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(1,420</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2,478</w:t>
            </w:r>
          </w:p>
        </w:tc>
        <w:tc>
          <w:tcPr>
            <w:tcW w:w="2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300</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13,852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19,843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806</w:t>
            </w:r>
          </w:p>
        </w:tc>
      </w:tr>
      <w:tr>
        <w:trPr>
          <w:trHeight w:val="204"/>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8,340</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2,693</w:t>
            </w:r>
          </w:p>
        </w:tc>
        <w:tc>
          <w:tcPr>
            <w:tcW w:w="2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(366)</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Billings in excess of costs and estimated earnings on uncompleted contracts</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21,575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4,405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8,431</w:t>
            </w:r>
          </w:p>
        </w:tc>
      </w:tr>
      <w:tr>
        <w:trPr>
          <w:trHeight w:val="204"/>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(1,976</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1,424</w:t>
            </w:r>
          </w:p>
        </w:tc>
        <w:tc>
          <w:tcPr>
            <w:tcW w:w="2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1,047</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6"/>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7"/>
                <w:szCs w:val="17"/>
                <w:color w:val="auto"/>
              </w:rPr>
            </w:pPr>
          </w:p>
        </w:tc>
        <w:tc>
          <w:tcPr>
            <w:tcW w:w="12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(2,120)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2"/>
              <w:spacing w:after="0" w:line="204" w:lineRule="exact"/>
              <w:rPr>
                <w:sz w:val="20"/>
                <w:szCs w:val="20"/>
                <w:color w:val="auto"/>
              </w:rPr>
            </w:pPr>
            <w:r>
              <w:rPr>
                <w:rFonts w:ascii="Arial" w:cs="Arial" w:eastAsia="Arial" w:hAnsi="Arial"/>
                <w:sz w:val="18"/>
                <w:szCs w:val="18"/>
                <w:color w:val="auto"/>
              </w:rPr>
              <w:t>(3,680)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(882)</w:t>
            </w:r>
          </w:p>
        </w:tc>
      </w:tr>
      <w:tr>
        <w:trPr>
          <w:trHeight w:val="195"/>
        </w:trPr>
        <w:tc>
          <w:tcPr>
            <w:tcW w:w="6340" w:type="dxa"/>
            <w:vAlign w:val="bottom"/>
            <w:tcBorders>
              <w:top w:val="single" w:sz="8" w:color="E9E9E9"/>
            </w:tcBorders>
            <w:shd w:val="clear" w:color="auto" w:fill="E9E9E9"/>
          </w:tcPr>
          <w:p>
            <w:pPr>
              <w:ind w:left="400"/>
              <w:spacing w:after="0" w:line="195"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bottom w:val="single" w:sz="8" w:color="auto"/>
            </w:tcBorders>
            <w:shd w:val="clear" w:color="auto" w:fill="E9E9E9"/>
          </w:tcPr>
          <w:p>
            <w:pPr>
              <w:spacing w:after="0"/>
              <w:rPr>
                <w:sz w:val="16"/>
                <w:szCs w:val="16"/>
                <w:color w:val="auto"/>
              </w:rPr>
            </w:pPr>
          </w:p>
        </w:tc>
        <w:tc>
          <w:tcPr>
            <w:tcW w:w="1120" w:type="dxa"/>
            <w:vAlign w:val="bottom"/>
            <w:tcBorders>
              <w:top w:val="single" w:sz="8" w:color="auto"/>
              <w:bottom w:val="single" w:sz="8" w:color="auto"/>
            </w:tcBorders>
            <w:shd w:val="clear" w:color="auto" w:fill="E9E9E9"/>
          </w:tcPr>
          <w:p>
            <w:pPr>
              <w:jc w:val="right"/>
              <w:spacing w:after="0" w:line="195" w:lineRule="exact"/>
              <w:rPr>
                <w:sz w:val="20"/>
                <w:szCs w:val="20"/>
                <w:color w:val="auto"/>
              </w:rPr>
            </w:pPr>
            <w:r>
              <w:rPr>
                <w:rFonts w:ascii="Arial" w:cs="Arial" w:eastAsia="Arial" w:hAnsi="Arial"/>
                <w:sz w:val="18"/>
                <w:szCs w:val="18"/>
                <w:color w:val="auto"/>
              </w:rPr>
              <w:t>44,647</w:t>
            </w:r>
          </w:p>
        </w:tc>
        <w:tc>
          <w:tcPr>
            <w:tcW w:w="1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bottom w:val="single" w:sz="8" w:color="auto"/>
            </w:tcBorders>
            <w:shd w:val="clear" w:color="auto" w:fill="E9E9E9"/>
          </w:tcPr>
          <w:p>
            <w:pPr>
              <w:spacing w:after="0"/>
              <w:rPr>
                <w:sz w:val="16"/>
                <w:szCs w:val="16"/>
                <w:color w:val="auto"/>
              </w:rPr>
            </w:pPr>
          </w:p>
        </w:tc>
        <w:tc>
          <w:tcPr>
            <w:tcW w:w="1120" w:type="dxa"/>
            <w:vAlign w:val="bottom"/>
            <w:tcBorders>
              <w:top w:val="single" w:sz="8" w:color="auto"/>
              <w:bottom w:val="single" w:sz="8" w:color="auto"/>
            </w:tcBorders>
            <w:shd w:val="clear" w:color="auto" w:fill="E9E9E9"/>
          </w:tcPr>
          <w:p>
            <w:pPr>
              <w:jc w:val="right"/>
              <w:spacing w:after="0" w:line="195" w:lineRule="exact"/>
              <w:rPr>
                <w:sz w:val="20"/>
                <w:szCs w:val="20"/>
                <w:color w:val="auto"/>
              </w:rPr>
            </w:pPr>
            <w:r>
              <w:rPr>
                <w:rFonts w:ascii="Arial" w:cs="Arial" w:eastAsia="Arial" w:hAnsi="Arial"/>
                <w:sz w:val="18"/>
                <w:szCs w:val="18"/>
                <w:color w:val="auto"/>
              </w:rPr>
              <w:t>29,649</w:t>
            </w:r>
          </w:p>
        </w:tc>
        <w:tc>
          <w:tcPr>
            <w:tcW w:w="200" w:type="dxa"/>
            <w:vAlign w:val="bottom"/>
            <w:tcBorders>
              <w:top w:val="single" w:sz="8" w:color="auto"/>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bottom w:val="single" w:sz="8" w:color="auto"/>
            </w:tcBorders>
            <w:shd w:val="clear" w:color="auto" w:fill="E9E9E9"/>
          </w:tcPr>
          <w:p>
            <w:pPr>
              <w:spacing w:after="0"/>
              <w:rPr>
                <w:sz w:val="16"/>
                <w:szCs w:val="16"/>
                <w:color w:val="auto"/>
              </w:rPr>
            </w:pPr>
          </w:p>
        </w:tc>
        <w:tc>
          <w:tcPr>
            <w:tcW w:w="1120" w:type="dxa"/>
            <w:vAlign w:val="bottom"/>
            <w:tcBorders>
              <w:top w:val="single" w:sz="8" w:color="auto"/>
              <w:bottom w:val="single" w:sz="8" w:color="auto"/>
            </w:tcBorders>
            <w:shd w:val="clear" w:color="auto" w:fill="E9E9E9"/>
          </w:tcPr>
          <w:p>
            <w:pPr>
              <w:jc w:val="right"/>
              <w:spacing w:after="0" w:line="195" w:lineRule="exact"/>
              <w:rPr>
                <w:sz w:val="20"/>
                <w:szCs w:val="20"/>
                <w:color w:val="auto"/>
              </w:rPr>
            </w:pPr>
            <w:r>
              <w:rPr>
                <w:rFonts w:ascii="Arial" w:cs="Arial" w:eastAsia="Arial" w:hAnsi="Arial"/>
                <w:sz w:val="18"/>
                <w:szCs w:val="18"/>
                <w:color w:val="auto"/>
              </w:rPr>
              <w:t>13,298</w:t>
            </w:r>
          </w:p>
        </w:tc>
        <w:tc>
          <w:tcPr>
            <w:tcW w:w="20" w:type="dxa"/>
            <w:vAlign w:val="bottom"/>
            <w:tcBorders>
              <w:top w:val="single" w:sz="8" w:color="E9E9E9"/>
              <w:bottom w:val="single" w:sz="8" w:color="auto"/>
            </w:tcBorders>
            <w:shd w:val="clear" w:color="auto" w:fill="E9E9E9"/>
          </w:tcPr>
          <w:p>
            <w:pPr>
              <w:spacing w:after="0"/>
              <w:rPr>
                <w:sz w:val="16"/>
                <w:szCs w:val="16"/>
                <w:color w:val="auto"/>
              </w:rPr>
            </w:pPr>
          </w:p>
        </w:tc>
        <w:tc>
          <w:tcPr>
            <w:tcW w:w="80" w:type="dxa"/>
            <w:vAlign w:val="bottom"/>
            <w:tcBorders>
              <w:top w:val="single" w:sz="8" w:color="E9E9E9"/>
            </w:tcBorders>
            <w:shd w:val="clear" w:color="auto" w:fill="E9E9E9"/>
          </w:tcPr>
          <w:p>
            <w:pPr>
              <w:spacing w:after="0"/>
              <w:rPr>
                <w:sz w:val="16"/>
                <w:szCs w:val="16"/>
                <w:color w:val="auto"/>
              </w:rPr>
            </w:pPr>
          </w:p>
        </w:tc>
      </w:tr>
      <w:tr>
        <w:trPr>
          <w:trHeight w:val="195"/>
        </w:trPr>
        <w:tc>
          <w:tcPr>
            <w:tcW w:w="6460" w:type="dxa"/>
            <w:vAlign w:val="bottom"/>
            <w:gridSpan w:val="3"/>
          </w:tcPr>
          <w:p>
            <w:pPr>
              <w:spacing w:after="0" w:line="194" w:lineRule="exact"/>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6340" w:type="dxa"/>
            <w:vAlign w:val="bottom"/>
            <w:shd w:val="clear" w:color="auto" w:fill="E9E9E9"/>
          </w:tcPr>
          <w:p>
            <w:pPr>
              <w:ind w:left="200"/>
              <w:spacing w:after="0" w:line="206" w:lineRule="exact"/>
              <w:rPr>
                <w:sz w:val="20"/>
                <w:szCs w:val="20"/>
                <w:color w:val="auto"/>
              </w:rPr>
            </w:pPr>
            <w:r>
              <w:rPr>
                <w:rFonts w:ascii="Arial" w:cs="Arial" w:eastAsia="Arial" w:hAnsi="Arial"/>
                <w:sz w:val="18"/>
                <w:szCs w:val="18"/>
                <w:color w:val="auto"/>
              </w:rPr>
              <w:t>Acquisitions of property and equipment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6" w:lineRule="exact"/>
              <w:rPr>
                <w:sz w:val="20"/>
                <w:szCs w:val="20"/>
                <w:color w:val="auto"/>
              </w:rPr>
            </w:pPr>
            <w:r>
              <w:rPr>
                <w:rFonts w:ascii="Arial" w:cs="Arial" w:eastAsia="Arial" w:hAnsi="Arial"/>
                <w:sz w:val="18"/>
                <w:szCs w:val="18"/>
                <w:color w:val="auto"/>
              </w:rPr>
              <w:t>(8,384</w:t>
            </w:r>
          </w:p>
        </w:tc>
        <w:tc>
          <w:tcPr>
            <w:tcW w:w="120" w:type="dxa"/>
            <w:vAlign w:val="bottom"/>
            <w:shd w:val="clear" w:color="auto" w:fill="E9E9E9"/>
          </w:tcPr>
          <w:p>
            <w:pPr>
              <w:spacing w:after="0" w:line="206"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6" w:lineRule="exact"/>
              <w:rPr>
                <w:sz w:val="20"/>
                <w:szCs w:val="20"/>
                <w:color w:val="auto"/>
              </w:rPr>
            </w:pPr>
            <w:r>
              <w:rPr>
                <w:rFonts w:ascii="Arial" w:cs="Arial" w:eastAsia="Arial" w:hAnsi="Arial"/>
                <w:sz w:val="18"/>
                <w:szCs w:val="18"/>
                <w:color w:val="auto"/>
              </w:rPr>
              <w:t>(3,376</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6" w:lineRule="exact"/>
              <w:rPr>
                <w:sz w:val="20"/>
                <w:szCs w:val="20"/>
                <w:color w:val="auto"/>
              </w:rPr>
            </w:pPr>
            <w:r>
              <w:rPr>
                <w:rFonts w:ascii="Arial" w:cs="Arial" w:eastAsia="Arial" w:hAnsi="Arial"/>
                <w:sz w:val="18"/>
                <w:szCs w:val="18"/>
                <w:color w:val="auto"/>
              </w:rPr>
              <w:t>(2,616)</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Net proceeds from sale of assets</w:t>
            </w:r>
          </w:p>
        </w:tc>
        <w:tc>
          <w:tcPr>
            <w:tcW w:w="100" w:type="dxa"/>
            <w:vAlign w:val="bottom"/>
          </w:tcPr>
          <w:p>
            <w:pPr>
              <w:spacing w:after="0"/>
              <w:rPr>
                <w:sz w:val="17"/>
                <w:szCs w:val="17"/>
                <w:color w:val="auto"/>
              </w:rPr>
            </w:pPr>
          </w:p>
        </w:tc>
        <w:tc>
          <w:tcPr>
            <w:tcW w:w="1240" w:type="dxa"/>
            <w:vAlign w:val="bottom"/>
            <w:gridSpan w:val="2"/>
          </w:tcPr>
          <w:p>
            <w:pPr>
              <w:jc w:val="right"/>
              <w:ind w:right="32"/>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533</w:t>
            </w:r>
          </w:p>
        </w:tc>
      </w:tr>
      <w:tr>
        <w:trPr>
          <w:trHeight w:val="204"/>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Cash paid for acquisitions, net of cash acquired</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(48,102</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(44,900</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195"/>
        </w:trPr>
        <w:tc>
          <w:tcPr>
            <w:tcW w:w="6460" w:type="dxa"/>
            <w:vAlign w:val="bottom"/>
            <w:gridSpan w:val="3"/>
          </w:tcPr>
          <w:p>
            <w:pPr>
              <w:ind w:left="400"/>
              <w:spacing w:after="0" w:line="195"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6"/>
                <w:szCs w:val="16"/>
                <w:color w:val="auto"/>
              </w:rPr>
            </w:pPr>
          </w:p>
        </w:tc>
        <w:tc>
          <w:tcPr>
            <w:tcW w:w="12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(56,486)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2"/>
              <w:spacing w:after="0" w:line="195" w:lineRule="exact"/>
              <w:rPr>
                <w:sz w:val="20"/>
                <w:szCs w:val="20"/>
                <w:color w:val="auto"/>
              </w:rPr>
            </w:pPr>
            <w:r>
              <w:rPr>
                <w:rFonts w:ascii="Arial" w:cs="Arial" w:eastAsia="Arial" w:hAnsi="Arial"/>
                <w:sz w:val="18"/>
                <w:szCs w:val="18"/>
                <w:color w:val="auto"/>
              </w:rPr>
              <w:t>(48,257)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(2,083)</w:t>
            </w:r>
          </w:p>
        </w:tc>
      </w:tr>
      <w:tr>
        <w:trPr>
          <w:trHeight w:val="195"/>
        </w:trPr>
        <w:tc>
          <w:tcPr>
            <w:tcW w:w="6340" w:type="dxa"/>
            <w:vAlign w:val="bottom"/>
            <w:tcBorders>
              <w:top w:val="single" w:sz="8" w:color="E9E9E9"/>
            </w:tcBorders>
            <w:shd w:val="clear" w:color="auto" w:fill="E9E9E9"/>
          </w:tcPr>
          <w:p>
            <w:pPr>
              <w:spacing w:after="0" w:line="195"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tcBorders>
            <w:shd w:val="clear" w:color="auto" w:fill="E9E9E9"/>
          </w:tcPr>
          <w:p>
            <w:pPr>
              <w:spacing w:after="0"/>
              <w:rPr>
                <w:sz w:val="16"/>
                <w:szCs w:val="16"/>
                <w:color w:val="auto"/>
              </w:rPr>
            </w:pPr>
          </w:p>
        </w:tc>
        <w:tc>
          <w:tcPr>
            <w:tcW w:w="1120" w:type="dxa"/>
            <w:vAlign w:val="bottom"/>
            <w:tcBorders>
              <w:top w:val="single" w:sz="8" w:color="auto"/>
            </w:tcBorders>
            <w:shd w:val="clear" w:color="auto" w:fill="E9E9E9"/>
          </w:tcPr>
          <w:p>
            <w:pPr>
              <w:spacing w:after="0"/>
              <w:rPr>
                <w:sz w:val="16"/>
                <w:szCs w:val="16"/>
                <w:color w:val="auto"/>
              </w:rPr>
            </w:pPr>
          </w:p>
        </w:tc>
        <w:tc>
          <w:tcPr>
            <w:tcW w:w="1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tcBorders>
            <w:shd w:val="clear" w:color="auto" w:fill="E9E9E9"/>
          </w:tcPr>
          <w:p>
            <w:pPr>
              <w:spacing w:after="0"/>
              <w:rPr>
                <w:sz w:val="16"/>
                <w:szCs w:val="16"/>
                <w:color w:val="auto"/>
              </w:rPr>
            </w:pPr>
          </w:p>
        </w:tc>
        <w:tc>
          <w:tcPr>
            <w:tcW w:w="1120" w:type="dxa"/>
            <w:vAlign w:val="bottom"/>
            <w:tcBorders>
              <w:top w:val="single" w:sz="8" w:color="auto"/>
            </w:tcBorders>
            <w:shd w:val="clear" w:color="auto" w:fill="E9E9E9"/>
          </w:tcPr>
          <w:p>
            <w:pPr>
              <w:spacing w:after="0"/>
              <w:rPr>
                <w:sz w:val="16"/>
                <w:szCs w:val="16"/>
                <w:color w:val="auto"/>
              </w:rPr>
            </w:pPr>
          </w:p>
        </w:tc>
        <w:tc>
          <w:tcPr>
            <w:tcW w:w="2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tcBorders>
            <w:shd w:val="clear" w:color="auto" w:fill="E9E9E9"/>
          </w:tcPr>
          <w:p>
            <w:pPr>
              <w:spacing w:after="0"/>
              <w:rPr>
                <w:sz w:val="16"/>
                <w:szCs w:val="16"/>
                <w:color w:val="auto"/>
              </w:rPr>
            </w:pPr>
          </w:p>
        </w:tc>
        <w:tc>
          <w:tcPr>
            <w:tcW w:w="1120" w:type="dxa"/>
            <w:vAlign w:val="bottom"/>
            <w:tcBorders>
              <w:top w:val="single" w:sz="8" w:color="auto"/>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80" w:type="dxa"/>
            <w:vAlign w:val="bottom"/>
            <w:tcBorders>
              <w:top w:val="single" w:sz="8" w:color="E9E9E9"/>
            </w:tcBorders>
            <w:shd w:val="clear" w:color="auto" w:fill="E9E9E9"/>
          </w:tcPr>
          <w:p>
            <w:pPr>
              <w:spacing w:after="0"/>
              <w:rPr>
                <w:sz w:val="16"/>
                <w:szCs w:val="16"/>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Borrowings on revolving credit lines</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106,600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75,200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51,400</w:t>
            </w:r>
          </w:p>
        </w:tc>
      </w:tr>
      <w:tr>
        <w:trPr>
          <w:trHeight w:val="207"/>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Repayments on revolving credit lines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(150,600</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(35,900</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(57,100)</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Borrowings of long-term debt</w:t>
            </w:r>
          </w:p>
        </w:tc>
        <w:tc>
          <w:tcPr>
            <w:tcW w:w="1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75,000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11,000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w:t>
            </w:r>
          </w:p>
        </w:tc>
      </w:tr>
      <w:tr>
        <w:trPr>
          <w:trHeight w:val="204"/>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Repayments of long-term debt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(4,985</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(3,120</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(2,738)</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Repayments of notes payable</w:t>
            </w:r>
          </w:p>
        </w:tc>
        <w:tc>
          <w:tcPr>
            <w:tcW w:w="100" w:type="dxa"/>
            <w:vAlign w:val="bottom"/>
          </w:tcPr>
          <w:p>
            <w:pPr>
              <w:spacing w:after="0"/>
              <w:rPr>
                <w:sz w:val="17"/>
                <w:szCs w:val="17"/>
                <w:color w:val="auto"/>
              </w:rPr>
            </w:pPr>
          </w:p>
        </w:tc>
        <w:tc>
          <w:tcPr>
            <w:tcW w:w="1240" w:type="dxa"/>
            <w:vAlign w:val="bottom"/>
            <w:gridSpan w:val="2"/>
          </w:tcPr>
          <w:p>
            <w:pPr>
              <w:jc w:val="right"/>
              <w:ind w:right="32"/>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2"/>
              <w:spacing w:after="0" w:line="204" w:lineRule="exact"/>
              <w:rPr>
                <w:sz w:val="20"/>
                <w:szCs w:val="20"/>
                <w:color w:val="auto"/>
              </w:rPr>
            </w:pPr>
            <w:r>
              <w:rPr>
                <w:rFonts w:ascii="Arial" w:cs="Arial" w:eastAsia="Arial" w:hAnsi="Arial"/>
                <w:sz w:val="18"/>
                <w:szCs w:val="18"/>
                <w:color w:val="auto"/>
              </w:rPr>
              <w:t>(500)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w:t>
            </w:r>
          </w:p>
        </w:tc>
      </w:tr>
      <w:tr>
        <w:trPr>
          <w:trHeight w:val="207"/>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Deferred financing fees paid</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(363</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(130</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(801)</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Deferred consideration paid for acquisitions</w:t>
            </w:r>
          </w:p>
        </w:tc>
        <w:tc>
          <w:tcPr>
            <w:tcW w:w="100" w:type="dxa"/>
            <w:vAlign w:val="bottom"/>
          </w:tcPr>
          <w:p>
            <w:pPr>
              <w:spacing w:after="0"/>
              <w:rPr>
                <w:sz w:val="17"/>
                <w:szCs w:val="17"/>
                <w:color w:val="auto"/>
              </w:rPr>
            </w:pPr>
          </w:p>
        </w:tc>
        <w:tc>
          <w:tcPr>
            <w:tcW w:w="12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(1,247)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20"/>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w:t>
            </w:r>
          </w:p>
        </w:tc>
      </w:tr>
      <w:tr>
        <w:trPr>
          <w:trHeight w:val="204"/>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Payments on capital leases and sale-leaseback financing liability</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(907</w:t>
            </w:r>
          </w:p>
        </w:tc>
        <w:tc>
          <w:tcPr>
            <w:tcW w:w="12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(600</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(603)</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Earnout payments</w:t>
            </w:r>
          </w:p>
        </w:tc>
        <w:tc>
          <w:tcPr>
            <w:tcW w:w="100" w:type="dxa"/>
            <w:vAlign w:val="bottom"/>
          </w:tcPr>
          <w:p>
            <w:pPr>
              <w:spacing w:after="0"/>
              <w:rPr>
                <w:sz w:val="17"/>
                <w:szCs w:val="17"/>
                <w:color w:val="auto"/>
              </w:rPr>
            </w:pPr>
          </w:p>
        </w:tc>
        <w:tc>
          <w:tcPr>
            <w:tcW w:w="12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(2,123)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20"/>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2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(823)</w:t>
            </w:r>
          </w:p>
        </w:tc>
      </w:tr>
      <w:tr>
        <w:trPr>
          <w:trHeight w:val="207"/>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Proceeds from employee stock purchase plan and exercise of stock options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1,435</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671</w:t>
            </w:r>
          </w:p>
        </w:tc>
        <w:tc>
          <w:tcPr>
            <w:tcW w:w="2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line="204" w:lineRule="exact"/>
              <w:rPr>
                <w:sz w:val="20"/>
                <w:szCs w:val="20"/>
                <w:color w:val="auto"/>
              </w:rPr>
            </w:pPr>
            <w:r>
              <w:rPr>
                <w:rFonts w:ascii="Arial" w:cs="Arial" w:eastAsia="Arial" w:hAnsi="Arial"/>
                <w:sz w:val="18"/>
                <w:szCs w:val="18"/>
                <w:color w:val="auto"/>
              </w:rPr>
              <w:t>230</w:t>
            </w:r>
          </w:p>
        </w:tc>
        <w:tc>
          <w:tcPr>
            <w:tcW w:w="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0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Distributions to non-controlling interest</w:t>
            </w:r>
          </w:p>
        </w:tc>
        <w:tc>
          <w:tcPr>
            <w:tcW w:w="100" w:type="dxa"/>
            <w:vAlign w:val="bottom"/>
          </w:tcPr>
          <w:p>
            <w:pPr>
              <w:spacing w:after="0"/>
              <w:rPr>
                <w:sz w:val="17"/>
                <w:szCs w:val="17"/>
                <w:color w:val="auto"/>
              </w:rPr>
            </w:pPr>
          </w:p>
        </w:tc>
        <w:tc>
          <w:tcPr>
            <w:tcW w:w="12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(1,666)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2"/>
              <w:spacing w:after="0" w:line="204" w:lineRule="exact"/>
              <w:rPr>
                <w:sz w:val="20"/>
                <w:szCs w:val="20"/>
                <w:color w:val="auto"/>
              </w:rPr>
            </w:pPr>
            <w:r>
              <w:rPr>
                <w:rFonts w:ascii="Arial" w:cs="Arial" w:eastAsia="Arial" w:hAnsi="Arial"/>
                <w:sz w:val="18"/>
                <w:szCs w:val="18"/>
                <w:color w:val="auto"/>
              </w:rPr>
              <w:t>(1,425)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(107)</w:t>
            </w:r>
          </w:p>
        </w:tc>
      </w:tr>
      <w:tr>
        <w:trPr>
          <w:trHeight w:val="204"/>
        </w:trPr>
        <w:tc>
          <w:tcPr>
            <w:tcW w:w="6340" w:type="dxa"/>
            <w:vAlign w:val="bottom"/>
            <w:shd w:val="clear" w:color="auto" w:fill="E9E9E9"/>
          </w:tcPr>
          <w:p>
            <w:pPr>
              <w:ind w:left="200"/>
              <w:spacing w:after="0" w:line="204" w:lineRule="exact"/>
              <w:rPr>
                <w:sz w:val="20"/>
                <w:szCs w:val="20"/>
                <w:color w:val="auto"/>
              </w:rPr>
            </w:pPr>
            <w:r>
              <w:rPr>
                <w:rFonts w:ascii="Arial" w:cs="Arial" w:eastAsia="Arial" w:hAnsi="Arial"/>
                <w:sz w:val="18"/>
                <w:szCs w:val="18"/>
                <w:color w:val="auto"/>
              </w:rPr>
              <w:t>Common stock repurchases</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(7,020</w:t>
            </w:r>
          </w:p>
        </w:tc>
        <w:tc>
          <w:tcPr>
            <w:tcW w:w="200" w:type="dxa"/>
            <w:vAlign w:val="bottom"/>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(5,014)</w:t>
            </w:r>
          </w:p>
        </w:tc>
        <w:tc>
          <w:tcPr>
            <w:tcW w:w="20" w:type="dxa"/>
            <w:vAlign w:val="bottom"/>
            <w:tcBorders>
              <w:bottom w:val="single" w:sz="8" w:color="auto"/>
            </w:tcBorders>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194"/>
        </w:trPr>
        <w:tc>
          <w:tcPr>
            <w:tcW w:w="6460" w:type="dxa"/>
            <w:vAlign w:val="bottom"/>
            <w:gridSpan w:val="3"/>
          </w:tcPr>
          <w:p>
            <w:pPr>
              <w:ind w:left="400"/>
              <w:spacing w:after="0" w:line="194" w:lineRule="exact"/>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8"/>
                <w:szCs w:val="18"/>
                <w:color w:val="auto"/>
              </w:rPr>
              <w:t>21,144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22"/>
              <w:spacing w:after="0" w:line="194" w:lineRule="exact"/>
              <w:rPr>
                <w:sz w:val="20"/>
                <w:szCs w:val="20"/>
                <w:color w:val="auto"/>
              </w:rPr>
            </w:pPr>
            <w:r>
              <w:rPr>
                <w:rFonts w:ascii="Arial" w:cs="Arial" w:eastAsia="Arial" w:hAnsi="Arial"/>
                <w:sz w:val="18"/>
                <w:szCs w:val="18"/>
                <w:color w:val="auto"/>
              </w:rPr>
              <w:t>38,176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40"/>
              <w:spacing w:after="0" w:line="194" w:lineRule="exact"/>
              <w:rPr>
                <w:sz w:val="20"/>
                <w:szCs w:val="20"/>
                <w:color w:val="auto"/>
              </w:rPr>
            </w:pPr>
            <w:r>
              <w:rPr>
                <w:rFonts w:ascii="Arial" w:cs="Arial" w:eastAsia="Arial" w:hAnsi="Arial"/>
                <w:sz w:val="18"/>
                <w:szCs w:val="18"/>
                <w:color w:val="auto"/>
              </w:rPr>
              <w:t>(15,556)</w:t>
            </w:r>
          </w:p>
        </w:tc>
      </w:tr>
      <w:tr>
        <w:trPr>
          <w:trHeight w:val="196"/>
        </w:trPr>
        <w:tc>
          <w:tcPr>
            <w:tcW w:w="6340" w:type="dxa"/>
            <w:vAlign w:val="bottom"/>
            <w:tcBorders>
              <w:top w:val="single" w:sz="8" w:color="E9E9E9"/>
            </w:tcBorders>
            <w:shd w:val="clear" w:color="auto" w:fill="E9E9E9"/>
          </w:tcPr>
          <w:p>
            <w:pPr>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E9E9E9"/>
            </w:tcBorders>
            <w:shd w:val="clear" w:color="auto" w:fill="E9E9E9"/>
          </w:tcPr>
          <w:p>
            <w:pPr>
              <w:spacing w:after="0"/>
              <w:rPr>
                <w:sz w:val="17"/>
                <w:szCs w:val="17"/>
                <w:color w:val="auto"/>
              </w:rPr>
            </w:pPr>
          </w:p>
        </w:tc>
        <w:tc>
          <w:tcPr>
            <w:tcW w:w="100" w:type="dxa"/>
            <w:vAlign w:val="bottom"/>
            <w:tcBorders>
              <w:top w:val="single" w:sz="8" w:color="auto"/>
              <w:bottom w:val="single" w:sz="8" w:color="auto"/>
            </w:tcBorders>
            <w:shd w:val="clear" w:color="auto" w:fill="E9E9E9"/>
          </w:tcPr>
          <w:p>
            <w:pPr>
              <w:spacing w:after="0"/>
              <w:rPr>
                <w:sz w:val="17"/>
                <w:szCs w:val="17"/>
                <w:color w:val="auto"/>
              </w:rPr>
            </w:pPr>
          </w:p>
        </w:tc>
        <w:tc>
          <w:tcPr>
            <w:tcW w:w="1120" w:type="dxa"/>
            <w:vAlign w:val="bottom"/>
            <w:tcBorders>
              <w:top w:val="single" w:sz="8" w:color="auto"/>
              <w:bottom w:val="single" w:sz="8" w:color="auto"/>
            </w:tcBorders>
            <w:shd w:val="clear" w:color="auto" w:fill="E9E9E9"/>
          </w:tcPr>
          <w:p>
            <w:pPr>
              <w:jc w:val="right"/>
              <w:spacing w:after="0" w:line="196" w:lineRule="exact"/>
              <w:rPr>
                <w:sz w:val="20"/>
                <w:szCs w:val="20"/>
                <w:color w:val="auto"/>
              </w:rPr>
            </w:pPr>
            <w:r>
              <w:rPr>
                <w:rFonts w:ascii="Arial" w:cs="Arial" w:eastAsia="Arial" w:hAnsi="Arial"/>
                <w:sz w:val="18"/>
                <w:szCs w:val="18"/>
                <w:color w:val="auto"/>
              </w:rPr>
              <w:t>(442</w:t>
            </w:r>
          </w:p>
        </w:tc>
        <w:tc>
          <w:tcPr>
            <w:tcW w:w="120" w:type="dxa"/>
            <w:vAlign w:val="bottom"/>
            <w:tcBorders>
              <w:top w:val="single" w:sz="8" w:color="E9E9E9"/>
            </w:tcBorders>
            <w:shd w:val="clear" w:color="auto" w:fill="E9E9E9"/>
          </w:tcPr>
          <w:p>
            <w:pPr>
              <w:spacing w:after="0" w:line="196" w:lineRule="exact"/>
              <w:rPr>
                <w:sz w:val="20"/>
                <w:szCs w:val="20"/>
                <w:color w:val="auto"/>
              </w:rPr>
            </w:pPr>
            <w:r>
              <w:rPr>
                <w:rFonts w:ascii="Arial" w:cs="Arial" w:eastAsia="Arial" w:hAnsi="Arial"/>
                <w:sz w:val="18"/>
                <w:szCs w:val="18"/>
                <w:color w:val="auto"/>
                <w:shd w:val="clear" w:color="auto" w:fill="E9E9E9"/>
              </w:rPr>
              <w:t>)</w:t>
            </w:r>
          </w:p>
        </w:tc>
        <w:tc>
          <w:tcPr>
            <w:tcW w:w="10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E9E9E9"/>
            </w:tcBorders>
            <w:shd w:val="clear" w:color="auto" w:fill="E9E9E9"/>
          </w:tcPr>
          <w:p>
            <w:pPr>
              <w:spacing w:after="0"/>
              <w:rPr>
                <w:sz w:val="17"/>
                <w:szCs w:val="17"/>
                <w:color w:val="auto"/>
              </w:rPr>
            </w:pPr>
          </w:p>
        </w:tc>
        <w:tc>
          <w:tcPr>
            <w:tcW w:w="100" w:type="dxa"/>
            <w:vAlign w:val="bottom"/>
            <w:tcBorders>
              <w:top w:val="single" w:sz="8" w:color="auto"/>
              <w:bottom w:val="single" w:sz="8" w:color="auto"/>
            </w:tcBorders>
            <w:shd w:val="clear" w:color="auto" w:fill="E9E9E9"/>
          </w:tcPr>
          <w:p>
            <w:pPr>
              <w:spacing w:after="0"/>
              <w:rPr>
                <w:sz w:val="17"/>
                <w:szCs w:val="17"/>
                <w:color w:val="auto"/>
              </w:rPr>
            </w:pPr>
          </w:p>
        </w:tc>
        <w:tc>
          <w:tcPr>
            <w:tcW w:w="1120" w:type="dxa"/>
            <w:vAlign w:val="bottom"/>
            <w:tcBorders>
              <w:top w:val="single" w:sz="8" w:color="auto"/>
              <w:bottom w:val="single" w:sz="8" w:color="auto"/>
            </w:tcBorders>
            <w:shd w:val="clear" w:color="auto" w:fill="E9E9E9"/>
          </w:tcPr>
          <w:p>
            <w:pPr>
              <w:jc w:val="right"/>
              <w:spacing w:after="0" w:line="196" w:lineRule="exact"/>
              <w:rPr>
                <w:sz w:val="20"/>
                <w:szCs w:val="20"/>
                <w:color w:val="auto"/>
              </w:rPr>
            </w:pPr>
            <w:r>
              <w:rPr>
                <w:rFonts w:ascii="Arial" w:cs="Arial" w:eastAsia="Arial" w:hAnsi="Arial"/>
                <w:sz w:val="18"/>
                <w:szCs w:val="18"/>
                <w:color w:val="auto"/>
              </w:rPr>
              <w:t>(4,978</w:t>
            </w:r>
          </w:p>
        </w:tc>
        <w:tc>
          <w:tcPr>
            <w:tcW w:w="200" w:type="dxa"/>
            <w:vAlign w:val="bottom"/>
            <w:tcBorders>
              <w:top w:val="single" w:sz="8" w:color="E9E9E9"/>
            </w:tcBorders>
            <w:shd w:val="clear" w:color="auto" w:fill="E9E9E9"/>
          </w:tcPr>
          <w:p>
            <w:pPr>
              <w:jc w:val="right"/>
              <w:ind w:right="62"/>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tcBorders>
              <w:top w:val="single" w:sz="8" w:color="E9E9E9"/>
            </w:tcBorders>
            <w:shd w:val="clear" w:color="auto" w:fill="E9E9E9"/>
          </w:tcPr>
          <w:p>
            <w:pPr>
              <w:spacing w:after="0"/>
              <w:rPr>
                <w:sz w:val="17"/>
                <w:szCs w:val="17"/>
                <w:color w:val="auto"/>
              </w:rPr>
            </w:pPr>
          </w:p>
        </w:tc>
        <w:tc>
          <w:tcPr>
            <w:tcW w:w="100" w:type="dxa"/>
            <w:vAlign w:val="bottom"/>
            <w:tcBorders>
              <w:top w:val="single" w:sz="8" w:color="auto"/>
              <w:bottom w:val="single" w:sz="8" w:color="auto"/>
            </w:tcBorders>
            <w:shd w:val="clear" w:color="auto" w:fill="E9E9E9"/>
          </w:tcPr>
          <w:p>
            <w:pPr>
              <w:spacing w:after="0"/>
              <w:rPr>
                <w:sz w:val="17"/>
                <w:szCs w:val="17"/>
                <w:color w:val="auto"/>
              </w:rPr>
            </w:pPr>
          </w:p>
        </w:tc>
        <w:tc>
          <w:tcPr>
            <w:tcW w:w="1120" w:type="dxa"/>
            <w:vAlign w:val="bottom"/>
            <w:tcBorders>
              <w:top w:val="single" w:sz="8" w:color="auto"/>
              <w:bottom w:val="single" w:sz="8" w:color="auto"/>
            </w:tcBorders>
            <w:shd w:val="clear" w:color="auto" w:fill="E9E9E9"/>
          </w:tcPr>
          <w:p>
            <w:pPr>
              <w:jc w:val="right"/>
              <w:spacing w:after="0" w:line="196" w:lineRule="exact"/>
              <w:rPr>
                <w:sz w:val="20"/>
                <w:szCs w:val="20"/>
                <w:color w:val="auto"/>
              </w:rPr>
            </w:pPr>
            <w:r>
              <w:rPr>
                <w:rFonts w:ascii="Arial" w:cs="Arial" w:eastAsia="Arial" w:hAnsi="Arial"/>
                <w:sz w:val="18"/>
                <w:szCs w:val="18"/>
                <w:color w:val="auto"/>
              </w:rPr>
              <w:t>(1,475)</w:t>
            </w:r>
          </w:p>
        </w:tc>
        <w:tc>
          <w:tcPr>
            <w:tcW w:w="20" w:type="dxa"/>
            <w:vAlign w:val="bottom"/>
            <w:tcBorders>
              <w:top w:val="single" w:sz="8" w:color="E9E9E9"/>
              <w:bottom w:val="single" w:sz="8" w:color="auto"/>
            </w:tcBorders>
            <w:shd w:val="clear" w:color="auto" w:fill="E9E9E9"/>
          </w:tcPr>
          <w:p>
            <w:pPr>
              <w:spacing w:after="0"/>
              <w:rPr>
                <w:sz w:val="17"/>
                <w:szCs w:val="17"/>
                <w:color w:val="auto"/>
              </w:rPr>
            </w:pPr>
          </w:p>
        </w:tc>
        <w:tc>
          <w:tcPr>
            <w:tcW w:w="80" w:type="dxa"/>
            <w:vAlign w:val="bottom"/>
            <w:tcBorders>
              <w:top w:val="single" w:sz="8" w:color="E9E9E9"/>
            </w:tcBorders>
            <w:shd w:val="clear" w:color="auto" w:fill="E9E9E9"/>
          </w:tcPr>
          <w:p>
            <w:pPr>
              <w:spacing w:after="0"/>
              <w:rPr>
                <w:sz w:val="17"/>
                <w:szCs w:val="17"/>
                <w:color w:val="auto"/>
              </w:rPr>
            </w:pPr>
          </w:p>
        </w:tc>
      </w:tr>
      <w:tr>
        <w:trPr>
          <w:trHeight w:val="194"/>
        </w:trPr>
        <w:tc>
          <w:tcPr>
            <w:tcW w:w="6460" w:type="dxa"/>
            <w:vAlign w:val="bottom"/>
            <w:gridSpan w:val="3"/>
          </w:tcPr>
          <w:p>
            <w:pPr>
              <w:spacing w:after="0" w:line="195" w:lineRule="exact"/>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8,863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22"/>
              <w:spacing w:after="0" w:line="195" w:lineRule="exact"/>
              <w:rPr>
                <w:sz w:val="20"/>
                <w:szCs w:val="20"/>
                <w:color w:val="auto"/>
              </w:rPr>
            </w:pPr>
            <w:r>
              <w:rPr>
                <w:rFonts w:ascii="Arial" w:cs="Arial" w:eastAsia="Arial" w:hAnsi="Arial"/>
                <w:sz w:val="18"/>
                <w:szCs w:val="18"/>
                <w:color w:val="auto"/>
              </w:rPr>
              <w:t>14,590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(5,816)</w:t>
            </w:r>
          </w:p>
        </w:tc>
      </w:tr>
      <w:tr>
        <w:trPr>
          <w:trHeight w:val="204"/>
        </w:trPr>
        <w:tc>
          <w:tcPr>
            <w:tcW w:w="6340" w:type="dxa"/>
            <w:vAlign w:val="bottom"/>
            <w:shd w:val="clear" w:color="auto" w:fill="E9E9E9"/>
          </w:tcPr>
          <w:p>
            <w:pPr>
              <w:spacing w:after="0" w:line="204" w:lineRule="exact"/>
              <w:rPr>
                <w:sz w:val="20"/>
                <w:szCs w:val="20"/>
                <w:color w:val="auto"/>
              </w:rPr>
            </w:pPr>
            <w:r>
              <w:rPr>
                <w:rFonts w:ascii="Arial" w:cs="Arial" w:eastAsia="Arial" w:hAnsi="Arial"/>
                <w:sz w:val="18"/>
                <w:szCs w:val="18"/>
                <w:color w:val="auto"/>
              </w:rPr>
              <w:t>Cash, cash equivalents and restricted cash at beginning of year</w:t>
            </w: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46,585</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31,995</w:t>
            </w:r>
          </w:p>
        </w:tc>
        <w:tc>
          <w:tcPr>
            <w:tcW w:w="2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1120" w:type="dxa"/>
            <w:vAlign w:val="bottom"/>
            <w:tcBorders>
              <w:bottom w:val="single" w:sz="8" w:color="auto"/>
            </w:tcBorders>
            <w:shd w:val="clear" w:color="auto" w:fill="E9E9E9"/>
          </w:tcPr>
          <w:p>
            <w:pPr>
              <w:jc w:val="right"/>
              <w:spacing w:after="0" w:line="204" w:lineRule="exact"/>
              <w:rPr>
                <w:sz w:val="20"/>
                <w:szCs w:val="20"/>
                <w:color w:val="auto"/>
              </w:rPr>
            </w:pPr>
            <w:r>
              <w:rPr>
                <w:rFonts w:ascii="Arial" w:cs="Arial" w:eastAsia="Arial" w:hAnsi="Arial"/>
                <w:sz w:val="18"/>
                <w:szCs w:val="18"/>
                <w:color w:val="auto"/>
              </w:rPr>
              <w:t>37,811</w:t>
            </w:r>
          </w:p>
        </w:tc>
        <w:tc>
          <w:tcPr>
            <w:tcW w:w="20" w:type="dxa"/>
            <w:vAlign w:val="bottom"/>
            <w:tcBorders>
              <w:bottom w:val="single" w:sz="8" w:color="auto"/>
            </w:tcBorders>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r>
      <w:tr>
        <w:trPr>
          <w:trHeight w:val="236"/>
        </w:trPr>
        <w:tc>
          <w:tcPr>
            <w:tcW w:w="6460" w:type="dxa"/>
            <w:vAlign w:val="bottom"/>
            <w:gridSpan w:val="3"/>
          </w:tcPr>
          <w:p>
            <w:pPr>
              <w:spacing w:after="0" w:line="196" w:lineRule="exact"/>
              <w:rPr>
                <w:sz w:val="20"/>
                <w:szCs w:val="20"/>
                <w:color w:val="auto"/>
              </w:rPr>
            </w:pPr>
            <w:r>
              <w:rPr>
                <w:rFonts w:ascii="Arial" w:cs="Arial" w:eastAsia="Arial" w:hAnsi="Arial"/>
                <w:sz w:val="18"/>
                <w:szCs w:val="18"/>
                <w:color w:val="auto"/>
              </w:rPr>
              <w:t>Cash, cash equivalents and restricted cash at end of year</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55,448</w:t>
            </w:r>
          </w:p>
        </w:tc>
        <w:tc>
          <w:tcPr>
            <w:tcW w:w="120" w:type="dxa"/>
            <w:vAlign w:val="bottom"/>
          </w:tcPr>
          <w:p>
            <w:pPr>
              <w:spacing w:after="0"/>
              <w:rPr>
                <w:sz w:val="20"/>
                <w:szCs w:val="20"/>
                <w:color w:val="auto"/>
              </w:rPr>
            </w:pPr>
          </w:p>
        </w:tc>
        <w:tc>
          <w:tcPr>
            <w:tcW w:w="2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2"/>
              <w:spacing w:after="0" w:line="196" w:lineRule="exact"/>
              <w:rPr>
                <w:sz w:val="20"/>
                <w:szCs w:val="20"/>
                <w:color w:val="auto"/>
              </w:rPr>
            </w:pPr>
            <w:r>
              <w:rPr>
                <w:rFonts w:ascii="Arial" w:cs="Arial" w:eastAsia="Arial" w:hAnsi="Arial"/>
                <w:sz w:val="18"/>
                <w:szCs w:val="18"/>
                <w:color w:val="auto"/>
              </w:rPr>
              <w:t>46,585</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31,995</w:t>
            </w:r>
          </w:p>
        </w:tc>
      </w:tr>
      <w:tr>
        <w:trPr>
          <w:trHeight w:val="189"/>
        </w:trPr>
        <w:tc>
          <w:tcPr>
            <w:tcW w:w="6340" w:type="dxa"/>
            <w:vAlign w:val="bottom"/>
            <w:tcBorders>
              <w:top w:val="single" w:sz="8" w:color="E9E9E9"/>
            </w:tcBorders>
            <w:shd w:val="clear" w:color="auto" w:fill="E9E9E9"/>
          </w:tcPr>
          <w:p>
            <w:pPr>
              <w:spacing w:after="0" w:line="189" w:lineRule="exact"/>
              <w:rPr>
                <w:sz w:val="20"/>
                <w:szCs w:val="20"/>
                <w:color w:val="auto"/>
              </w:rPr>
            </w:pPr>
            <w:r>
              <w:rPr>
                <w:rFonts w:ascii="Arial" w:cs="Arial" w:eastAsia="Arial" w:hAnsi="Arial"/>
                <w:sz w:val="18"/>
                <w:szCs w:val="18"/>
                <w:color w:val="auto"/>
              </w:rPr>
              <w:t>Cash paid (received) during the period for:</w:t>
            </w:r>
          </w:p>
        </w:tc>
        <w:tc>
          <w:tcPr>
            <w:tcW w:w="1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tcBorders>
            <w:shd w:val="clear" w:color="auto" w:fill="E9E9E9"/>
          </w:tcPr>
          <w:p>
            <w:pPr>
              <w:spacing w:after="0"/>
              <w:rPr>
                <w:sz w:val="16"/>
                <w:szCs w:val="16"/>
                <w:color w:val="auto"/>
              </w:rPr>
            </w:pPr>
          </w:p>
        </w:tc>
        <w:tc>
          <w:tcPr>
            <w:tcW w:w="1120" w:type="dxa"/>
            <w:vAlign w:val="bottom"/>
            <w:tcBorders>
              <w:top w:val="single" w:sz="8" w:color="auto"/>
            </w:tcBorders>
            <w:shd w:val="clear" w:color="auto" w:fill="E9E9E9"/>
          </w:tcPr>
          <w:p>
            <w:pPr>
              <w:spacing w:after="0"/>
              <w:rPr>
                <w:sz w:val="16"/>
                <w:szCs w:val="16"/>
                <w:color w:val="auto"/>
              </w:rPr>
            </w:pPr>
          </w:p>
        </w:tc>
        <w:tc>
          <w:tcPr>
            <w:tcW w:w="1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tcBorders>
            <w:shd w:val="clear" w:color="auto" w:fill="E9E9E9"/>
          </w:tcPr>
          <w:p>
            <w:pPr>
              <w:spacing w:after="0"/>
              <w:rPr>
                <w:sz w:val="16"/>
                <w:szCs w:val="16"/>
                <w:color w:val="auto"/>
              </w:rPr>
            </w:pPr>
          </w:p>
        </w:tc>
        <w:tc>
          <w:tcPr>
            <w:tcW w:w="1120" w:type="dxa"/>
            <w:vAlign w:val="bottom"/>
            <w:tcBorders>
              <w:top w:val="single" w:sz="8" w:color="auto"/>
            </w:tcBorders>
            <w:shd w:val="clear" w:color="auto" w:fill="E9E9E9"/>
          </w:tcPr>
          <w:p>
            <w:pPr>
              <w:spacing w:after="0"/>
              <w:rPr>
                <w:sz w:val="16"/>
                <w:szCs w:val="16"/>
                <w:color w:val="auto"/>
              </w:rPr>
            </w:pPr>
          </w:p>
        </w:tc>
        <w:tc>
          <w:tcPr>
            <w:tcW w:w="2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tcBorders>
            <w:shd w:val="clear" w:color="auto" w:fill="E9E9E9"/>
          </w:tcPr>
          <w:p>
            <w:pPr>
              <w:spacing w:after="0"/>
              <w:rPr>
                <w:sz w:val="16"/>
                <w:szCs w:val="16"/>
                <w:color w:val="auto"/>
              </w:rPr>
            </w:pPr>
          </w:p>
        </w:tc>
        <w:tc>
          <w:tcPr>
            <w:tcW w:w="1120" w:type="dxa"/>
            <w:vAlign w:val="bottom"/>
            <w:tcBorders>
              <w:top w:val="single" w:sz="8" w:color="auto"/>
            </w:tcBorders>
            <w:shd w:val="clear" w:color="auto" w:fill="E9E9E9"/>
          </w:tcPr>
          <w:p>
            <w:pPr>
              <w:spacing w:after="0"/>
              <w:rPr>
                <w:sz w:val="16"/>
                <w:szCs w:val="16"/>
                <w:color w:val="auto"/>
              </w:rPr>
            </w:pPr>
          </w:p>
        </w:tc>
        <w:tc>
          <w:tcPr>
            <w:tcW w:w="20" w:type="dxa"/>
            <w:vAlign w:val="bottom"/>
            <w:tcBorders>
              <w:top w:val="single" w:sz="8" w:color="E9E9E9"/>
            </w:tcBorders>
            <w:shd w:val="clear" w:color="auto" w:fill="E9E9E9"/>
          </w:tcPr>
          <w:p>
            <w:pPr>
              <w:spacing w:after="0"/>
              <w:rPr>
                <w:sz w:val="16"/>
                <w:szCs w:val="16"/>
                <w:color w:val="auto"/>
              </w:rPr>
            </w:pPr>
          </w:p>
        </w:tc>
        <w:tc>
          <w:tcPr>
            <w:tcW w:w="80" w:type="dxa"/>
            <w:vAlign w:val="bottom"/>
            <w:tcBorders>
              <w:top w:val="single" w:sz="8" w:color="E9E9E9"/>
            </w:tcBorders>
            <w:shd w:val="clear" w:color="auto" w:fill="E9E9E9"/>
          </w:tcPr>
          <w:p>
            <w:pPr>
              <w:spacing w:after="0"/>
              <w:rPr>
                <w:sz w:val="16"/>
                <w:szCs w:val="16"/>
                <w:color w:val="auto"/>
              </w:rPr>
            </w:pPr>
          </w:p>
        </w:tc>
      </w:tr>
      <w:tr>
        <w:trPr>
          <w:trHeight w:val="244"/>
        </w:trPr>
        <w:tc>
          <w:tcPr>
            <w:tcW w:w="646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12,098</w:t>
            </w:r>
          </w:p>
        </w:tc>
        <w:tc>
          <w:tcPr>
            <w:tcW w:w="120" w:type="dxa"/>
            <w:vAlign w:val="bottom"/>
          </w:tcPr>
          <w:p>
            <w:pPr>
              <w:spacing w:after="0"/>
              <w:rPr>
                <w:sz w:val="21"/>
                <w:szCs w:val="21"/>
                <w:color w:val="auto"/>
              </w:rPr>
            </w:pPr>
          </w:p>
        </w:tc>
        <w:tc>
          <w:tcPr>
            <w:tcW w:w="22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2"/>
              <w:spacing w:after="0" w:line="204" w:lineRule="exact"/>
              <w:rPr>
                <w:sz w:val="20"/>
                <w:szCs w:val="20"/>
                <w:color w:val="auto"/>
              </w:rPr>
            </w:pPr>
            <w:r>
              <w:rPr>
                <w:rFonts w:ascii="Arial" w:cs="Arial" w:eastAsia="Arial" w:hAnsi="Arial"/>
                <w:sz w:val="18"/>
                <w:szCs w:val="18"/>
                <w:color w:val="auto"/>
              </w:rPr>
              <w:t>5,007</w:t>
            </w: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2,146</w:t>
            </w:r>
          </w:p>
        </w:tc>
      </w:tr>
      <w:tr>
        <w:trPr>
          <w:trHeight w:val="191"/>
        </w:trPr>
        <w:tc>
          <w:tcPr>
            <w:tcW w:w="6340" w:type="dxa"/>
            <w:vAlign w:val="bottom"/>
            <w:tcBorders>
              <w:top w:val="single" w:sz="8" w:color="E9E9E9"/>
            </w:tcBorders>
            <w:shd w:val="clear" w:color="auto" w:fill="E9E9E9"/>
          </w:tcPr>
          <w:p>
            <w:pPr>
              <w:ind w:left="200"/>
              <w:spacing w:after="0" w:line="191" w:lineRule="exact"/>
              <w:rPr>
                <w:sz w:val="20"/>
                <w:szCs w:val="20"/>
                <w:color w:val="auto"/>
              </w:rPr>
            </w:pPr>
            <w:r>
              <w:rPr>
                <w:rFonts w:ascii="Arial" w:cs="Arial" w:eastAsia="Arial" w:hAnsi="Arial"/>
                <w:sz w:val="18"/>
                <w:szCs w:val="18"/>
                <w:color w:val="auto"/>
              </w:rPr>
              <w:t>Income taxes</w:t>
            </w:r>
          </w:p>
        </w:tc>
        <w:tc>
          <w:tcPr>
            <w:tcW w:w="1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bottom w:val="single" w:sz="8" w:color="auto"/>
            </w:tcBorders>
            <w:shd w:val="clear" w:color="auto" w:fill="E9E9E9"/>
          </w:tcPr>
          <w:p>
            <w:pPr>
              <w:spacing w:after="0"/>
              <w:rPr>
                <w:sz w:val="16"/>
                <w:szCs w:val="16"/>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E9E9E9"/>
          </w:tcPr>
          <w:p>
            <w:pPr>
              <w:jc w:val="right"/>
              <w:spacing w:after="0" w:line="191" w:lineRule="exact"/>
              <w:rPr>
                <w:sz w:val="20"/>
                <w:szCs w:val="20"/>
                <w:color w:val="auto"/>
              </w:rPr>
            </w:pPr>
            <w:r>
              <w:rPr>
                <w:rFonts w:ascii="Arial" w:cs="Arial" w:eastAsia="Arial" w:hAnsi="Arial"/>
                <w:sz w:val="18"/>
                <w:szCs w:val="18"/>
                <w:color w:val="auto"/>
              </w:rPr>
              <w:t>9,916</w:t>
            </w:r>
          </w:p>
        </w:tc>
        <w:tc>
          <w:tcPr>
            <w:tcW w:w="12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bottom w:val="single" w:sz="8" w:color="auto"/>
            </w:tcBorders>
            <w:shd w:val="clear" w:color="auto" w:fill="E9E9E9"/>
          </w:tcPr>
          <w:p>
            <w:pPr>
              <w:spacing w:after="0"/>
              <w:rPr>
                <w:sz w:val="16"/>
                <w:szCs w:val="16"/>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E9E9E9"/>
          </w:tcPr>
          <w:p>
            <w:pPr>
              <w:jc w:val="right"/>
              <w:spacing w:after="0" w:line="191" w:lineRule="exact"/>
              <w:rPr>
                <w:sz w:val="20"/>
                <w:szCs w:val="20"/>
                <w:color w:val="auto"/>
              </w:rPr>
            </w:pPr>
            <w:r>
              <w:rPr>
                <w:rFonts w:ascii="Arial" w:cs="Arial" w:eastAsia="Arial" w:hAnsi="Arial"/>
                <w:sz w:val="18"/>
                <w:szCs w:val="18"/>
                <w:color w:val="auto"/>
              </w:rPr>
              <w:t>5,378</w:t>
            </w:r>
          </w:p>
        </w:tc>
        <w:tc>
          <w:tcPr>
            <w:tcW w:w="200" w:type="dxa"/>
            <w:vAlign w:val="bottom"/>
            <w:tcBorders>
              <w:top w:val="single" w:sz="8" w:color="E9E9E9"/>
            </w:tcBorders>
            <w:shd w:val="clear" w:color="auto" w:fill="E9E9E9"/>
          </w:tcPr>
          <w:p>
            <w:pPr>
              <w:spacing w:after="0"/>
              <w:rPr>
                <w:sz w:val="16"/>
                <w:szCs w:val="16"/>
                <w:color w:val="auto"/>
              </w:rPr>
            </w:pPr>
          </w:p>
        </w:tc>
        <w:tc>
          <w:tcPr>
            <w:tcW w:w="20" w:type="dxa"/>
            <w:vAlign w:val="bottom"/>
            <w:tcBorders>
              <w:top w:val="single" w:sz="8" w:color="E9E9E9"/>
              <w:bottom w:val="single" w:sz="8" w:color="auto"/>
            </w:tcBorders>
            <w:shd w:val="clear" w:color="auto" w:fill="E9E9E9"/>
          </w:tcPr>
          <w:p>
            <w:pPr>
              <w:spacing w:after="0"/>
              <w:rPr>
                <w:sz w:val="16"/>
                <w:szCs w:val="16"/>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4"/>
                <w:szCs w:val="14"/>
                <w:color w:val="auto"/>
                <w:w w:val="76"/>
                <w:shd w:val="clear" w:color="auto" w:fill="E9E9E9"/>
              </w:rPr>
              <w:t>$</w:t>
            </w:r>
          </w:p>
        </w:tc>
        <w:tc>
          <w:tcPr>
            <w:tcW w:w="1120" w:type="dxa"/>
            <w:vAlign w:val="bottom"/>
            <w:tcBorders>
              <w:top w:val="single" w:sz="8" w:color="auto"/>
              <w:bottom w:val="single" w:sz="8" w:color="auto"/>
            </w:tcBorders>
            <w:shd w:val="clear" w:color="auto" w:fill="E9E9E9"/>
          </w:tcPr>
          <w:p>
            <w:pPr>
              <w:jc w:val="right"/>
              <w:spacing w:after="0" w:line="191" w:lineRule="exact"/>
              <w:rPr>
                <w:sz w:val="20"/>
                <w:szCs w:val="20"/>
                <w:color w:val="auto"/>
              </w:rPr>
            </w:pPr>
            <w:r>
              <w:rPr>
                <w:rFonts w:ascii="Arial" w:cs="Arial" w:eastAsia="Arial" w:hAnsi="Arial"/>
                <w:sz w:val="18"/>
                <w:szCs w:val="18"/>
                <w:color w:val="auto"/>
              </w:rPr>
              <w:t>(2,570)</w:t>
            </w:r>
          </w:p>
        </w:tc>
        <w:tc>
          <w:tcPr>
            <w:tcW w:w="20" w:type="dxa"/>
            <w:vAlign w:val="bottom"/>
            <w:tcBorders>
              <w:top w:val="single" w:sz="8" w:color="E9E9E9"/>
              <w:bottom w:val="single" w:sz="8" w:color="auto"/>
            </w:tcBorders>
            <w:shd w:val="clear" w:color="auto" w:fill="E9E9E9"/>
          </w:tcPr>
          <w:p>
            <w:pPr>
              <w:spacing w:after="0"/>
              <w:rPr>
                <w:sz w:val="16"/>
                <w:szCs w:val="16"/>
                <w:color w:val="auto"/>
              </w:rPr>
            </w:pPr>
          </w:p>
        </w:tc>
        <w:tc>
          <w:tcPr>
            <w:tcW w:w="80" w:type="dxa"/>
            <w:vAlign w:val="bottom"/>
            <w:tcBorders>
              <w:top w:val="single" w:sz="8" w:color="E9E9E9"/>
            </w:tcBorders>
            <w:shd w:val="clear" w:color="auto" w:fill="E9E9E9"/>
          </w:tcPr>
          <w:p>
            <w:pPr>
              <w:spacing w:after="0"/>
              <w:rPr>
                <w:sz w:val="16"/>
                <w:szCs w:val="16"/>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-6897370</wp:posOffset>
                </wp:positionV>
                <wp:extent cx="7112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543.0999pt" to="534.4pt,-543.0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-3509645</wp:posOffset>
                </wp:positionV>
                <wp:extent cx="7112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276.3499pt" to="534.4pt,-276.3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-2983230</wp:posOffset>
                </wp:positionV>
                <wp:extent cx="7112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234.8999pt" to="534.4pt,-234.8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-1148080</wp:posOffset>
                </wp:positionV>
                <wp:extent cx="7112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90.3999pt" to="534.4pt,-90.3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-875030</wp:posOffset>
                </wp:positionV>
                <wp:extent cx="7112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68.8999pt" to="534.4pt,-68.8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-608965</wp:posOffset>
                </wp:positionV>
                <wp:extent cx="7112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47.9499pt" to="534.4pt,-47.9499pt" o:allowincell="f" strokecolor="#FFFFFF" strokeweight="0.4752pt"/>
            </w:pict>
          </mc:Fallback>
        </mc:AlternateConten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F-8</w:t>
      </w:r>
    </w:p>
    <w:p>
      <w:pPr>
        <w:sectPr>
          <w:pgSz w:w="11880" w:h="15480" w:orient="portrait"/>
          <w:cols w:equalWidth="0" w:num="1">
            <w:col w:w="10680"/>
          </w:cols>
          <w:pgMar w:left="600" w:top="837" w:right="600" w:bottom="46" w:gutter="0" w:footer="0" w:header="0"/>
        </w:sectPr>
      </w:pPr>
    </w:p>
    <w:bookmarkStart w:id="68" w:name="page69"/>
    <w:bookmarkEnd w:id="68"/>
    <w:p>
      <w:pPr>
        <w:jc w:val="center"/>
        <w:ind w:right="-5"/>
        <w:spacing w:after="0"/>
        <w:rPr>
          <w:sz w:val="20"/>
          <w:szCs w:val="20"/>
          <w:color w:val="auto"/>
        </w:rPr>
      </w:pPr>
      <w:r>
        <w:rPr>
          <w:rFonts w:ascii="Arial" w:cs="Arial" w:eastAsia="Arial" w:hAnsi="Arial"/>
          <w:sz w:val="20"/>
          <w:szCs w:val="20"/>
          <w:b w:val="1"/>
          <w:bCs w:val="1"/>
          <w:color w:val="auto"/>
        </w:rPr>
        <w:t>CECO ENVIRONMENTAL CORP. AND SUBSIDIARIES</w:t>
      </w:r>
    </w:p>
    <w:p>
      <w:pPr>
        <w:jc w:val="center"/>
        <w:ind w:right="-5"/>
        <w:spacing w:after="0" w:line="235" w:lineRule="auto"/>
        <w:rPr>
          <w:sz w:val="20"/>
          <w:szCs w:val="20"/>
          <w:color w:val="auto"/>
        </w:rPr>
      </w:pPr>
      <w:r>
        <w:rPr>
          <w:rFonts w:ascii="Arial" w:cs="Arial" w:eastAsia="Arial" w:hAnsi="Arial"/>
          <w:sz w:val="20"/>
          <w:szCs w:val="20"/>
          <w:b w:val="1"/>
          <w:bCs w:val="1"/>
          <w:color w:val="auto"/>
        </w:rPr>
        <w:t>NOTES TO CONSOLIDATED FINANCIAL STATEMENTS</w:t>
      </w:r>
    </w:p>
    <w:p>
      <w:pPr>
        <w:jc w:val="center"/>
        <w:ind w:right="-5"/>
        <w:spacing w:after="0"/>
        <w:rPr>
          <w:sz w:val="20"/>
          <w:szCs w:val="20"/>
          <w:color w:val="auto"/>
        </w:rPr>
      </w:pPr>
      <w:r>
        <w:rPr>
          <w:rFonts w:ascii="Arial" w:cs="Arial" w:eastAsia="Arial" w:hAnsi="Arial"/>
          <w:sz w:val="20"/>
          <w:szCs w:val="20"/>
          <w:b w:val="1"/>
          <w:bCs w:val="1"/>
          <w:color w:val="auto"/>
        </w:rPr>
        <w:t>For the Years Ended December 31, 2023, 2022 and 2021</w:t>
      </w:r>
    </w:p>
    <w:p>
      <w:pPr>
        <w:spacing w:after="0" w:line="200" w:lineRule="exact"/>
        <w:rPr>
          <w:sz w:val="20"/>
          <w:szCs w:val="20"/>
          <w:color w:val="auto"/>
        </w:rPr>
      </w:pPr>
    </w:p>
    <w:p>
      <w:pPr>
        <w:spacing w:after="0" w:line="308" w:lineRule="exact"/>
        <w:rPr>
          <w:sz w:val="20"/>
          <w:szCs w:val="20"/>
          <w:color w:val="auto"/>
        </w:rPr>
      </w:pPr>
    </w:p>
    <w:p>
      <w:pPr>
        <w:ind w:left="486" w:hanging="486"/>
        <w:spacing w:after="0"/>
        <w:tabs>
          <w:tab w:leader="none" w:pos="486"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Nature of Business and Summary of Significant Accounting Policies</w:t>
      </w:r>
    </w:p>
    <w:p>
      <w:pPr>
        <w:spacing w:after="0" w:line="248" w:lineRule="exact"/>
        <w:rPr>
          <w:sz w:val="20"/>
          <w:szCs w:val="20"/>
          <w:color w:val="auto"/>
        </w:rPr>
      </w:pPr>
    </w:p>
    <w:p>
      <w:pPr>
        <w:ind w:left="6"/>
        <w:spacing w:after="0" w:line="250" w:lineRule="auto"/>
        <w:rPr>
          <w:sz w:val="20"/>
          <w:szCs w:val="20"/>
          <w:color w:val="auto"/>
        </w:rPr>
      </w:pPr>
      <w:r>
        <w:rPr>
          <w:rFonts w:ascii="Arial" w:cs="Arial" w:eastAsia="Arial" w:hAnsi="Arial"/>
          <w:sz w:val="19"/>
          <w:szCs w:val="19"/>
          <w:i w:val="1"/>
          <w:iCs w:val="1"/>
          <w:color w:val="auto"/>
        </w:rPr>
        <w:t>Nature of business</w:t>
      </w:r>
      <w:r>
        <w:rPr>
          <w:rFonts w:ascii="Arial" w:cs="Arial" w:eastAsia="Arial" w:hAnsi="Arial"/>
          <w:sz w:val="19"/>
          <w:szCs w:val="19"/>
          <w:color w:val="auto"/>
        </w:rPr>
        <w:t>— CECO Environmental Corp. and its consolidated subsidiaries (“CECO,” the “Company,” “we,” “us,” or “our”) is</w:t>
      </w:r>
      <w:r>
        <w:rPr>
          <w:rFonts w:ascii="Arial" w:cs="Arial" w:eastAsia="Arial" w:hAnsi="Arial"/>
          <w:sz w:val="19"/>
          <w:szCs w:val="19"/>
          <w:i w:val="1"/>
          <w:iCs w:val="1"/>
          <w:color w:val="auto"/>
        </w:rPr>
        <w:t xml:space="preserve"> </w:t>
      </w:r>
      <w:r>
        <w:rPr>
          <w:rFonts w:ascii="Arial" w:cs="Arial" w:eastAsia="Arial" w:hAnsi="Arial"/>
          <w:sz w:val="19"/>
          <w:szCs w:val="19"/>
          <w:color w:val="auto"/>
        </w:rPr>
        <w:t>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238" w:lineRule="exact"/>
        <w:rPr>
          <w:sz w:val="20"/>
          <w:szCs w:val="20"/>
          <w:color w:val="auto"/>
        </w:rPr>
      </w:pPr>
    </w:p>
    <w:p>
      <w:pPr>
        <w:ind w:left="6" w:right="860"/>
        <w:spacing w:after="0" w:line="232" w:lineRule="auto"/>
        <w:rPr>
          <w:sz w:val="20"/>
          <w:szCs w:val="20"/>
          <w:color w:val="auto"/>
        </w:rPr>
      </w:pPr>
      <w:r>
        <w:rPr>
          <w:rFonts w:ascii="Arial" w:cs="Arial" w:eastAsia="Arial" w:hAnsi="Arial"/>
          <w:sz w:val="20"/>
          <w:szCs w:val="20"/>
          <w:i w:val="1"/>
          <w:iCs w:val="1"/>
          <w:color w:val="auto"/>
        </w:rPr>
        <w:t>Principles of consolidation</w:t>
      </w:r>
      <w:r>
        <w:rPr>
          <w:rFonts w:ascii="Arial" w:cs="Arial" w:eastAsia="Arial" w:hAnsi="Arial"/>
          <w:sz w:val="20"/>
          <w:szCs w:val="20"/>
          <w:color w:val="auto"/>
        </w:rPr>
        <w:t>—The consolidated financial statements include the Company and its controlled subsidiaries. All</w:t>
      </w:r>
      <w:r>
        <w:rPr>
          <w:rFonts w:ascii="Arial" w:cs="Arial" w:eastAsia="Arial" w:hAnsi="Arial"/>
          <w:sz w:val="20"/>
          <w:szCs w:val="20"/>
          <w:i w:val="1"/>
          <w:iCs w:val="1"/>
          <w:color w:val="auto"/>
        </w:rPr>
        <w:t xml:space="preserve"> </w:t>
      </w:r>
      <w:r>
        <w:rPr>
          <w:rFonts w:ascii="Arial" w:cs="Arial" w:eastAsia="Arial" w:hAnsi="Arial"/>
          <w:sz w:val="20"/>
          <w:szCs w:val="20"/>
          <w:color w:val="auto"/>
        </w:rPr>
        <w:t>intercompany balances and transactions have been eliminated.</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color w:val="auto"/>
        </w:rPr>
        <w:t>Unless indicated, all balances within tables are in thousands except per share amounts.</w:t>
      </w:r>
    </w:p>
    <w:p>
      <w:pPr>
        <w:spacing w:after="0" w:line="248" w:lineRule="exact"/>
        <w:rPr>
          <w:sz w:val="20"/>
          <w:szCs w:val="20"/>
          <w:color w:val="auto"/>
        </w:rPr>
      </w:pPr>
    </w:p>
    <w:p>
      <w:pPr>
        <w:ind w:left="6"/>
        <w:spacing w:after="0" w:line="249" w:lineRule="auto"/>
        <w:rPr>
          <w:sz w:val="20"/>
          <w:szCs w:val="20"/>
          <w:color w:val="auto"/>
        </w:rPr>
      </w:pPr>
      <w:r>
        <w:rPr>
          <w:rFonts w:ascii="Arial" w:cs="Arial" w:eastAsia="Arial" w:hAnsi="Arial"/>
          <w:sz w:val="19"/>
          <w:szCs w:val="19"/>
          <w:i w:val="1"/>
          <w:iCs w:val="1"/>
          <w:color w:val="auto"/>
        </w:rPr>
        <w:t>Use of estimates</w:t>
      </w:r>
      <w:r>
        <w:rPr>
          <w:rFonts w:ascii="Arial" w:cs="Arial" w:eastAsia="Arial" w:hAnsi="Arial"/>
          <w:sz w:val="19"/>
          <w:szCs w:val="19"/>
          <w:color w:val="auto"/>
        </w:rPr>
        <w:t>—The preparation of financial statements in conformity with accounting principles generally accepted in the United</w:t>
      </w:r>
      <w:r>
        <w:rPr>
          <w:rFonts w:ascii="Arial" w:cs="Arial" w:eastAsia="Arial" w:hAnsi="Arial"/>
          <w:sz w:val="19"/>
          <w:szCs w:val="19"/>
          <w:i w:val="1"/>
          <w:iCs w:val="1"/>
          <w:color w:val="auto"/>
        </w:rPr>
        <w:t xml:space="preserve"> </w:t>
      </w:r>
      <w:r>
        <w:rPr>
          <w:rFonts w:ascii="Arial" w:cs="Arial" w:eastAsia="Arial" w:hAnsi="Arial"/>
          <w:sz w:val="19"/>
          <w:szCs w:val="19"/>
          <w:color w:val="auto"/>
        </w:rPr>
        <w:t>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the estimates of contracts' progress to completion used in the recognition of revenue over time, inventory valuation, the estimated useful lives of fixed assets and intangible assets, fair values of long-lived assets and goodwill, and deferred tax assets.</w:t>
      </w:r>
    </w:p>
    <w:p>
      <w:pPr>
        <w:spacing w:after="0" w:line="246" w:lineRule="exact"/>
        <w:rPr>
          <w:sz w:val="20"/>
          <w:szCs w:val="20"/>
          <w:color w:val="auto"/>
        </w:rPr>
      </w:pPr>
    </w:p>
    <w:p>
      <w:pPr>
        <w:ind w:left="6" w:right="300"/>
        <w:spacing w:after="0" w:line="269" w:lineRule="auto"/>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 considers all highly liquid investments with original maturities of three months or less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At December 31, 2023 and 2022, Restricted Cash is cash in support of letters of credit issued by various foreign subsidiaries of the Company. The Company occasionally enters into letters of credit with durations in excess of one year.</w:t>
      </w:r>
    </w:p>
    <w:p>
      <w:pPr>
        <w:spacing w:after="0" w:line="224" w:lineRule="exact"/>
        <w:rPr>
          <w:sz w:val="20"/>
          <w:szCs w:val="20"/>
          <w:color w:val="auto"/>
        </w:rPr>
      </w:pPr>
    </w:p>
    <w:p>
      <w:pPr>
        <w:ind w:left="6"/>
        <w:spacing w:after="0" w:line="232" w:lineRule="auto"/>
        <w:rPr>
          <w:sz w:val="20"/>
          <w:szCs w:val="20"/>
          <w:color w:val="auto"/>
        </w:rPr>
      </w:pPr>
      <w:r>
        <w:rPr>
          <w:rFonts w:ascii="Arial" w:cs="Arial" w:eastAsia="Arial" w:hAnsi="Arial"/>
          <w:sz w:val="20"/>
          <w:szCs w:val="20"/>
          <w:color w:val="auto"/>
        </w:rPr>
        <w:t>The following table provides a reconciliation of cash, cash equivalents and restricted cash reported within the Consolidated Statements of Cash Flows.</w:t>
      </w:r>
    </w:p>
    <w:p>
      <w:pPr>
        <w:spacing w:after="0" w:line="35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6"/>
        </w:trPr>
        <w:tc>
          <w:tcPr>
            <w:tcW w:w="772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E9E9E9"/>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9E9E9"/>
            </w:tcBorders>
          </w:tcPr>
          <w:p>
            <w:pPr>
              <w:spacing w:after="0"/>
              <w:rPr>
                <w:sz w:val="22"/>
                <w:szCs w:val="22"/>
                <w:color w:val="auto"/>
              </w:rPr>
            </w:pPr>
          </w:p>
        </w:tc>
      </w:tr>
      <w:tr>
        <w:trPr>
          <w:trHeight w:val="218"/>
        </w:trPr>
        <w:tc>
          <w:tcPr>
            <w:tcW w:w="7720" w:type="dxa"/>
            <w:vAlign w:val="bottom"/>
            <w:shd w:val="clear" w:color="auto" w:fill="E9E9E9"/>
          </w:tcPr>
          <w:p>
            <w:pPr>
              <w:ind w:left="200"/>
              <w:spacing w:after="0" w:line="217" w:lineRule="exact"/>
              <w:rPr>
                <w:sz w:val="20"/>
                <w:szCs w:val="20"/>
                <w:color w:val="auto"/>
              </w:rPr>
            </w:pPr>
            <w:r>
              <w:rPr>
                <w:rFonts w:ascii="Arial" w:cs="Arial" w:eastAsia="Arial" w:hAnsi="Arial"/>
                <w:sz w:val="20"/>
                <w:szCs w:val="20"/>
                <w:color w:val="auto"/>
              </w:rPr>
              <w:t>Cash and cash equivalents</w:t>
            </w:r>
          </w:p>
        </w:tc>
        <w:tc>
          <w:tcPr>
            <w:tcW w:w="2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54,779</w:t>
            </w:r>
          </w:p>
        </w:tc>
        <w:tc>
          <w:tcPr>
            <w:tcW w:w="200" w:type="dxa"/>
            <w:vAlign w:val="bottom"/>
            <w:shd w:val="clear" w:color="auto" w:fill="E9E9E9"/>
          </w:tcPr>
          <w:p>
            <w:pPr>
              <w:spacing w:after="0"/>
              <w:rPr>
                <w:sz w:val="18"/>
                <w:szCs w:val="18"/>
                <w:color w:val="auto"/>
              </w:rPr>
            </w:pPr>
          </w:p>
        </w:tc>
        <w:tc>
          <w:tcPr>
            <w:tcW w:w="440" w:type="dxa"/>
            <w:vAlign w:val="bottom"/>
            <w:shd w:val="clear" w:color="auto" w:fill="E9E9E9"/>
          </w:tcPr>
          <w:p>
            <w:pPr>
              <w:jc w:val="right"/>
              <w:ind w:right="241"/>
              <w:spacing w:after="0" w:line="217"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45,522</w:t>
            </w:r>
          </w:p>
        </w:tc>
        <w:tc>
          <w:tcPr>
            <w:tcW w:w="100" w:type="dxa"/>
            <w:vAlign w:val="bottom"/>
            <w:shd w:val="clear" w:color="auto" w:fill="E9E9E9"/>
          </w:tcPr>
          <w:p>
            <w:pPr>
              <w:spacing w:after="0"/>
              <w:rPr>
                <w:sz w:val="18"/>
                <w:szCs w:val="18"/>
                <w:color w:val="auto"/>
              </w:rPr>
            </w:pPr>
          </w:p>
        </w:tc>
      </w:tr>
      <w:tr>
        <w:trPr>
          <w:trHeight w:val="228"/>
        </w:trPr>
        <w:tc>
          <w:tcPr>
            <w:tcW w:w="7740" w:type="dxa"/>
            <w:vAlign w:val="bottom"/>
            <w:gridSpan w:val="2"/>
          </w:tcPr>
          <w:p>
            <w:pPr>
              <w:ind w:left="200"/>
              <w:spacing w:after="0" w:line="228" w:lineRule="exact"/>
              <w:rPr>
                <w:sz w:val="20"/>
                <w:szCs w:val="20"/>
                <w:color w:val="auto"/>
              </w:rPr>
            </w:pPr>
            <w:r>
              <w:rPr>
                <w:rFonts w:ascii="Arial" w:cs="Arial" w:eastAsia="Arial" w:hAnsi="Arial"/>
                <w:sz w:val="20"/>
                <w:szCs w:val="20"/>
                <w:color w:val="auto"/>
              </w:rPr>
              <w:t>Restricted cash</w:t>
            </w:r>
          </w:p>
        </w:tc>
        <w:tc>
          <w:tcPr>
            <w:tcW w:w="120" w:type="dxa"/>
            <w:vAlign w:val="bottom"/>
          </w:tcPr>
          <w:p>
            <w:pPr>
              <w:spacing w:after="0"/>
              <w:rPr>
                <w:sz w:val="19"/>
                <w:szCs w:val="19"/>
                <w:color w:val="auto"/>
              </w:rPr>
            </w:pPr>
          </w:p>
        </w:tc>
        <w:tc>
          <w:tcPr>
            <w:tcW w:w="1200" w:type="dxa"/>
            <w:vAlign w:val="bottom"/>
          </w:tcPr>
          <w:p>
            <w:pPr>
              <w:jc w:val="right"/>
              <w:spacing w:after="0" w:line="228" w:lineRule="exact"/>
              <w:rPr>
                <w:sz w:val="20"/>
                <w:szCs w:val="20"/>
                <w:color w:val="auto"/>
              </w:rPr>
            </w:pPr>
            <w:r>
              <w:rPr>
                <w:rFonts w:ascii="Arial" w:cs="Arial" w:eastAsia="Arial" w:hAnsi="Arial"/>
                <w:sz w:val="20"/>
                <w:szCs w:val="20"/>
                <w:color w:val="auto"/>
              </w:rPr>
              <w:t>669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1,063</w:t>
            </w:r>
          </w:p>
        </w:tc>
      </w:tr>
      <w:tr>
        <w:trPr>
          <w:trHeight w:val="219"/>
        </w:trPr>
        <w:tc>
          <w:tcPr>
            <w:tcW w:w="77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Total cash, cash equivalents and restricted cash</w:t>
            </w: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55,448</w:t>
            </w:r>
          </w:p>
        </w:tc>
        <w:tc>
          <w:tcPr>
            <w:tcW w:w="200" w:type="dxa"/>
            <w:vAlign w:val="bottom"/>
            <w:tcBorders>
              <w:top w:val="single" w:sz="8" w:color="E9E9E9"/>
            </w:tcBorders>
            <w:shd w:val="clear" w:color="auto" w:fill="E9E9E9"/>
          </w:tcPr>
          <w:p>
            <w:pPr>
              <w:spacing w:after="0"/>
              <w:rPr>
                <w:sz w:val="19"/>
                <w:szCs w:val="19"/>
                <w:color w:val="auto"/>
              </w:rPr>
            </w:pPr>
          </w:p>
        </w:tc>
        <w:tc>
          <w:tcPr>
            <w:tcW w:w="440" w:type="dxa"/>
            <w:vAlign w:val="bottom"/>
            <w:tcBorders>
              <w:top w:val="single" w:sz="8" w:color="auto"/>
              <w:bottom w:val="single" w:sz="8" w:color="auto"/>
            </w:tcBorders>
            <w:shd w:val="clear" w:color="auto" w:fill="E9E9E9"/>
          </w:tcPr>
          <w:p>
            <w:pPr>
              <w:jc w:val="right"/>
              <w:ind w:right="241"/>
              <w:spacing w:after="0" w:line="217"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46,585</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6721475</wp:posOffset>
                </wp:positionH>
                <wp:positionV relativeFrom="paragraph">
                  <wp:posOffset>-647065</wp:posOffset>
                </wp:positionV>
                <wp:extent cx="6921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50.9499pt" to="534.7pt,-50.9499pt" o:allowincell="f" strokecolor="#FFFFFF" strokeweight="0.4751pt"/>
            </w:pict>
          </mc:Fallback>
        </mc:AlternateContent>
      </w:r>
    </w:p>
    <w:p>
      <w:pPr>
        <w:spacing w:after="0" w:line="227" w:lineRule="exact"/>
        <w:rPr>
          <w:sz w:val="20"/>
          <w:szCs w:val="20"/>
          <w:color w:val="auto"/>
        </w:rPr>
      </w:pPr>
    </w:p>
    <w:p>
      <w:pPr>
        <w:ind w:left="6" w:right="300"/>
        <w:spacing w:after="0" w:line="249" w:lineRule="auto"/>
        <w:rPr>
          <w:sz w:val="20"/>
          <w:szCs w:val="20"/>
          <w:color w:val="auto"/>
        </w:rPr>
      </w:pPr>
      <w:r>
        <w:rPr>
          <w:rFonts w:ascii="Arial" w:cs="Arial" w:eastAsia="Arial" w:hAnsi="Arial"/>
          <w:sz w:val="19"/>
          <w:szCs w:val="19"/>
          <w:i w:val="1"/>
          <w:iCs w:val="1"/>
          <w:color w:val="auto"/>
        </w:rPr>
        <w:t>Accounts receivable</w:t>
      </w:r>
      <w:r>
        <w:rPr>
          <w:rFonts w:ascii="Arial" w:cs="Arial" w:eastAsia="Arial" w:hAnsi="Arial"/>
          <w:sz w:val="19"/>
          <w:szCs w:val="19"/>
          <w:color w:val="auto"/>
        </w:rPr>
        <w:t>—Receivables are generally uncollateralized customer obligations due under normal terms requiring payment</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within 30 days from the invoice date unless otherwise determined by specific contract terms, generally due to retainage provisions. The Company’s estimate of the allowance for credit losses for trade receivables is primarily determined based upon the length of time that the receivables are past due and management estimates of probable losses based upon an analysis of prior collection experience, specific account risks and economic conditions. Accounts are deemed uncollectible based on past account experience and the current financial condition of the account.</w:t>
      </w:r>
    </w:p>
    <w:p>
      <w:pPr>
        <w:spacing w:after="0" w:line="244" w:lineRule="exact"/>
        <w:rPr>
          <w:sz w:val="20"/>
          <w:szCs w:val="20"/>
          <w:color w:val="auto"/>
        </w:rPr>
      </w:pPr>
    </w:p>
    <w:p>
      <w:pPr>
        <w:ind w:left="6" w:right="80"/>
        <w:spacing w:after="0" w:line="234" w:lineRule="auto"/>
        <w:rPr>
          <w:sz w:val="20"/>
          <w:szCs w:val="20"/>
          <w:color w:val="auto"/>
        </w:rPr>
      </w:pPr>
      <w:r>
        <w:rPr>
          <w:rFonts w:ascii="Arial" w:cs="Arial" w:eastAsia="Arial" w:hAnsi="Arial"/>
          <w:sz w:val="20"/>
          <w:szCs w:val="20"/>
          <w:i w:val="1"/>
          <w:iCs w:val="1"/>
          <w:color w:val="auto"/>
        </w:rPr>
        <w:t>Inventories</w:t>
      </w:r>
      <w:r>
        <w:rPr>
          <w:rFonts w:ascii="Arial" w:cs="Arial" w:eastAsia="Arial" w:hAnsi="Arial"/>
          <w:sz w:val="20"/>
          <w:szCs w:val="20"/>
          <w:color w:val="auto"/>
        </w:rPr>
        <w:t>—The Company’s inventory is valued at the lower of cost or net realizable value, using the first-in, first-out inventory</w:t>
      </w:r>
      <w:r>
        <w:rPr>
          <w:rFonts w:ascii="Arial" w:cs="Arial" w:eastAsia="Arial" w:hAnsi="Arial"/>
          <w:sz w:val="20"/>
          <w:szCs w:val="20"/>
          <w:i w:val="1"/>
          <w:iCs w:val="1"/>
          <w:color w:val="auto"/>
        </w:rPr>
        <w:t xml:space="preserve"> </w:t>
      </w:r>
      <w:r>
        <w:rPr>
          <w:rFonts w:ascii="Arial" w:cs="Arial" w:eastAsia="Arial" w:hAnsi="Arial"/>
          <w:sz w:val="20"/>
          <w:szCs w:val="20"/>
          <w:color w:val="auto"/>
        </w:rPr>
        <w:t>costing method. 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251" w:lineRule="exact"/>
        <w:rPr>
          <w:sz w:val="20"/>
          <w:szCs w:val="20"/>
          <w:color w:val="auto"/>
        </w:rPr>
      </w:pPr>
    </w:p>
    <w:p>
      <w:pPr>
        <w:ind w:left="6" w:right="100"/>
        <w:spacing w:after="0" w:line="270" w:lineRule="auto"/>
        <w:rPr>
          <w:sz w:val="20"/>
          <w:szCs w:val="20"/>
          <w:color w:val="auto"/>
        </w:rPr>
      </w:pPr>
      <w:r>
        <w:rPr>
          <w:rFonts w:ascii="Arial" w:cs="Arial" w:eastAsia="Arial" w:hAnsi="Arial"/>
          <w:sz w:val="18"/>
          <w:szCs w:val="18"/>
          <w:i w:val="1"/>
          <w:iCs w:val="1"/>
          <w:color w:val="auto"/>
        </w:rPr>
        <w:t>Property, plant and equipment</w:t>
      </w:r>
      <w:r>
        <w:rPr>
          <w:rFonts w:ascii="Arial" w:cs="Arial" w:eastAsia="Arial" w:hAnsi="Arial"/>
          <w:sz w:val="18"/>
          <w:szCs w:val="18"/>
          <w:color w:val="auto"/>
        </w:rPr>
        <w:t>—Property, plant and equipment are carried at the cost of acquisition or construction and depreciated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estimated useful lives of the assets. Depreciation and amortization are provided using the straight-line method in amounts sufficient to amortize the cost of the assets over their estimated useful lives (buildings and improvements—generally five to 40 years;</w:t>
      </w:r>
    </w:p>
    <w:p>
      <w:pPr>
        <w:spacing w:after="0" w:line="23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F-9</w:t>
      </w:r>
    </w:p>
    <w:p>
      <w:pPr>
        <w:sectPr>
          <w:pgSz w:w="11880" w:h="15480" w:orient="portrait"/>
          <w:cols w:equalWidth="0" w:num="1">
            <w:col w:w="10686"/>
          </w:cols>
          <w:pgMar w:left="594" w:top="837" w:right="600" w:bottom="46" w:gutter="0" w:footer="0" w:header="0"/>
        </w:sectPr>
      </w:pPr>
    </w:p>
    <w:bookmarkStart w:id="69" w:name="page70"/>
    <w:bookmarkEnd w:id="69"/>
    <w:p>
      <w:pPr>
        <w:ind w:right="140"/>
        <w:spacing w:after="0" w:line="233" w:lineRule="auto"/>
        <w:rPr>
          <w:sz w:val="20"/>
          <w:szCs w:val="20"/>
          <w:color w:val="auto"/>
        </w:rPr>
      </w:pPr>
      <w:r>
        <w:rPr>
          <w:rFonts w:ascii="Arial" w:cs="Arial" w:eastAsia="Arial" w:hAnsi="Arial"/>
          <w:sz w:val="20"/>
          <w:szCs w:val="20"/>
          <w:color w:val="auto"/>
        </w:rPr>
        <w:t>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250"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 life intangible assets are comprised of tradenames, while finite life intangible assets are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customer lists, and tradenames. Finite life intangible assets are amortized on a straight line or accelerated basis over their estimated useful lives of seven to 10 years for technology, five to 20 years for customer lists, and 10 years for tradenames.</w:t>
      </w:r>
    </w:p>
    <w:p>
      <w:pPr>
        <w:spacing w:after="0" w:line="223"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i w:val="1"/>
          <w:iCs w:val="1"/>
          <w:color w:val="auto"/>
        </w:rPr>
        <w:t>Long-lived assets</w:t>
      </w:r>
      <w:r>
        <w:rPr>
          <w:rFonts w:ascii="Arial" w:cs="Arial" w:eastAsia="Arial" w:hAnsi="Arial"/>
          <w:sz w:val="16"/>
          <w:szCs w:val="16"/>
          <w:color w:val="auto"/>
        </w:rPr>
        <w:t>—Property, plant and equipment and finite life intangible assets are reviewed whenever events or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occur that 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This analysis requires management judgment with respect to changes in technology, the continued success of product lines, and future volume, revenue and expense growth rates. The Company conducts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200" w:lineRule="exact"/>
        <w:rPr>
          <w:sz w:val="20"/>
          <w:szCs w:val="20"/>
          <w:color w:val="auto"/>
        </w:rPr>
      </w:pPr>
    </w:p>
    <w:p>
      <w:pPr>
        <w:spacing w:after="0" w:line="228"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22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Company completes an impairment assessment annually as of October 1 of its indefinite life intangible assets, or more often as circumstances require. As a part of its annual assessment, typically, the Company first qualitatively assesses whether current events or changes in circumstances lead to a determination that it is more likely than not, as defined as a likelihood of more than 50 percent, that the fair value of an asset is less than its carrying amount. If there is a qualitative determination that the fair value of a particular asset is more likely than not greater than its carrying value, the Company does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230"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i w:val="1"/>
          <w:iCs w:val="1"/>
          <w:color w:val="auto"/>
        </w:rPr>
        <w:t>Goodwill</w:t>
      </w:r>
      <w:r>
        <w:rPr>
          <w:rFonts w:ascii="Arial" w:cs="Arial" w:eastAsia="Arial" w:hAnsi="Arial"/>
          <w:sz w:val="19"/>
          <w:szCs w:val="19"/>
          <w:color w:val="auto"/>
        </w:rPr>
        <w:t>—The Company completes an impairment assessment annually as of October 1, or more often as circumstances require, of</w:t>
      </w:r>
      <w:r>
        <w:rPr>
          <w:rFonts w:ascii="Arial" w:cs="Arial" w:eastAsia="Arial" w:hAnsi="Arial"/>
          <w:sz w:val="19"/>
          <w:szCs w:val="19"/>
          <w:i w:val="1"/>
          <w:iCs w:val="1"/>
          <w:color w:val="auto"/>
        </w:rPr>
        <w:t xml:space="preserve"> </w:t>
      </w:r>
      <w:r>
        <w:rPr>
          <w:rFonts w:ascii="Arial" w:cs="Arial" w:eastAsia="Arial" w:hAnsi="Arial"/>
          <w:sz w:val="19"/>
          <w:szCs w:val="19"/>
          <w:color w:val="auto"/>
        </w:rPr>
        <w:t>its goodwill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240"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i w:val="1"/>
          <w:iCs w:val="1"/>
          <w:color w:val="auto"/>
        </w:rPr>
        <w:t>Deferred financing costs</w:t>
      </w:r>
      <w:r>
        <w:rPr>
          <w:rFonts w:ascii="Arial" w:cs="Arial" w:eastAsia="Arial" w:hAnsi="Arial"/>
          <w:sz w:val="18"/>
          <w:szCs w:val="18"/>
          <w:color w:val="auto"/>
        </w:rPr>
        <w:t>—Deferred financing costs are amortized to interest expense over the life of the related loan. In fiscal 2021,</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entered into Amendment No.2 to the Second Amended and Restated Credit Agreement (the “Credit Facility”).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In fiscal 2023, the Company entered into Amendment No.4 to the to the Second Amended and Restated Credit Agreement. In connection with this amendment, the Company incurred $0.4 million in customary closing fees in the fourth quarter of 2023 that were capitalized and classified as a debt discount (see Note 8). Amortization expense was $0.4 million, $0.4 million and $0.4 million for 2023, 2022 and 2021, respectively. As of December 31, 2023, and 2022, remaining capitalized deferred financing costs of $1.3 million and $1.5 million, respectively, are included as a discount to debt in the accompanying Consolidated Balance Sheets.</w:t>
      </w:r>
    </w:p>
    <w:p>
      <w:pPr>
        <w:spacing w:after="0" w:line="229" w:lineRule="exact"/>
        <w:rPr>
          <w:sz w:val="20"/>
          <w:szCs w:val="20"/>
          <w:color w:val="auto"/>
        </w:rPr>
      </w:pPr>
    </w:p>
    <w:p>
      <w:pPr>
        <w:ind w:right="180"/>
        <w:spacing w:after="0" w:line="249" w:lineRule="auto"/>
        <w:rPr>
          <w:sz w:val="20"/>
          <w:szCs w:val="20"/>
          <w:color w:val="auto"/>
        </w:rPr>
      </w:pPr>
      <w:r>
        <w:rPr>
          <w:rFonts w:ascii="Arial" w:cs="Arial" w:eastAsia="Arial" w:hAnsi="Arial"/>
          <w:sz w:val="19"/>
          <w:szCs w:val="19"/>
          <w:i w:val="1"/>
          <w:iCs w:val="1"/>
          <w:color w:val="auto"/>
        </w:rPr>
        <w:t>Revenue recognition</w:t>
      </w:r>
      <w:r>
        <w:rPr>
          <w:rFonts w:ascii="Arial" w:cs="Arial" w:eastAsia="Arial" w:hAnsi="Arial"/>
          <w:sz w:val="19"/>
          <w:szCs w:val="19"/>
          <w:color w:val="auto"/>
        </w:rPr>
        <w:t>—A significant portion of the Company's revenue is derived from fixed-price contracts. The Company accounts</w:t>
      </w:r>
      <w:r>
        <w:rPr>
          <w:rFonts w:ascii="Arial" w:cs="Arial" w:eastAsia="Arial" w:hAnsi="Arial"/>
          <w:sz w:val="19"/>
          <w:szCs w:val="19"/>
          <w:i w:val="1"/>
          <w:iCs w:val="1"/>
          <w:color w:val="auto"/>
        </w:rPr>
        <w:t xml:space="preserve"> </w:t>
      </w:r>
      <w:r>
        <w:rPr>
          <w:rFonts w:ascii="Arial" w:cs="Arial" w:eastAsia="Arial" w:hAnsi="Arial"/>
          <w:sz w:val="19"/>
          <w:szCs w:val="19"/>
          <w:color w:val="auto"/>
        </w:rPr>
        <w:t>for a contract after it has been approved by all parties to the arrangement, the rights of the parties are identified, payment terms are identified, the contract has commercial substance and collectability of consideration is probable.</w:t>
      </w:r>
    </w:p>
    <w:p>
      <w:pPr>
        <w:spacing w:after="0" w:line="239" w:lineRule="exact"/>
        <w:rPr>
          <w:sz w:val="20"/>
          <w:szCs w:val="20"/>
          <w:color w:val="auto"/>
        </w:rPr>
      </w:pPr>
    </w:p>
    <w:p>
      <w:pPr>
        <w:ind w:right="260"/>
        <w:spacing w:after="0" w:line="319" w:lineRule="auto"/>
        <w:rPr>
          <w:sz w:val="20"/>
          <w:szCs w:val="20"/>
          <w:color w:val="auto"/>
        </w:rPr>
      </w:pPr>
      <w:r>
        <w:rPr>
          <w:rFonts w:ascii="Arial" w:cs="Arial" w:eastAsia="Arial" w:hAnsi="Arial"/>
          <w:sz w:val="16"/>
          <w:szCs w:val="16"/>
          <w:color w:val="auto"/>
        </w:rPr>
        <w:t>For each contract, the Company assesses the goods and services promised to a customer and identifies a performance obligation for each distinct promised good or service. The typical life of contracts is generally less than 12 months and each contract generally contains only one performance obligation, to provide goods or services to the customer. The Company determines the transaction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F-10</w:t>
      </w:r>
    </w:p>
    <w:p>
      <w:pPr>
        <w:sectPr>
          <w:pgSz w:w="11880" w:h="15480" w:orient="portrait"/>
          <w:cols w:equalWidth="0" w:num="1">
            <w:col w:w="10680"/>
          </w:cols>
          <w:pgMar w:left="600" w:top="849" w:right="600" w:bottom="46" w:gutter="0" w:footer="0" w:header="0"/>
        </w:sectPr>
      </w:pPr>
    </w:p>
    <w:bookmarkStart w:id="70" w:name="page71"/>
    <w:bookmarkEnd w:id="70"/>
    <w:p>
      <w:pPr>
        <w:ind w:right="220"/>
        <w:spacing w:after="0" w:line="232" w:lineRule="auto"/>
        <w:rPr>
          <w:sz w:val="20"/>
          <w:szCs w:val="20"/>
          <w:color w:val="auto"/>
        </w:rPr>
      </w:pPr>
      <w:r>
        <w:rPr>
          <w:rFonts w:ascii="Arial" w:cs="Arial" w:eastAsia="Arial" w:hAnsi="Arial"/>
          <w:sz w:val="20"/>
          <w:szCs w:val="20"/>
          <w:color w:val="auto"/>
        </w:rPr>
        <w:t>price for each contract based on the consideration the Company expects to receive for the products or services being provided under the contract.</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The Company recognizes revenue as performance obligations are satisfied and the customer obtains control of the products and services. A significant amount of the Company's revenue is recognized over a period of time as the Company performs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70% of total revenue for the years ended December 31, 2023, 2022, and 2021.</w:t>
      </w:r>
    </w:p>
    <w:p>
      <w:pPr>
        <w:spacing w:after="0" w:line="239" w:lineRule="exact"/>
        <w:rPr>
          <w:sz w:val="20"/>
          <w:szCs w:val="20"/>
          <w:color w:val="auto"/>
        </w:rPr>
      </w:pPr>
    </w:p>
    <w:p>
      <w:pPr>
        <w:ind w:right="120"/>
        <w:spacing w:after="0" w:line="235" w:lineRule="auto"/>
        <w:rPr>
          <w:sz w:val="20"/>
          <w:szCs w:val="20"/>
          <w:color w:val="auto"/>
        </w:rPr>
      </w:pPr>
      <w:r>
        <w:rPr>
          <w:rFonts w:ascii="Arial" w:cs="Arial" w:eastAsia="Arial" w:hAnsi="Arial"/>
          <w:sz w:val="20"/>
          <w:szCs w:val="20"/>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 Annual revenue recognized at a point in time is approximately 30% of total revenue for the years ended December 31, 2023, 2022, and 2021.</w:t>
      </w:r>
    </w:p>
    <w:p>
      <w:pPr>
        <w:spacing w:after="0" w:line="247" w:lineRule="exact"/>
        <w:rPr>
          <w:sz w:val="20"/>
          <w:szCs w:val="20"/>
          <w:color w:val="auto"/>
        </w:rPr>
      </w:pPr>
    </w:p>
    <w:p>
      <w:pPr>
        <w:ind w:right="120"/>
        <w:spacing w:after="0" w:line="249" w:lineRule="auto"/>
        <w:rPr>
          <w:sz w:val="20"/>
          <w:szCs w:val="20"/>
          <w:color w:val="auto"/>
        </w:rPr>
      </w:pPr>
      <w:r>
        <w:rPr>
          <w:rFonts w:ascii="Arial" w:cs="Arial" w:eastAsia="Arial" w:hAnsi="Arial"/>
          <w:sz w:val="19"/>
          <w:szCs w:val="19"/>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24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i w:val="1"/>
          <w:iCs w:val="1"/>
          <w:color w:val="auto"/>
        </w:rPr>
        <w:t xml:space="preserve">Contract Assets and Contract Liabilities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Contract assets consist of costs and earnings in excess of billings, costs incurred for</w:t>
      </w:r>
      <w:r>
        <w:rPr>
          <w:rFonts w:ascii="Arial" w:cs="Arial" w:eastAsia="Arial" w:hAnsi="Arial"/>
          <w:sz w:val="20"/>
          <w:szCs w:val="20"/>
          <w:i w:val="1"/>
          <w:iCs w:val="1"/>
          <w:color w:val="auto"/>
        </w:rPr>
        <w:t xml:space="preserve"> </w:t>
      </w:r>
      <w:r>
        <w:rPr>
          <w:rFonts w:ascii="Arial" w:cs="Arial" w:eastAsia="Arial" w:hAnsi="Arial"/>
          <w:sz w:val="20"/>
          <w:szCs w:val="20"/>
          <w:color w:val="auto"/>
        </w:rPr>
        <w:t>contracts recognized at a 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25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accounts payable and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226"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As of the beginning of the prior year period, or January 1, 2022, costs and estimated earnings in excess of billings on uncompleted contracts and billings in excess of costs and estimated earnings on uncompleted contracts were $51.4 million and $28.9 million, respectively. The contract liabilities recorded in “Accrued expenses” on the Consolidated Balance Sheets were $4.4 million as of January 1, 2022. Approximately 95% of the Company's contract liabilities as of December 31, 2022 were recognized as revenue in the year ended December 31, 2023. Approximately 75% of the Company's contract liabilities as of December 31, 2021 were recognized as revenue in the year ended December 31, 2022. Approximately 75% of the Company's contract liabilities as of December 31, 2020 were recognized as revenue in the year ended December 31, 2021.</w:t>
      </w:r>
    </w:p>
    <w:p>
      <w:pPr>
        <w:spacing w:after="0" w:line="246"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The revenue streams within the Company are consistent with those disclosed for the Company's reportable segments. See Note 15 to the Consolidated Financial Statements for additional information on product offerings and segments.</w:t>
      </w:r>
    </w:p>
    <w:p>
      <w:pPr>
        <w:spacing w:after="0" w:line="247"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2023 and 2022.</w:t>
      </w:r>
    </w:p>
    <w:p>
      <w:pPr>
        <w:spacing w:after="0" w:line="249" w:lineRule="exact"/>
        <w:rPr>
          <w:sz w:val="20"/>
          <w:szCs w:val="20"/>
          <w:color w:val="auto"/>
        </w:rPr>
      </w:pPr>
    </w:p>
    <w:p>
      <w:pPr>
        <w:ind w:right="680"/>
        <w:spacing w:after="0" w:line="232" w:lineRule="auto"/>
        <w:rPr>
          <w:sz w:val="20"/>
          <w:szCs w:val="20"/>
          <w:color w:val="auto"/>
        </w:rPr>
      </w:pPr>
      <w:r>
        <w:rPr>
          <w:rFonts w:ascii="Arial" w:cs="Arial" w:eastAsia="Arial" w:hAnsi="Arial"/>
          <w:sz w:val="20"/>
          <w:szCs w:val="20"/>
          <w:i w:val="1"/>
          <w:iCs w:val="1"/>
          <w:color w:val="auto"/>
        </w:rPr>
        <w:t>Cost of sales</w:t>
      </w:r>
      <w:r>
        <w:rPr>
          <w:rFonts w:ascii="Arial" w:cs="Arial" w:eastAsia="Arial" w:hAnsi="Arial"/>
          <w:sz w:val="20"/>
          <w:szCs w:val="20"/>
          <w:color w:val="auto"/>
        </w:rPr>
        <w:t>—Cost of sales amounts include materials, subcontract costs, direct labor and associated benefits, inbound freight</w:t>
      </w:r>
      <w:r>
        <w:rPr>
          <w:rFonts w:ascii="Arial" w:cs="Arial" w:eastAsia="Arial" w:hAnsi="Arial"/>
          <w:sz w:val="20"/>
          <w:szCs w:val="20"/>
          <w:i w:val="1"/>
          <w:iCs w:val="1"/>
          <w:color w:val="auto"/>
        </w:rPr>
        <w:t xml:space="preserve"> </w:t>
      </w:r>
      <w:r>
        <w:rPr>
          <w:rFonts w:ascii="Arial" w:cs="Arial" w:eastAsia="Arial" w:hAnsi="Arial"/>
          <w:sz w:val="20"/>
          <w:szCs w:val="20"/>
          <w:color w:val="auto"/>
        </w:rPr>
        <w:t>charges, purchasing and receiving, inspection, warehousing, and depreciation.</w:t>
      </w:r>
    </w:p>
    <w:p>
      <w:pPr>
        <w:spacing w:after="0" w:line="247"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i w:val="1"/>
          <w:iCs w:val="1"/>
          <w:color w:val="auto"/>
        </w:rPr>
        <w:t>Claims</w:t>
      </w:r>
      <w:r>
        <w:rPr>
          <w:rFonts w:ascii="Arial" w:cs="Arial" w:eastAsia="Arial" w:hAnsi="Arial"/>
          <w:sz w:val="16"/>
          <w:szCs w:val="16"/>
          <w:color w:val="auto"/>
        </w:rPr>
        <w:t>—Change orders arise when the scope of the original project is modified for any of a variety of reasons.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negotiate the extent of the modifications, its expected costs and recovery with the customer. Costs related to change orders are added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F-11</w:t>
      </w:r>
    </w:p>
    <w:p>
      <w:pPr>
        <w:sectPr>
          <w:pgSz w:w="11880" w:h="15480" w:orient="portrait"/>
          <w:cols w:equalWidth="0" w:num="1">
            <w:col w:w="10680"/>
          </w:cols>
          <w:pgMar w:left="600" w:top="849" w:right="600" w:bottom="46" w:gutter="0" w:footer="0" w:header="0"/>
        </w:sectPr>
      </w:pPr>
    </w:p>
    <w:bookmarkStart w:id="71" w:name="page72"/>
    <w:bookmarkEnd w:id="71"/>
    <w:p>
      <w:pPr>
        <w:ind w:right="120"/>
        <w:spacing w:after="0" w:line="234" w:lineRule="auto"/>
        <w:rPr>
          <w:sz w:val="20"/>
          <w:szCs w:val="20"/>
          <w:color w:val="auto"/>
        </w:rPr>
      </w:pPr>
      <w:r>
        <w:rPr>
          <w:rFonts w:ascii="Arial" w:cs="Arial" w:eastAsia="Arial" w:hAnsi="Arial"/>
          <w:sz w:val="20"/>
          <w:szCs w:val="20"/>
          <w:color w:val="auto"/>
        </w:rPr>
        <w:t>to the expected total cost of the project.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251"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24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227"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25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Pre-contract costs</w:t>
      </w:r>
      <w:r>
        <w:rPr>
          <w:rFonts w:ascii="Arial" w:cs="Arial" w:eastAsia="Arial" w:hAnsi="Arial"/>
          <w:sz w:val="16"/>
          <w:szCs w:val="16"/>
          <w:color w:val="auto"/>
        </w:rPr>
        <w:t>—Pre-contract costs are not significant and are primarily internal costs. As most of the Company’s contracts are one</w:t>
      </w:r>
      <w:r>
        <w:rPr>
          <w:rFonts w:ascii="Arial" w:cs="Arial" w:eastAsia="Arial" w:hAnsi="Arial"/>
          <w:sz w:val="16"/>
          <w:szCs w:val="16"/>
          <w:i w:val="1"/>
          <w:iCs w:val="1"/>
          <w:color w:val="auto"/>
        </w:rPr>
        <w:t xml:space="preserve"> </w:t>
      </w:r>
      <w:r>
        <w:rPr>
          <w:rFonts w:ascii="Arial" w:cs="Arial" w:eastAsia="Arial" w:hAnsi="Arial"/>
          <w:sz w:val="16"/>
          <w:szCs w:val="16"/>
          <w:color w:val="auto"/>
        </w:rPr>
        <w:t>year or less, the Company expenses all pre-contract costs as incurred regardless of whether or not the bids are successful. A majority of the Company's business is obtained through a bidding process and this activity is on-going with multiple bids in process at any one time. These costs consist primarily of engineering, sales and project manager wages, fringes and general corporate overhead.</w:t>
      </w:r>
    </w:p>
    <w:p>
      <w:pPr>
        <w:spacing w:after="0" w:line="19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Selling and administrative expenses</w:t>
      </w:r>
      <w:r>
        <w:rPr>
          <w:rFonts w:ascii="Arial" w:cs="Arial" w:eastAsia="Arial" w:hAnsi="Arial"/>
          <w:sz w:val="16"/>
          <w:szCs w:val="16"/>
          <w:color w:val="auto"/>
        </w:rPr>
        <w:t>—Selling and administrative expenses on the Consolidated Statements of Income include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administrative wages and associated benefits, selling and office expenses, professional fees, bad debt expense and depreciation. Selling and administrative expenses are charged to expense as incurred. Selling and administrative expenses for the years ended December 31, 2023, 2022, and 2021 included $0.6 million, $0.5 million, and $0.7 million of advertising expenses, respectively.</w:t>
      </w:r>
    </w:p>
    <w:p>
      <w:pPr>
        <w:spacing w:after="0" w:line="193"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i w:val="1"/>
          <w:iCs w:val="1"/>
          <w:color w:val="auto"/>
        </w:rPr>
        <w:t>Acquisition and integration expenses</w:t>
      </w:r>
      <w:r>
        <w:rPr>
          <w:rFonts w:ascii="Arial" w:cs="Arial" w:eastAsia="Arial" w:hAnsi="Arial"/>
          <w:sz w:val="20"/>
          <w:szCs w:val="20"/>
          <w:color w:val="auto"/>
        </w:rPr>
        <w:t>—Acquisition and integration expenses on the Consolidated Statements of Income are related to</w:t>
      </w:r>
      <w:r>
        <w:rPr>
          <w:rFonts w:ascii="Arial" w:cs="Arial" w:eastAsia="Arial" w:hAnsi="Arial"/>
          <w:sz w:val="20"/>
          <w:szCs w:val="20"/>
          <w:i w:val="1"/>
          <w:iCs w:val="1"/>
          <w:color w:val="auto"/>
        </w:rPr>
        <w:t xml:space="preserve"> </w:t>
      </w:r>
      <w:r>
        <w:rPr>
          <w:rFonts w:ascii="Arial" w:cs="Arial" w:eastAsia="Arial" w:hAnsi="Arial"/>
          <w:sz w:val="20"/>
          <w:szCs w:val="20"/>
          <w:color w:val="auto"/>
        </w:rPr>
        <w:t>acquisition activities, which include, legal, accounting, and other expenses.</w:t>
      </w:r>
    </w:p>
    <w:p>
      <w:pPr>
        <w:spacing w:after="0" w:line="247" w:lineRule="exact"/>
        <w:rPr>
          <w:sz w:val="20"/>
          <w:szCs w:val="20"/>
          <w:color w:val="auto"/>
        </w:rPr>
      </w:pPr>
    </w:p>
    <w:p>
      <w:pPr>
        <w:ind w:right="860"/>
        <w:spacing w:after="0" w:line="341" w:lineRule="auto"/>
        <w:rPr>
          <w:sz w:val="20"/>
          <w:szCs w:val="20"/>
          <w:color w:val="auto"/>
        </w:rPr>
      </w:pPr>
      <w:r>
        <w:rPr>
          <w:rFonts w:ascii="Arial" w:cs="Arial" w:eastAsia="Arial" w:hAnsi="Arial"/>
          <w:sz w:val="16"/>
          <w:szCs w:val="16"/>
          <w:i w:val="1"/>
          <w:iCs w:val="1"/>
          <w:color w:val="auto"/>
        </w:rPr>
        <w:t>Amortization and earnout expenses</w:t>
      </w:r>
      <w:r>
        <w:rPr>
          <w:rFonts w:ascii="Arial" w:cs="Arial" w:eastAsia="Arial" w:hAnsi="Arial"/>
          <w:sz w:val="16"/>
          <w:szCs w:val="16"/>
          <w:color w:val="auto"/>
        </w:rPr>
        <w:t>—Amortization and earnout expenses on the Consolidated Statements of Income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of intangible assets, and changes to earnout and contingent compensation amounts related to acquisitions.</w:t>
      </w:r>
    </w:p>
    <w:p>
      <w:pPr>
        <w:spacing w:after="0" w:line="171"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i w:val="1"/>
          <w:iCs w:val="1"/>
          <w:color w:val="auto"/>
        </w:rPr>
        <w:t>Restructuring expenses</w:t>
      </w:r>
      <w:r>
        <w:rPr>
          <w:rFonts w:ascii="Arial" w:cs="Arial" w:eastAsia="Arial" w:hAnsi="Arial"/>
          <w:sz w:val="20"/>
          <w:szCs w:val="20"/>
          <w:color w:val="auto"/>
        </w:rPr>
        <w:t>—Restructuring expenses on the Consolidated Statements of Income include expenses related to ongoing</w:t>
      </w:r>
      <w:r>
        <w:rPr>
          <w:rFonts w:ascii="Arial" w:cs="Arial" w:eastAsia="Arial" w:hAnsi="Arial"/>
          <w:sz w:val="20"/>
          <w:szCs w:val="20"/>
          <w:i w:val="1"/>
          <w:iCs w:val="1"/>
          <w:color w:val="auto"/>
        </w:rPr>
        <w:t xml:space="preserve"> </w:t>
      </w:r>
      <w:r>
        <w:rPr>
          <w:rFonts w:ascii="Arial" w:cs="Arial" w:eastAsia="Arial" w:hAnsi="Arial"/>
          <w:sz w:val="20"/>
          <w:szCs w:val="20"/>
          <w:color w:val="auto"/>
        </w:rPr>
        <w:t>restructuring programs to reduce operating costs in the 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247"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i w:val="1"/>
          <w:iCs w:val="1"/>
          <w:color w:val="auto"/>
        </w:rPr>
        <w:t>Executive transition expenses</w:t>
      </w:r>
      <w:r>
        <w:rPr>
          <w:rFonts w:ascii="Arial" w:cs="Arial" w:eastAsia="Arial" w:hAnsi="Arial"/>
          <w:sz w:val="20"/>
          <w:szCs w:val="20"/>
          <w:color w:val="auto"/>
        </w:rPr>
        <w:t>—Executive transition expenses on the Consolidated Statements of Income include expenses related to</w:t>
      </w:r>
      <w:r>
        <w:rPr>
          <w:rFonts w:ascii="Arial" w:cs="Arial" w:eastAsia="Arial" w:hAnsi="Arial"/>
          <w:sz w:val="20"/>
          <w:szCs w:val="20"/>
          <w:i w:val="1"/>
          <w:iCs w:val="1"/>
          <w:color w:val="auto"/>
        </w:rPr>
        <w:t xml:space="preserve"> </w:t>
      </w:r>
      <w:r>
        <w:rPr>
          <w:rFonts w:ascii="Arial" w:cs="Arial" w:eastAsia="Arial" w:hAnsi="Arial"/>
          <w:sz w:val="20"/>
          <w:szCs w:val="20"/>
          <w:color w:val="auto"/>
        </w:rPr>
        <w:t>the severance for the Company’s former executives, as well as fees and expenses incurred in the search for, and hiring of, new executives.</w:t>
      </w:r>
    </w:p>
    <w:p>
      <w:pPr>
        <w:spacing w:after="0" w:line="250" w:lineRule="exact"/>
        <w:rPr>
          <w:sz w:val="20"/>
          <w:szCs w:val="20"/>
          <w:color w:val="auto"/>
        </w:rPr>
      </w:pPr>
    </w:p>
    <w:p>
      <w:pPr>
        <w:ind w:right="260"/>
        <w:spacing w:after="0" w:line="341" w:lineRule="auto"/>
        <w:rPr>
          <w:sz w:val="20"/>
          <w:szCs w:val="20"/>
          <w:color w:val="auto"/>
        </w:rPr>
      </w:pPr>
      <w:r>
        <w:rPr>
          <w:rFonts w:ascii="Arial" w:cs="Arial" w:eastAsia="Arial" w:hAnsi="Arial"/>
          <w:sz w:val="16"/>
          <w:szCs w:val="16"/>
          <w:i w:val="1"/>
          <w:iCs w:val="1"/>
          <w:color w:val="auto"/>
        </w:rPr>
        <w:t>Product warranties</w:t>
      </w:r>
      <w:r>
        <w:rPr>
          <w:rFonts w:ascii="Arial" w:cs="Arial" w:eastAsia="Arial" w:hAnsi="Arial"/>
          <w:sz w:val="16"/>
          <w:szCs w:val="16"/>
          <w:color w:val="auto"/>
        </w:rPr>
        <w:t>—The Company’s warranty reserve is to cover the products sold. The warranty accrual is based on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claims information. The warranty reserve is reviewed and adjusted as necessary on a quarterly basis and is presented within Note 7.</w:t>
      </w:r>
    </w:p>
    <w:p>
      <w:pPr>
        <w:spacing w:after="0" w:line="169"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i w:val="1"/>
          <w:iCs w:val="1"/>
          <w:color w:val="auto"/>
        </w:rPr>
        <w:t>Research and development</w:t>
      </w:r>
      <w:r>
        <w:rPr>
          <w:rFonts w:ascii="Arial" w:cs="Arial" w:eastAsia="Arial" w:hAnsi="Arial"/>
          <w:sz w:val="20"/>
          <w:szCs w:val="20"/>
          <w:color w:val="auto"/>
        </w:rPr>
        <w:t>—Although not technically defined as research and development, a significant amount of time, effort and</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is devoted to custom engineering which qualifies products for specific customer applications, developing proprietary process technology and partnering with customers to develop new products.</w:t>
      </w:r>
    </w:p>
    <w:p>
      <w:pPr>
        <w:spacing w:after="0" w:line="249"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Income taxes are determined using the asset and liability method of accounting for income taxes in accordance with</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Accounting Standards Board (“FASB”), Accounting Standards Codification (“ASC”) Topic 740, “Income Taxes”. Income tax expense includes federal, state and foreign income taxes.</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F-12</w:t>
      </w:r>
    </w:p>
    <w:p>
      <w:pPr>
        <w:sectPr>
          <w:pgSz w:w="11880" w:h="15480" w:orient="portrait"/>
          <w:cols w:equalWidth="0" w:num="1">
            <w:col w:w="10680"/>
          </w:cols>
          <w:pgMar w:left="600" w:top="849" w:right="600" w:bottom="46" w:gutter="0" w:footer="0" w:header="0"/>
        </w:sectPr>
      </w:pPr>
    </w:p>
    <w:bookmarkStart w:id="72" w:name="page73"/>
    <w:bookmarkEnd w:id="72"/>
    <w:p>
      <w:pPr>
        <w:ind w:right="240"/>
        <w:spacing w:after="0" w:line="276" w:lineRule="auto"/>
        <w:rPr>
          <w:sz w:val="20"/>
          <w:szCs w:val="20"/>
          <w:color w:val="auto"/>
        </w:rPr>
      </w:pPr>
      <w:r>
        <w:rPr>
          <w:rFonts w:ascii="Arial" w:cs="Arial" w:eastAsia="Arial" w:hAnsi="Arial"/>
          <w:sz w:val="18"/>
          <w:szCs w:val="18"/>
          <w:color w:val="auto"/>
        </w:rPr>
        <w:t>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216" w:lineRule="exact"/>
        <w:rPr>
          <w:sz w:val="20"/>
          <w:szCs w:val="20"/>
          <w:color w:val="auto"/>
        </w:rPr>
      </w:pPr>
    </w:p>
    <w:p>
      <w:pPr>
        <w:ind w:right="300"/>
        <w:spacing w:after="0" w:line="250" w:lineRule="auto"/>
        <w:rPr>
          <w:sz w:val="20"/>
          <w:szCs w:val="20"/>
          <w:color w:val="auto"/>
        </w:rPr>
      </w:pPr>
      <w:r>
        <w:rPr>
          <w:rFonts w:ascii="Arial" w:cs="Arial" w:eastAsia="Arial" w:hAnsi="Arial"/>
          <w:sz w:val="19"/>
          <w:szCs w:val="19"/>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238"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239" w:lineRule="exact"/>
        <w:rPr>
          <w:sz w:val="20"/>
          <w:szCs w:val="20"/>
          <w:color w:val="auto"/>
        </w:rPr>
      </w:pPr>
    </w:p>
    <w:p>
      <w:pPr>
        <w:ind w:right="400"/>
        <w:spacing w:after="0" w:line="234" w:lineRule="auto"/>
        <w:rPr>
          <w:sz w:val="20"/>
          <w:szCs w:val="20"/>
          <w:color w:val="auto"/>
        </w:rPr>
      </w:pPr>
      <w:r>
        <w:rPr>
          <w:rFonts w:ascii="Arial" w:cs="Arial" w:eastAsia="Arial" w:hAnsi="Arial"/>
          <w:sz w:val="20"/>
          <w:szCs w:val="20"/>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249"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242"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i w:val="1"/>
          <w:iCs w:val="1"/>
          <w:color w:val="auto"/>
        </w:rPr>
        <w:t>Earnings per share</w:t>
      </w:r>
      <w:r>
        <w:rPr>
          <w:rFonts w:ascii="Arial" w:cs="Arial" w:eastAsia="Arial" w:hAnsi="Arial"/>
          <w:sz w:val="20"/>
          <w:szCs w:val="20"/>
          <w:color w:val="auto"/>
        </w:rPr>
        <w:t>—The following table reconciles the numerators and denominators used to calculate basic and diluted earnings per</w:t>
      </w:r>
      <w:r>
        <w:rPr>
          <w:rFonts w:ascii="Arial" w:cs="Arial" w:eastAsia="Arial" w:hAnsi="Arial"/>
          <w:sz w:val="20"/>
          <w:szCs w:val="20"/>
          <w:i w:val="1"/>
          <w:iCs w:val="1"/>
          <w:color w:val="auto"/>
        </w:rPr>
        <w:t xml:space="preserve"> </w:t>
      </w:r>
      <w:r>
        <w:rPr>
          <w:rFonts w:ascii="Arial" w:cs="Arial" w:eastAsia="Arial" w:hAnsi="Arial"/>
          <w:sz w:val="20"/>
          <w:szCs w:val="20"/>
          <w:color w:val="auto"/>
        </w:rPr>
        <w:t>share for 2023, 2022 and 2021.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rPr>
              <w:t>For the Year Ended December 31</w:t>
            </w: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5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445"/>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465"/>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5780" w:type="dxa"/>
            <w:vAlign w:val="bottom"/>
          </w:tcPr>
          <w:p>
            <w:pPr>
              <w:spacing w:after="0" w:line="217" w:lineRule="exact"/>
              <w:rPr>
                <w:sz w:val="20"/>
                <w:szCs w:val="20"/>
                <w:color w:val="auto"/>
              </w:rPr>
            </w:pPr>
            <w:r>
              <w:rPr>
                <w:rFonts w:ascii="Arial" w:cs="Arial" w:eastAsia="Arial" w:hAnsi="Arial"/>
                <w:sz w:val="20"/>
                <w:szCs w:val="20"/>
                <w:b w:val="1"/>
                <w:bCs w:val="1"/>
                <w:color w:val="auto"/>
              </w:rPr>
              <w:t>(table only in thousands)</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5780" w:type="dxa"/>
            <w:vAlign w:val="bottom"/>
          </w:tcPr>
          <w:p>
            <w:pPr>
              <w:spacing w:after="0" w:line="226" w:lineRule="exact"/>
              <w:rPr>
                <w:sz w:val="20"/>
                <w:szCs w:val="20"/>
                <w:color w:val="auto"/>
              </w:rPr>
            </w:pPr>
            <w:r>
              <w:rPr>
                <w:rFonts w:ascii="Arial" w:cs="Arial" w:eastAsia="Arial" w:hAnsi="Arial"/>
                <w:sz w:val="20"/>
                <w:szCs w:val="20"/>
                <w:b w:val="1"/>
                <w:bCs w:val="1"/>
                <w:color w:val="auto"/>
              </w:rPr>
              <w:t xml:space="preserve">Numerator </w:t>
            </w:r>
            <w:r>
              <w:rPr>
                <w:rFonts w:ascii="Arial" w:cs="Arial" w:eastAsia="Arial" w:hAnsi="Arial"/>
                <w:sz w:val="20"/>
                <w:szCs w:val="20"/>
                <w:color w:val="auto"/>
              </w:rPr>
              <w:t>(for basic and diluted earnings per share)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Net income attributable to CECO Environmental Corp.</w:t>
            </w:r>
          </w:p>
        </w:tc>
        <w:tc>
          <w:tcPr>
            <w:tcW w:w="100" w:type="dxa"/>
            <w:vAlign w:val="bottom"/>
            <w:shd w:val="clear" w:color="auto" w:fill="E9E9E9"/>
          </w:tcPr>
          <w:p>
            <w:pPr>
              <w:spacing w:after="0"/>
              <w:rPr>
                <w:sz w:val="19"/>
                <w:szCs w:val="19"/>
                <w:color w:val="auto"/>
              </w:rPr>
            </w:pPr>
          </w:p>
        </w:tc>
        <w:tc>
          <w:tcPr>
            <w:tcW w:w="880" w:type="dxa"/>
            <w:vAlign w:val="bottom"/>
            <w:shd w:val="clear" w:color="auto" w:fill="E9E9E9"/>
          </w:tcPr>
          <w:p>
            <w:pPr>
              <w:jc w:val="right"/>
              <w:ind w:right="681"/>
              <w:spacing w:after="0" w:line="228" w:lineRule="exact"/>
              <w:rPr>
                <w:sz w:val="20"/>
                <w:szCs w:val="20"/>
                <w:color w:val="auto"/>
              </w:rPr>
            </w:pPr>
            <w:r>
              <w:rPr>
                <w:rFonts w:ascii="Arial" w:cs="Arial" w:eastAsia="Arial" w:hAnsi="Arial"/>
                <w:sz w:val="20"/>
                <w:szCs w:val="20"/>
                <w:color w:val="auto"/>
                <w:w w:val="71"/>
              </w:rPr>
              <w:t>$</w:t>
            </w:r>
          </w:p>
        </w:tc>
        <w:tc>
          <w:tcPr>
            <w:tcW w:w="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84"/>
              </w:rPr>
              <w:t>12,911</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17,417</w:t>
            </w:r>
          </w:p>
        </w:tc>
        <w:tc>
          <w:tcPr>
            <w:tcW w:w="200" w:type="dxa"/>
            <w:vAlign w:val="bottom"/>
            <w:shd w:val="clear" w:color="auto" w:fill="E9E9E9"/>
          </w:tcPr>
          <w:p>
            <w:pPr>
              <w:spacing w:after="0"/>
              <w:rPr>
                <w:sz w:val="19"/>
                <w:szCs w:val="19"/>
                <w:color w:val="auto"/>
              </w:rPr>
            </w:pPr>
          </w:p>
        </w:tc>
        <w:tc>
          <w:tcPr>
            <w:tcW w:w="400" w:type="dxa"/>
            <w:vAlign w:val="bottom"/>
            <w:gridSpan w:val="2"/>
            <w:shd w:val="clear" w:color="auto" w:fill="E9E9E9"/>
          </w:tcPr>
          <w:p>
            <w:pPr>
              <w:jc w:val="right"/>
              <w:ind w:right="280"/>
              <w:spacing w:after="0" w:line="228" w:lineRule="exact"/>
              <w:rPr>
                <w:sz w:val="20"/>
                <w:szCs w:val="20"/>
                <w:color w:val="auto"/>
              </w:rPr>
            </w:pPr>
            <w:r>
              <w:rPr>
                <w:rFonts w:ascii="Arial" w:cs="Arial" w:eastAsia="Arial" w:hAnsi="Arial"/>
                <w:sz w:val="20"/>
                <w:szCs w:val="20"/>
                <w:color w:val="auto"/>
                <w:w w:val="89"/>
              </w:rPr>
              <w:t>$</w:t>
            </w:r>
          </w:p>
        </w:tc>
        <w:tc>
          <w:tcPr>
            <w:tcW w:w="10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1,426</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b w:val="1"/>
                <w:bCs w:val="1"/>
                <w:color w:val="auto"/>
              </w:rPr>
              <w:t>Denominator</w:t>
            </w:r>
          </w:p>
        </w:tc>
        <w:tc>
          <w:tcPr>
            <w:tcW w:w="100" w:type="dxa"/>
            <w:vAlign w:val="bottom"/>
            <w:shd w:val="clear" w:color="auto" w:fill="E9E9E9"/>
          </w:tcPr>
          <w:p>
            <w:pPr>
              <w:spacing w:after="0"/>
              <w:rPr>
                <w:sz w:val="19"/>
                <w:szCs w:val="19"/>
                <w:color w:val="auto"/>
              </w:rPr>
            </w:pPr>
          </w:p>
        </w:tc>
        <w:tc>
          <w:tcPr>
            <w:tcW w:w="88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380" w:type="dxa"/>
            <w:vAlign w:val="bottom"/>
            <w:shd w:val="clear" w:color="auto" w:fill="E9E9E9"/>
          </w:tcPr>
          <w:p>
            <w:pPr>
              <w:spacing w:after="0"/>
              <w:rPr>
                <w:sz w:val="19"/>
                <w:szCs w:val="19"/>
                <w:color w:val="auto"/>
              </w:rPr>
            </w:pPr>
          </w:p>
        </w:tc>
        <w:tc>
          <w:tcPr>
            <w:tcW w:w="10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5"/>
        </w:trPr>
        <w:tc>
          <w:tcPr>
            <w:tcW w:w="5780" w:type="dxa"/>
            <w:vAlign w:val="bottom"/>
          </w:tcPr>
          <w:p>
            <w:pPr>
              <w:spacing w:after="0" w:line="225" w:lineRule="exact"/>
              <w:rPr>
                <w:sz w:val="20"/>
                <w:szCs w:val="20"/>
                <w:color w:val="auto"/>
              </w:rPr>
            </w:pPr>
            <w:r>
              <w:rPr>
                <w:rFonts w:ascii="Arial" w:cs="Arial" w:eastAsia="Arial" w:hAnsi="Arial"/>
                <w:sz w:val="20"/>
                <w:szCs w:val="20"/>
                <w:color w:val="auto"/>
              </w:rPr>
              <w:t>Basic weighted-average shares outstanding</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line="225" w:lineRule="exact"/>
              <w:rPr>
                <w:sz w:val="20"/>
                <w:szCs w:val="20"/>
                <w:color w:val="auto"/>
              </w:rPr>
            </w:pPr>
            <w:r>
              <w:rPr>
                <w:rFonts w:ascii="Arial" w:cs="Arial" w:eastAsia="Arial" w:hAnsi="Arial"/>
                <w:sz w:val="20"/>
                <w:szCs w:val="20"/>
                <w:color w:val="auto"/>
                <w:w w:val="84"/>
              </w:rPr>
              <w:t>34,665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0"/>
              <w:spacing w:after="0" w:line="225" w:lineRule="exact"/>
              <w:rPr>
                <w:sz w:val="20"/>
                <w:szCs w:val="20"/>
                <w:color w:val="auto"/>
              </w:rPr>
            </w:pPr>
            <w:r>
              <w:rPr>
                <w:rFonts w:ascii="Arial" w:cs="Arial" w:eastAsia="Arial" w:hAnsi="Arial"/>
                <w:sz w:val="20"/>
                <w:szCs w:val="20"/>
                <w:color w:val="auto"/>
              </w:rPr>
              <w:t>34,672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ind w:right="100"/>
              <w:spacing w:after="0" w:line="225" w:lineRule="exact"/>
              <w:rPr>
                <w:sz w:val="20"/>
                <w:szCs w:val="20"/>
                <w:color w:val="auto"/>
              </w:rPr>
            </w:pPr>
            <w:r>
              <w:rPr>
                <w:rFonts w:ascii="Arial" w:cs="Arial" w:eastAsia="Arial" w:hAnsi="Arial"/>
                <w:sz w:val="20"/>
                <w:szCs w:val="20"/>
                <w:color w:val="auto"/>
              </w:rPr>
              <w:t>35,346</w:t>
            </w: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w w:val="96"/>
              </w:rPr>
              <w:t>Common stock equivalents arising from stock options and restricted</w:t>
            </w:r>
          </w:p>
        </w:tc>
        <w:tc>
          <w:tcPr>
            <w:tcW w:w="100" w:type="dxa"/>
            <w:vAlign w:val="bottom"/>
            <w:shd w:val="clear" w:color="auto" w:fill="E9E9E9"/>
          </w:tcPr>
          <w:p>
            <w:pPr>
              <w:spacing w:after="0"/>
              <w:rPr>
                <w:sz w:val="19"/>
                <w:szCs w:val="19"/>
                <w:color w:val="auto"/>
              </w:rPr>
            </w:pPr>
          </w:p>
        </w:tc>
        <w:tc>
          <w:tcPr>
            <w:tcW w:w="88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380" w:type="dxa"/>
            <w:vAlign w:val="bottom"/>
            <w:shd w:val="clear" w:color="auto" w:fill="E9E9E9"/>
          </w:tcPr>
          <w:p>
            <w:pPr>
              <w:spacing w:after="0"/>
              <w:rPr>
                <w:sz w:val="19"/>
                <w:szCs w:val="19"/>
                <w:color w:val="auto"/>
              </w:rPr>
            </w:pPr>
          </w:p>
        </w:tc>
        <w:tc>
          <w:tcPr>
            <w:tcW w:w="10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5780" w:type="dxa"/>
            <w:vAlign w:val="bottom"/>
            <w:tcBorders>
              <w:bottom w:val="single" w:sz="8" w:color="E9E9E9"/>
            </w:tcBorders>
            <w:shd w:val="clear" w:color="auto" w:fill="E9E9E9"/>
          </w:tcPr>
          <w:p>
            <w:pPr>
              <w:spacing w:after="0" w:line="229" w:lineRule="exact"/>
              <w:rPr>
                <w:sz w:val="20"/>
                <w:szCs w:val="20"/>
                <w:color w:val="auto"/>
              </w:rPr>
            </w:pPr>
            <w:r>
              <w:rPr>
                <w:rFonts w:ascii="Arial" w:cs="Arial" w:eastAsia="Arial" w:hAnsi="Arial"/>
                <w:sz w:val="20"/>
                <w:szCs w:val="20"/>
                <w:color w:val="auto"/>
              </w:rPr>
              <w:t>stock awards</w:t>
            </w:r>
          </w:p>
        </w:tc>
        <w:tc>
          <w:tcPr>
            <w:tcW w:w="100" w:type="dxa"/>
            <w:vAlign w:val="bottom"/>
            <w:tcBorders>
              <w:bottom w:val="single" w:sz="8" w:color="E9E9E9"/>
            </w:tcBorders>
            <w:shd w:val="clear" w:color="auto" w:fill="E9E9E9"/>
          </w:tcPr>
          <w:p>
            <w:pPr>
              <w:spacing w:after="0"/>
              <w:rPr>
                <w:sz w:val="19"/>
                <w:szCs w:val="19"/>
                <w:color w:val="auto"/>
              </w:rPr>
            </w:pPr>
          </w:p>
        </w:tc>
        <w:tc>
          <w:tcPr>
            <w:tcW w:w="880" w:type="dxa"/>
            <w:vAlign w:val="bottom"/>
            <w:tcBorders>
              <w:bottom w:val="single" w:sz="8" w:color="auto"/>
            </w:tcBorders>
            <w:shd w:val="clear" w:color="auto" w:fill="E9E9E9"/>
          </w:tcPr>
          <w:p>
            <w:pPr>
              <w:spacing w:after="0"/>
              <w:rPr>
                <w:sz w:val="19"/>
                <w:szCs w:val="19"/>
                <w:color w:val="auto"/>
              </w:rPr>
            </w:pPr>
          </w:p>
        </w:tc>
        <w:tc>
          <w:tcPr>
            <w:tcW w:w="540" w:type="dxa"/>
            <w:vAlign w:val="bottom"/>
            <w:tcBorders>
              <w:bottom w:val="single" w:sz="8" w:color="auto"/>
            </w:tcBorders>
            <w:shd w:val="clear" w:color="auto" w:fill="E9E9E9"/>
          </w:tcPr>
          <w:p>
            <w:pPr>
              <w:jc w:val="right"/>
              <w:spacing w:after="0" w:line="229" w:lineRule="exact"/>
              <w:rPr>
                <w:sz w:val="20"/>
                <w:szCs w:val="20"/>
                <w:color w:val="auto"/>
              </w:rPr>
            </w:pPr>
            <w:r>
              <w:rPr>
                <w:rFonts w:ascii="Arial" w:cs="Arial" w:eastAsia="Arial" w:hAnsi="Arial"/>
                <w:sz w:val="20"/>
                <w:szCs w:val="20"/>
                <w:color w:val="auto"/>
              </w:rPr>
              <w:t>669</w:t>
            </w:r>
          </w:p>
        </w:tc>
        <w:tc>
          <w:tcPr>
            <w:tcW w:w="220" w:type="dxa"/>
            <w:vAlign w:val="bottom"/>
            <w:tcBorders>
              <w:bottom w:val="single" w:sz="8" w:color="E9E9E9"/>
            </w:tcBorders>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9" w:lineRule="exact"/>
              <w:rPr>
                <w:sz w:val="20"/>
                <w:szCs w:val="20"/>
                <w:color w:val="auto"/>
              </w:rPr>
            </w:pPr>
            <w:r>
              <w:rPr>
                <w:rFonts w:ascii="Arial" w:cs="Arial" w:eastAsia="Arial" w:hAnsi="Arial"/>
                <w:sz w:val="20"/>
                <w:szCs w:val="20"/>
                <w:color w:val="auto"/>
              </w:rPr>
              <w:t>333</w:t>
            </w:r>
          </w:p>
        </w:tc>
        <w:tc>
          <w:tcPr>
            <w:tcW w:w="200" w:type="dxa"/>
            <w:vAlign w:val="bottom"/>
            <w:tcBorders>
              <w:bottom w:val="single" w:sz="8" w:color="E9E9E9"/>
            </w:tcBorders>
            <w:shd w:val="clear" w:color="auto" w:fill="E9E9E9"/>
          </w:tcPr>
          <w:p>
            <w:pPr>
              <w:spacing w:after="0"/>
              <w:rPr>
                <w:sz w:val="19"/>
                <w:szCs w:val="19"/>
                <w:color w:val="auto"/>
              </w:rPr>
            </w:pPr>
          </w:p>
        </w:tc>
        <w:tc>
          <w:tcPr>
            <w:tcW w:w="20" w:type="dxa"/>
            <w:vAlign w:val="bottom"/>
            <w:tcBorders>
              <w:bottom w:val="single" w:sz="8" w:color="E9E9E9"/>
            </w:tcBorders>
            <w:shd w:val="clear" w:color="auto" w:fill="E9E9E9"/>
          </w:tcPr>
          <w:p>
            <w:pPr>
              <w:spacing w:after="0"/>
              <w:rPr>
                <w:sz w:val="19"/>
                <w:szCs w:val="19"/>
                <w:color w:val="auto"/>
              </w:rPr>
            </w:pPr>
          </w:p>
        </w:tc>
        <w:tc>
          <w:tcPr>
            <w:tcW w:w="380" w:type="dxa"/>
            <w:vAlign w:val="bottom"/>
            <w:tcBorders>
              <w:bottom w:val="single" w:sz="8" w:color="auto"/>
            </w:tcBorders>
            <w:shd w:val="clear" w:color="auto" w:fill="E9E9E9"/>
          </w:tcPr>
          <w:p>
            <w:pPr>
              <w:spacing w:after="0"/>
              <w:rPr>
                <w:sz w:val="19"/>
                <w:szCs w:val="19"/>
                <w:color w:val="auto"/>
              </w:rPr>
            </w:pPr>
          </w:p>
        </w:tc>
        <w:tc>
          <w:tcPr>
            <w:tcW w:w="1040" w:type="dxa"/>
            <w:vAlign w:val="bottom"/>
            <w:tcBorders>
              <w:bottom w:val="single" w:sz="8" w:color="auto"/>
            </w:tcBorders>
            <w:shd w:val="clear" w:color="auto" w:fill="E9E9E9"/>
          </w:tcPr>
          <w:p>
            <w:pPr>
              <w:jc w:val="right"/>
              <w:spacing w:after="0" w:line="229" w:lineRule="exact"/>
              <w:rPr>
                <w:sz w:val="20"/>
                <w:szCs w:val="20"/>
                <w:color w:val="auto"/>
              </w:rPr>
            </w:pPr>
            <w:r>
              <w:rPr>
                <w:rFonts w:ascii="Arial" w:cs="Arial" w:eastAsia="Arial" w:hAnsi="Arial"/>
                <w:sz w:val="20"/>
                <w:szCs w:val="20"/>
                <w:color w:val="auto"/>
              </w:rPr>
              <w:t>249</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r>
      <w:tr>
        <w:trPr>
          <w:trHeight w:val="219"/>
        </w:trPr>
        <w:tc>
          <w:tcPr>
            <w:tcW w:w="5780" w:type="dxa"/>
            <w:vAlign w:val="bottom"/>
          </w:tcPr>
          <w:p>
            <w:pPr>
              <w:spacing w:after="0" w:line="217" w:lineRule="exact"/>
              <w:rPr>
                <w:sz w:val="20"/>
                <w:szCs w:val="20"/>
                <w:color w:val="auto"/>
              </w:rPr>
            </w:pPr>
            <w:r>
              <w:rPr>
                <w:rFonts w:ascii="Arial" w:cs="Arial" w:eastAsia="Arial" w:hAnsi="Arial"/>
                <w:sz w:val="20"/>
                <w:szCs w:val="20"/>
                <w:color w:val="auto"/>
              </w:rPr>
              <w:t>Diluted weighted-average shares outstanding</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line="217" w:lineRule="exact"/>
              <w:rPr>
                <w:sz w:val="20"/>
                <w:szCs w:val="20"/>
                <w:color w:val="auto"/>
              </w:rPr>
            </w:pPr>
            <w:r>
              <w:rPr>
                <w:rFonts w:ascii="Arial" w:cs="Arial" w:eastAsia="Arial" w:hAnsi="Arial"/>
                <w:sz w:val="20"/>
                <w:szCs w:val="20"/>
                <w:color w:val="auto"/>
                <w:w w:val="84"/>
              </w:rPr>
              <w:t>35,334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0"/>
              <w:spacing w:after="0" w:line="217" w:lineRule="exact"/>
              <w:rPr>
                <w:sz w:val="20"/>
                <w:szCs w:val="20"/>
                <w:color w:val="auto"/>
              </w:rPr>
            </w:pPr>
            <w:r>
              <w:rPr>
                <w:rFonts w:ascii="Arial" w:cs="Arial" w:eastAsia="Arial" w:hAnsi="Arial"/>
                <w:sz w:val="20"/>
                <w:szCs w:val="20"/>
                <w:color w:val="auto"/>
              </w:rPr>
              <w:t>35,005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35,595</w:t>
            </w: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-1517650</wp:posOffset>
                </wp:positionV>
                <wp:extent cx="6921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19.4999pt" to="534.4pt,-119.4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-1366520</wp:posOffset>
                </wp:positionV>
                <wp:extent cx="6921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07.5999pt" to="534.4pt,-107.5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-175895</wp:posOffset>
                </wp:positionV>
                <wp:extent cx="6921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3.8499pt" to="534.4pt,-13.8499pt" o:allowincell="f" strokecolor="#FFFFFF" strokeweight="0.4751pt"/>
            </w:pict>
          </mc:Fallback>
        </mc:AlternateContent>
      </w:r>
    </w:p>
    <w:p>
      <w:pPr>
        <w:spacing w:after="0" w:line="227"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Options and unvested restricted stock units are included in the computation of diluted earnings per share using the treasury stock method. For 2023, 2022 and 2021, outstanding options and unvested restricted stock units of zero, 1.1 million and 1.8 million, respectively, were excluded from the computation of diluted earnings per share due to their having an anti-dilutive effect.</w:t>
      </w:r>
    </w:p>
    <w:p>
      <w:pPr>
        <w:spacing w:after="0" w:line="222"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Once a restricted stock award vests, it is included in the computation of weighted average shares outstanding for purposes of basic and diluted earnings per share.</w:t>
      </w:r>
    </w:p>
    <w:p>
      <w:pPr>
        <w:spacing w:after="0" w:line="249"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i w:val="1"/>
          <w:iCs w:val="1"/>
          <w:color w:val="auto"/>
        </w:rPr>
        <w:t>Foreign Currency Translation</w:t>
      </w:r>
      <w:r>
        <w:rPr>
          <w:rFonts w:ascii="Arial" w:cs="Arial" w:eastAsia="Arial" w:hAnsi="Arial"/>
          <w:sz w:val="18"/>
          <w:szCs w:val="18"/>
          <w:color w:val="auto"/>
        </w:rPr>
        <w:t>—The functional currencies of the Company’s foreign subsidiaries are their local currencies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books and records are 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Income and expenses are translated into USD at average exchange rates in effect during the period.</w:t>
      </w:r>
    </w:p>
    <w:p>
      <w:pPr>
        <w:spacing w:after="0" w:line="248" w:lineRule="exact"/>
        <w:rPr>
          <w:sz w:val="20"/>
          <w:szCs w:val="20"/>
          <w:color w:val="auto"/>
        </w:rPr>
      </w:pPr>
    </w:p>
    <w:p>
      <w:pPr>
        <w:jc w:val="both"/>
        <w:ind w:right="160"/>
        <w:spacing w:after="0" w:line="249" w:lineRule="auto"/>
        <w:rPr>
          <w:sz w:val="20"/>
          <w:szCs w:val="20"/>
          <w:color w:val="auto"/>
        </w:rPr>
      </w:pPr>
      <w:r>
        <w:rPr>
          <w:rFonts w:ascii="Arial" w:cs="Arial" w:eastAsia="Arial" w:hAnsi="Arial"/>
          <w:sz w:val="19"/>
          <w:szCs w:val="19"/>
          <w:color w:val="auto"/>
        </w:rPr>
        <w:t>Transactions denominated in other than the local currency are remeasured into the local currency and the resulting exchange gains or losses are included in “Other (expense) income, net” line of the Consolidated Statements of Income. Transaction gains (losses) were $1.2 million, $6.3 million, and $(3.1) million in 2023, 2022 and 2021, respectively.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F-13</w:t>
      </w:r>
    </w:p>
    <w:p>
      <w:pPr>
        <w:sectPr>
          <w:pgSz w:w="11880" w:h="15480" w:orient="portrait"/>
          <w:cols w:equalWidth="0" w:num="1">
            <w:col w:w="10680"/>
          </w:cols>
          <w:pgMar w:left="600" w:top="849" w:right="600" w:bottom="46" w:gutter="0" w:footer="0" w:header="0"/>
        </w:sectPr>
      </w:pPr>
    </w:p>
    <w:bookmarkStart w:id="73" w:name="page74"/>
    <w:bookmarkEnd w:id="73"/>
    <w:p>
      <w:pPr>
        <w:ind w:left="6"/>
        <w:spacing w:after="0"/>
        <w:rPr>
          <w:sz w:val="20"/>
          <w:szCs w:val="20"/>
          <w:color w:val="auto"/>
        </w:rPr>
      </w:pPr>
      <w:r>
        <w:rPr>
          <w:rFonts w:ascii="Arial" w:cs="Arial" w:eastAsia="Arial" w:hAnsi="Arial"/>
          <w:sz w:val="20"/>
          <w:szCs w:val="20"/>
          <w:i w:val="1"/>
          <w:iCs w:val="1"/>
          <w:color w:val="auto"/>
        </w:rPr>
        <w:t>Accounting Standards Adopted in 2023</w:t>
      </w:r>
    </w:p>
    <w:p>
      <w:pPr>
        <w:spacing w:after="0" w:line="246" w:lineRule="exact"/>
        <w:rPr>
          <w:sz w:val="20"/>
          <w:szCs w:val="20"/>
          <w:color w:val="auto"/>
        </w:rPr>
      </w:pPr>
    </w:p>
    <w:p>
      <w:pPr>
        <w:ind w:left="6" w:right="140"/>
        <w:spacing w:after="0" w:line="268" w:lineRule="auto"/>
        <w:rPr>
          <w:sz w:val="20"/>
          <w:szCs w:val="20"/>
          <w:color w:val="auto"/>
        </w:rPr>
      </w:pPr>
      <w:r>
        <w:rPr>
          <w:rFonts w:ascii="Arial" w:cs="Arial" w:eastAsia="Arial" w:hAnsi="Arial"/>
          <w:sz w:val="18"/>
          <w:szCs w:val="18"/>
          <w:color w:val="auto"/>
        </w:rPr>
        <w:t>On January 1, 2023, the beginning of the Company's fiscal year, the Company adopted Accounting Standards Update ("ASU") 2021 - 08, Business Combinations (Topic 805): Accounting for Contract Assets and Contract Liabilities from Contracts with Customers, which addresses how an acquirer should recognize and measure revenue contracts acquired in a business combination. The adoption of ASU 2021-08 did not have a material impact on the Company's Consolidated Financial Statements.</w:t>
      </w:r>
    </w:p>
    <w:p>
      <w:pPr>
        <w:spacing w:after="0" w:line="213"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Accounting Standards to be Adopted</w:t>
      </w:r>
    </w:p>
    <w:p>
      <w:pPr>
        <w:spacing w:after="0" w:line="248" w:lineRule="exact"/>
        <w:rPr>
          <w:sz w:val="20"/>
          <w:szCs w:val="20"/>
          <w:color w:val="auto"/>
        </w:rPr>
      </w:pPr>
    </w:p>
    <w:p>
      <w:pPr>
        <w:ind w:left="6" w:right="100"/>
        <w:spacing w:after="0" w:line="249" w:lineRule="auto"/>
        <w:rPr>
          <w:sz w:val="20"/>
          <w:szCs w:val="20"/>
          <w:color w:val="auto"/>
        </w:rPr>
      </w:pPr>
      <w:r>
        <w:rPr>
          <w:rFonts w:ascii="Arial" w:cs="Arial" w:eastAsia="Arial" w:hAnsi="Arial"/>
          <w:sz w:val="19"/>
          <w:szCs w:val="19"/>
          <w:color w:val="auto"/>
        </w:rPr>
        <w:t>In December 2023, the FASB issued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w:t>
      </w:r>
    </w:p>
    <w:p>
      <w:pPr>
        <w:spacing w:after="0" w:line="241" w:lineRule="exact"/>
        <w:rPr>
          <w:sz w:val="20"/>
          <w:szCs w:val="20"/>
          <w:color w:val="auto"/>
        </w:rPr>
      </w:pPr>
    </w:p>
    <w:p>
      <w:pPr>
        <w:ind w:left="6" w:right="20"/>
        <w:spacing w:after="0" w:line="268"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which addresses segment disclosure requirements, primarily the disclosure of significant segment expenses. The ASU is effective for fiscal years beginning after December 15, 2023, and interim periods beginning after December 15, 2024. The Company is currently evaluating the impact the adoption of the standard will have on the Company’s consolidated financial statements.</w:t>
      </w:r>
    </w:p>
    <w:p>
      <w:pPr>
        <w:spacing w:after="0" w:line="211" w:lineRule="exact"/>
        <w:rPr>
          <w:sz w:val="20"/>
          <w:szCs w:val="20"/>
          <w:color w:val="auto"/>
        </w:rPr>
      </w:pPr>
    </w:p>
    <w:p>
      <w:pPr>
        <w:ind w:left="486" w:hanging="486"/>
        <w:spacing w:after="0"/>
        <w:tabs>
          <w:tab w:leader="none" w:pos="486"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248" w:lineRule="exact"/>
        <w:rPr>
          <w:sz w:val="20"/>
          <w:szCs w:val="20"/>
          <w:color w:val="auto"/>
        </w:rPr>
      </w:pPr>
    </w:p>
    <w:p>
      <w:pPr>
        <w:ind w:left="6" w:right="20"/>
        <w:spacing w:after="0" w:line="234" w:lineRule="auto"/>
        <w:rPr>
          <w:sz w:val="20"/>
          <w:szCs w:val="20"/>
          <w:color w:val="auto"/>
        </w:rPr>
      </w:pPr>
      <w:r>
        <w:rPr>
          <w:rFonts w:ascii="Arial" w:cs="Arial" w:eastAsia="Arial" w:hAnsi="Arial"/>
          <w:sz w:val="20"/>
          <w:szCs w:val="20"/>
          <w:color w:val="auto"/>
        </w:rPr>
        <w:t>The Company's financial instruments consist primarily of cash and cash equivalents, receivables and certain other assets, and accounts payable, which approximate fair value at December 31, 2023 and 2022, due to their short-term nature or variable, market-driven interest rates.</w:t>
      </w:r>
    </w:p>
    <w:p>
      <w:pPr>
        <w:spacing w:after="0" w:line="249" w:lineRule="exact"/>
        <w:rPr>
          <w:sz w:val="20"/>
          <w:szCs w:val="20"/>
          <w:color w:val="auto"/>
        </w:rPr>
      </w:pPr>
    </w:p>
    <w:p>
      <w:pPr>
        <w:ind w:left="6" w:right="260"/>
        <w:spacing w:after="0" w:line="233" w:lineRule="auto"/>
        <w:rPr>
          <w:sz w:val="20"/>
          <w:szCs w:val="20"/>
          <w:color w:val="auto"/>
        </w:rPr>
      </w:pPr>
      <w:r>
        <w:rPr>
          <w:rFonts w:ascii="Arial" w:cs="Arial" w:eastAsia="Arial" w:hAnsi="Arial"/>
          <w:sz w:val="20"/>
          <w:szCs w:val="20"/>
          <w:color w:val="auto"/>
        </w:rPr>
        <w:t>The fair value of the debt issued under the Credit Facility and joint venture term loan was $138.6 million and $112.7 million at December 31, 2023 and 2022, respectively. The fair value was determined considering market conditions, credit worthiness and the current terms of debt, which is considered Level 2 on the fair value hierarchy.</w:t>
      </w:r>
    </w:p>
    <w:p>
      <w:pPr>
        <w:spacing w:after="0" w:line="250" w:lineRule="exact"/>
        <w:rPr>
          <w:sz w:val="20"/>
          <w:szCs w:val="20"/>
          <w:color w:val="auto"/>
        </w:rPr>
      </w:pPr>
    </w:p>
    <w:p>
      <w:pPr>
        <w:ind w:left="6" w:right="240"/>
        <w:spacing w:after="0" w:line="234" w:lineRule="auto"/>
        <w:rPr>
          <w:sz w:val="20"/>
          <w:szCs w:val="20"/>
          <w:color w:val="auto"/>
        </w:rPr>
      </w:pPr>
      <w:r>
        <w:rPr>
          <w:rFonts w:ascii="Arial" w:cs="Arial" w:eastAsia="Arial" w:hAnsi="Arial"/>
          <w:sz w:val="20"/>
          <w:szCs w:val="20"/>
          <w:color w:val="auto"/>
        </w:rPr>
        <w:t>At December 31, 2023 and 2022, the Company had cash and cash equivalents of $54.8 million and $45.5 million, respectively, of which $38.5 million and $31.7 million, respectively, was held outside of the United States, principally in the United Arab Emirates, Netherlands, United Kingdom, China, and Mexico.</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Concentrations of credit risk</w:t>
      </w:r>
    </w:p>
    <w:p>
      <w:pPr>
        <w:spacing w:after="0" w:line="246" w:lineRule="exact"/>
        <w:rPr>
          <w:sz w:val="20"/>
          <w:szCs w:val="20"/>
          <w:color w:val="auto"/>
        </w:rPr>
      </w:pPr>
    </w:p>
    <w:p>
      <w:pPr>
        <w:ind w:left="6"/>
        <w:spacing w:after="0" w:line="235" w:lineRule="auto"/>
        <w:rPr>
          <w:sz w:val="20"/>
          <w:szCs w:val="20"/>
          <w:color w:val="auto"/>
        </w:rPr>
      </w:pPr>
      <w:r>
        <w:rPr>
          <w:rFonts w:ascii="Arial" w:cs="Arial" w:eastAsia="Arial" w:hAnsi="Arial"/>
          <w:sz w:val="20"/>
          <w:szCs w:val="20"/>
          <w:color w:val="auto"/>
        </w:rPr>
        <w:t>Financial instruments that potentially subject us to credit risk consist principally of cash and cash equivalents, and accounts receivable. The Company maintains cash and cash equivalents with various major financial institutions. The Company perform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b w:val="1"/>
                <w:bCs w:val="1"/>
                <w:color w:val="auto"/>
                <w:w w:val="83"/>
              </w:rPr>
              <w:t>3.</w:t>
            </w:r>
          </w:p>
        </w:tc>
        <w:tc>
          <w:tcPr>
            <w:tcW w:w="6880" w:type="dxa"/>
            <w:vAlign w:val="bottom"/>
          </w:tcPr>
          <w:p>
            <w:pPr>
              <w:jc w:val="right"/>
              <w:ind w:right="4721"/>
              <w:spacing w:after="0"/>
              <w:rPr>
                <w:sz w:val="20"/>
                <w:szCs w:val="20"/>
                <w:color w:val="auto"/>
              </w:rPr>
            </w:pPr>
            <w:r>
              <w:rPr>
                <w:rFonts w:ascii="Arial" w:cs="Arial" w:eastAsia="Arial" w:hAnsi="Arial"/>
                <w:sz w:val="20"/>
                <w:szCs w:val="20"/>
                <w:b w:val="1"/>
                <w:bCs w:val="1"/>
                <w:color w:val="auto"/>
              </w:rPr>
              <w:t>Accounts Receivable</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3"/>
        </w:trPr>
        <w:tc>
          <w:tcPr>
            <w:tcW w:w="7040" w:type="dxa"/>
            <w:vAlign w:val="bottom"/>
            <w:gridSpan w:val="2"/>
          </w:tcPr>
          <w:p>
            <w:pPr>
              <w:spacing w:after="0"/>
              <w:rPr>
                <w:sz w:val="20"/>
                <w:szCs w:val="20"/>
                <w:color w:val="auto"/>
              </w:rPr>
            </w:pPr>
            <w:r>
              <w:rPr>
                <w:rFonts w:ascii="Arial" w:cs="Arial" w:eastAsia="Arial" w:hAnsi="Arial"/>
                <w:sz w:val="20"/>
                <w:szCs w:val="20"/>
                <w:color w:val="auto"/>
              </w:rPr>
              <w:t>Accounts receivable consisted of the following:</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5"/>
        </w:trPr>
        <w:tc>
          <w:tcPr>
            <w:tcW w:w="1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704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9"/>
              <w:spacing w:after="0" w:line="172"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6"/>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r>
      <w:tr>
        <w:trPr>
          <w:trHeight w:val="217"/>
        </w:trPr>
        <w:tc>
          <w:tcPr>
            <w:tcW w:w="7040" w:type="dxa"/>
            <w:vAlign w:val="bottom"/>
            <w:gridSpan w:val="2"/>
          </w:tcPr>
          <w:p>
            <w:pPr>
              <w:spacing w:after="0" w:line="217" w:lineRule="exact"/>
              <w:rPr>
                <w:sz w:val="20"/>
                <w:szCs w:val="20"/>
                <w:color w:val="auto"/>
              </w:rPr>
            </w:pPr>
            <w:r>
              <w:rPr>
                <w:rFonts w:ascii="Arial" w:cs="Arial" w:eastAsia="Arial" w:hAnsi="Arial"/>
                <w:sz w:val="20"/>
                <w:szCs w:val="20"/>
                <w:color w:val="auto"/>
              </w:rPr>
              <w:t>Accounts receivable</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119,193</w:t>
            </w:r>
          </w:p>
        </w:tc>
        <w:tc>
          <w:tcPr>
            <w:tcW w:w="740" w:type="dxa"/>
            <w:vAlign w:val="bottom"/>
            <w:gridSpan w:val="3"/>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87,306</w:t>
            </w:r>
          </w:p>
        </w:tc>
      </w:tr>
      <w:tr>
        <w:trPr>
          <w:trHeight w:val="228"/>
        </w:trPr>
        <w:tc>
          <w:tcPr>
            <w:tcW w:w="7040" w:type="dxa"/>
            <w:vAlign w:val="bottom"/>
            <w:gridSpan w:val="2"/>
            <w:shd w:val="clear" w:color="auto" w:fill="E9E9E9"/>
          </w:tcPr>
          <w:p>
            <w:pPr>
              <w:spacing w:after="0" w:line="228" w:lineRule="exact"/>
              <w:rPr>
                <w:sz w:val="20"/>
                <w:szCs w:val="20"/>
                <w:color w:val="auto"/>
              </w:rPr>
            </w:pPr>
            <w:r>
              <w:rPr>
                <w:rFonts w:ascii="Arial" w:cs="Arial" w:eastAsia="Arial" w:hAnsi="Arial"/>
                <w:sz w:val="20"/>
                <w:szCs w:val="20"/>
                <w:color w:val="auto"/>
              </w:rPr>
              <w:t>Allowance for credit losses</w:t>
            </w: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(6,460)</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(4,220)</w:t>
            </w:r>
          </w:p>
        </w:tc>
        <w:tc>
          <w:tcPr>
            <w:tcW w:w="100" w:type="dxa"/>
            <w:vAlign w:val="bottom"/>
            <w:shd w:val="clear" w:color="auto" w:fill="E9E9E9"/>
          </w:tcPr>
          <w:p>
            <w:pPr>
              <w:spacing w:after="0"/>
              <w:rPr>
                <w:sz w:val="19"/>
                <w:szCs w:val="19"/>
                <w:color w:val="auto"/>
              </w:rPr>
            </w:pPr>
          </w:p>
        </w:tc>
      </w:tr>
      <w:tr>
        <w:trPr>
          <w:trHeight w:val="219"/>
        </w:trPr>
        <w:tc>
          <w:tcPr>
            <w:tcW w:w="160" w:type="dxa"/>
            <w:vAlign w:val="bottom"/>
          </w:tcPr>
          <w:p>
            <w:pPr>
              <w:spacing w:after="0"/>
              <w:rPr>
                <w:sz w:val="19"/>
                <w:szCs w:val="19"/>
                <w:color w:val="auto"/>
              </w:rPr>
            </w:pPr>
          </w:p>
        </w:tc>
        <w:tc>
          <w:tcPr>
            <w:tcW w:w="6880" w:type="dxa"/>
            <w:vAlign w:val="bottom"/>
          </w:tcPr>
          <w:p>
            <w:pPr>
              <w:jc w:val="right"/>
              <w:ind w:right="4721"/>
              <w:spacing w:after="0" w:line="217" w:lineRule="exact"/>
              <w:rPr>
                <w:sz w:val="20"/>
                <w:szCs w:val="20"/>
                <w:color w:val="auto"/>
              </w:rPr>
            </w:pPr>
            <w:r>
              <w:rPr>
                <w:rFonts w:ascii="Arial" w:cs="Arial" w:eastAsia="Arial" w:hAnsi="Arial"/>
                <w:sz w:val="20"/>
                <w:szCs w:val="20"/>
                <w:color w:val="auto"/>
                <w:w w:val="89"/>
              </w:rPr>
              <w:t>Total accounts receivable</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112,733</w:t>
            </w:r>
          </w:p>
        </w:tc>
        <w:tc>
          <w:tcPr>
            <w:tcW w:w="740" w:type="dxa"/>
            <w:vAlign w:val="bottom"/>
            <w:gridSpan w:val="3"/>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83,086</w:t>
            </w:r>
          </w:p>
        </w:tc>
      </w:tr>
      <w:tr>
        <w:trPr>
          <w:trHeight w:val="20"/>
        </w:trPr>
        <w:tc>
          <w:tcPr>
            <w:tcW w:w="1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6719570</wp:posOffset>
                </wp:positionH>
                <wp:positionV relativeFrom="paragraph">
                  <wp:posOffset>-594360</wp:posOffset>
                </wp:positionV>
                <wp:extent cx="7112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46.7999pt" to="534.7pt,-46.7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6719570</wp:posOffset>
                </wp:positionH>
                <wp:positionV relativeFrom="paragraph">
                  <wp:posOffset>-471805</wp:posOffset>
                </wp:positionV>
                <wp:extent cx="7112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37.1499pt" to="534.7pt,-37.1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6719570</wp:posOffset>
                </wp:positionH>
                <wp:positionV relativeFrom="paragraph">
                  <wp:posOffset>-175895</wp:posOffset>
                </wp:positionV>
                <wp:extent cx="7112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13.8499pt" to="534.7pt,-13.8499pt" o:allowincell="f" strokecolor="#FFFFFF" strokeweight="0.4752pt"/>
            </w:pict>
          </mc:Fallback>
        </mc:AlternateContent>
      </w:r>
    </w:p>
    <w:p>
      <w:pPr>
        <w:spacing w:after="0" w:line="215" w:lineRule="exact"/>
        <w:rPr>
          <w:sz w:val="20"/>
          <w:szCs w:val="20"/>
          <w:color w:val="auto"/>
        </w:rPr>
      </w:pPr>
    </w:p>
    <w:p>
      <w:pPr>
        <w:ind w:left="6"/>
        <w:spacing w:after="0"/>
        <w:rPr>
          <w:sz w:val="20"/>
          <w:szCs w:val="20"/>
          <w:color w:val="auto"/>
        </w:rPr>
      </w:pPr>
      <w:r>
        <w:rPr>
          <w:rFonts w:ascii="Arial" w:cs="Arial" w:eastAsia="Arial" w:hAnsi="Arial"/>
          <w:sz w:val="20"/>
          <w:szCs w:val="20"/>
          <w:color w:val="auto"/>
        </w:rPr>
        <w:t>Accounts receivable, net as of the beginning of the prior year period, or January 1, 2022, were $75.0 million.</w:t>
      </w:r>
    </w:p>
    <w:p>
      <w:pPr>
        <w:spacing w:after="0" w:line="246" w:lineRule="exact"/>
        <w:rPr>
          <w:sz w:val="20"/>
          <w:szCs w:val="20"/>
          <w:color w:val="auto"/>
        </w:rPr>
      </w:pPr>
    </w:p>
    <w:p>
      <w:pPr>
        <w:ind w:left="6" w:right="80"/>
        <w:spacing w:after="0" w:line="235" w:lineRule="auto"/>
        <w:rPr>
          <w:sz w:val="20"/>
          <w:szCs w:val="20"/>
          <w:color w:val="auto"/>
        </w:rPr>
      </w:pPr>
      <w:r>
        <w:rPr>
          <w:rFonts w:ascii="Arial" w:cs="Arial" w:eastAsia="Arial" w:hAnsi="Arial"/>
          <w:sz w:val="20"/>
          <w:szCs w:val="20"/>
          <w:color w:val="auto"/>
        </w:rPr>
        <w:t>Balances billed, but not paid by customers under retainage provisions in contracts, amounted to approximately $3.2 million and $1.6 million at December 31, 2023 and 2022, respectively. Retainage receivables as of the beginning of the prior year period, or January 1, 2022, were $1.8 million.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38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F-14</w:t>
      </w:r>
    </w:p>
    <w:p>
      <w:pPr>
        <w:sectPr>
          <w:pgSz w:w="11880" w:h="15480" w:orient="portrait"/>
          <w:cols w:equalWidth="0" w:num="1">
            <w:col w:w="10686"/>
          </w:cols>
          <w:pgMar w:left="594" w:top="837" w:right="600" w:bottom="46" w:gutter="0" w:footer="0" w:header="0"/>
        </w:sectPr>
      </w:pPr>
    </w:p>
    <w:bookmarkStart w:id="74" w:name="page75"/>
    <w:bookmarkEnd w:id="74"/>
    <w:p>
      <w:pPr>
        <w:ind w:right="200"/>
        <w:spacing w:after="0" w:line="233" w:lineRule="auto"/>
        <w:rPr>
          <w:sz w:val="20"/>
          <w:szCs w:val="20"/>
          <w:color w:val="auto"/>
        </w:rPr>
      </w:pPr>
      <w:r>
        <w:rPr>
          <w:rFonts w:ascii="Arial" w:cs="Arial" w:eastAsia="Arial" w:hAnsi="Arial"/>
          <w:sz w:val="20"/>
          <w:szCs w:val="20"/>
          <w:color w:val="auto"/>
        </w:rPr>
        <w:t>Provision for credit losses was $1.6 million, $1.3 million and $0.7 million during 2023, 2022 and 2021, respectively, while accounts (recovered from) charged to the provision were $(0.6) million, $0.6 million and $0.3 million during 2023, 2022 and 2021, respectively.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b w:val="1"/>
                <w:bCs w:val="1"/>
                <w:color w:val="auto"/>
                <w:w w:val="83"/>
              </w:rPr>
              <w:t>4.</w:t>
            </w:r>
          </w:p>
        </w:tc>
        <w:tc>
          <w:tcPr>
            <w:tcW w:w="6880" w:type="dxa"/>
            <w:vAlign w:val="bottom"/>
          </w:tcPr>
          <w:p>
            <w:pPr>
              <w:ind w:left="320"/>
              <w:spacing w:after="0"/>
              <w:rPr>
                <w:sz w:val="20"/>
                <w:szCs w:val="20"/>
                <w:color w:val="auto"/>
              </w:rPr>
            </w:pPr>
            <w:r>
              <w:rPr>
                <w:rFonts w:ascii="Arial" w:cs="Arial" w:eastAsia="Arial" w:hAnsi="Arial"/>
                <w:sz w:val="20"/>
                <w:szCs w:val="20"/>
                <w:b w:val="1"/>
                <w:bCs w:val="1"/>
                <w:color w:val="auto"/>
              </w:rPr>
              <w:t>Inventories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6"/>
        </w:trPr>
        <w:tc>
          <w:tcPr>
            <w:tcW w:w="7040" w:type="dxa"/>
            <w:vAlign w:val="bottom"/>
            <w:gridSpan w:val="2"/>
          </w:tcPr>
          <w:p>
            <w:pPr>
              <w:spacing w:after="0"/>
              <w:rPr>
                <w:sz w:val="20"/>
                <w:szCs w:val="20"/>
                <w:color w:val="auto"/>
              </w:rPr>
            </w:pPr>
            <w:r>
              <w:rPr>
                <w:rFonts w:ascii="Arial" w:cs="Arial" w:eastAsia="Arial" w:hAnsi="Arial"/>
                <w:sz w:val="20"/>
                <w:szCs w:val="20"/>
                <w:color w:val="auto"/>
              </w:rPr>
              <w:t>Inventories consisted of the following:</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4"/>
        </w:trPr>
        <w:tc>
          <w:tcPr>
            <w:tcW w:w="1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704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7"/>
              <w:spacing w:after="0" w:line="172"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5"/>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r>
      <w:tr>
        <w:trPr>
          <w:trHeight w:val="217"/>
        </w:trPr>
        <w:tc>
          <w:tcPr>
            <w:tcW w:w="7040" w:type="dxa"/>
            <w:vAlign w:val="bottom"/>
            <w:gridSpan w:val="2"/>
          </w:tcPr>
          <w:p>
            <w:pPr>
              <w:spacing w:after="0" w:line="217" w:lineRule="exact"/>
              <w:rPr>
                <w:sz w:val="20"/>
                <w:szCs w:val="20"/>
                <w:color w:val="auto"/>
              </w:rPr>
            </w:pPr>
            <w:r>
              <w:rPr>
                <w:rFonts w:ascii="Arial" w:cs="Arial" w:eastAsia="Arial" w:hAnsi="Arial"/>
                <w:sz w:val="20"/>
                <w:szCs w:val="20"/>
                <w:color w:val="auto"/>
              </w:rPr>
              <w:t>Raw materials</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25,819</w:t>
            </w:r>
          </w:p>
        </w:tc>
        <w:tc>
          <w:tcPr>
            <w:tcW w:w="740" w:type="dxa"/>
            <w:vAlign w:val="bottom"/>
            <w:gridSpan w:val="3"/>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19,774</w:t>
            </w:r>
          </w:p>
        </w:tc>
      </w:tr>
      <w:tr>
        <w:trPr>
          <w:trHeight w:val="226"/>
        </w:trPr>
        <w:tc>
          <w:tcPr>
            <w:tcW w:w="7040" w:type="dxa"/>
            <w:vAlign w:val="bottom"/>
            <w:gridSpan w:val="2"/>
            <w:shd w:val="clear" w:color="auto" w:fill="E9E9E9"/>
          </w:tcPr>
          <w:p>
            <w:pPr>
              <w:spacing w:after="0" w:line="226" w:lineRule="exact"/>
              <w:rPr>
                <w:sz w:val="20"/>
                <w:szCs w:val="20"/>
                <w:color w:val="auto"/>
              </w:rPr>
            </w:pPr>
            <w:r>
              <w:rPr>
                <w:rFonts w:ascii="Arial" w:cs="Arial" w:eastAsia="Arial" w:hAnsi="Arial"/>
                <w:sz w:val="20"/>
                <w:szCs w:val="20"/>
                <w:color w:val="auto"/>
              </w:rPr>
              <w:t>Work in process</w:t>
            </w: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9,710</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7,183</w:t>
            </w:r>
          </w:p>
        </w:tc>
        <w:tc>
          <w:tcPr>
            <w:tcW w:w="100" w:type="dxa"/>
            <w:vAlign w:val="bottom"/>
            <w:shd w:val="clear" w:color="auto" w:fill="E9E9E9"/>
          </w:tcPr>
          <w:p>
            <w:pPr>
              <w:spacing w:after="0"/>
              <w:rPr>
                <w:sz w:val="19"/>
                <w:szCs w:val="19"/>
                <w:color w:val="auto"/>
              </w:rPr>
            </w:pPr>
          </w:p>
        </w:tc>
      </w:tr>
      <w:tr>
        <w:trPr>
          <w:trHeight w:val="228"/>
        </w:trPr>
        <w:tc>
          <w:tcPr>
            <w:tcW w:w="7040" w:type="dxa"/>
            <w:vAlign w:val="bottom"/>
            <w:gridSpan w:val="2"/>
          </w:tcPr>
          <w:p>
            <w:pPr>
              <w:spacing w:after="0" w:line="228" w:lineRule="exact"/>
              <w:rPr>
                <w:sz w:val="20"/>
                <w:szCs w:val="20"/>
                <w:color w:val="auto"/>
              </w:rPr>
            </w:pPr>
            <w:r>
              <w:rPr>
                <w:rFonts w:ascii="Arial" w:cs="Arial" w:eastAsia="Arial" w:hAnsi="Arial"/>
                <w:sz w:val="20"/>
                <w:szCs w:val="20"/>
                <w:color w:val="auto"/>
              </w:rPr>
              <w:t>Finished goods</w:t>
            </w: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2,368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2,436</w:t>
            </w:r>
          </w:p>
        </w:tc>
      </w:tr>
      <w:tr>
        <w:trPr>
          <w:trHeight w:val="228"/>
        </w:trPr>
        <w:tc>
          <w:tcPr>
            <w:tcW w:w="7040" w:type="dxa"/>
            <w:vAlign w:val="bottom"/>
            <w:gridSpan w:val="2"/>
            <w:shd w:val="clear" w:color="auto" w:fill="E9E9E9"/>
          </w:tcPr>
          <w:p>
            <w:pPr>
              <w:spacing w:after="0" w:line="228" w:lineRule="exact"/>
              <w:rPr>
                <w:sz w:val="20"/>
                <w:szCs w:val="20"/>
                <w:color w:val="auto"/>
              </w:rPr>
            </w:pPr>
            <w:r>
              <w:rPr>
                <w:rFonts w:ascii="Arial" w:cs="Arial" w:eastAsia="Arial" w:hAnsi="Arial"/>
                <w:sz w:val="20"/>
                <w:szCs w:val="20"/>
                <w:color w:val="auto"/>
              </w:rPr>
              <w:t>Obsolescence allowance</w:t>
            </w: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(3,808)</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(2,867)</w:t>
            </w:r>
          </w:p>
        </w:tc>
        <w:tc>
          <w:tcPr>
            <w:tcW w:w="100" w:type="dxa"/>
            <w:vAlign w:val="bottom"/>
            <w:shd w:val="clear" w:color="auto" w:fill="E9E9E9"/>
          </w:tcPr>
          <w:p>
            <w:pPr>
              <w:spacing w:after="0"/>
              <w:rPr>
                <w:sz w:val="19"/>
                <w:szCs w:val="19"/>
                <w:color w:val="auto"/>
              </w:rPr>
            </w:pPr>
          </w:p>
        </w:tc>
      </w:tr>
      <w:tr>
        <w:trPr>
          <w:trHeight w:val="219"/>
        </w:trPr>
        <w:tc>
          <w:tcPr>
            <w:tcW w:w="160" w:type="dxa"/>
            <w:vAlign w:val="bottom"/>
          </w:tcPr>
          <w:p>
            <w:pPr>
              <w:spacing w:after="0"/>
              <w:rPr>
                <w:sz w:val="19"/>
                <w:szCs w:val="19"/>
                <w:color w:val="auto"/>
              </w:rPr>
            </w:pPr>
          </w:p>
        </w:tc>
        <w:tc>
          <w:tcPr>
            <w:tcW w:w="6880" w:type="dxa"/>
            <w:vAlign w:val="bottom"/>
          </w:tcPr>
          <w:p>
            <w:pPr>
              <w:ind w:left="40"/>
              <w:spacing w:after="0" w:line="217" w:lineRule="exact"/>
              <w:rPr>
                <w:sz w:val="20"/>
                <w:szCs w:val="20"/>
                <w:color w:val="auto"/>
              </w:rPr>
            </w:pPr>
            <w:r>
              <w:rPr>
                <w:rFonts w:ascii="Arial" w:cs="Arial" w:eastAsia="Arial" w:hAnsi="Arial"/>
                <w:sz w:val="20"/>
                <w:szCs w:val="20"/>
                <w:color w:val="auto"/>
              </w:rPr>
              <w:t>Total inventories</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34,089</w:t>
            </w:r>
          </w:p>
        </w:tc>
        <w:tc>
          <w:tcPr>
            <w:tcW w:w="740" w:type="dxa"/>
            <w:vAlign w:val="bottom"/>
            <w:gridSpan w:val="3"/>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26,526</w:t>
            </w:r>
          </w:p>
        </w:tc>
      </w:tr>
      <w:tr>
        <w:trPr>
          <w:trHeight w:val="20"/>
        </w:trPr>
        <w:tc>
          <w:tcPr>
            <w:tcW w:w="1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-882015</wp:posOffset>
                </wp:positionV>
                <wp:extent cx="7112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69.4499pt" to="534.4pt,-69.4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-760095</wp:posOffset>
                </wp:positionV>
                <wp:extent cx="7112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59.8499pt" to="534.4pt,-59.8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-175895</wp:posOffset>
                </wp:positionV>
                <wp:extent cx="7112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3.8499pt" to="534.4pt,-13.8499pt" o:allowincell="f" strokecolor="#FFFFFF" strokeweight="0.4751pt"/>
            </w:pict>
          </mc:Fallback>
        </mc:AlternateContent>
      </w:r>
    </w:p>
    <w:p>
      <w:pPr>
        <w:spacing w:after="0" w:line="228"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Amounts credited to the allowance for obsolete inventory and charged to cost of sales amounted to $1.1 million, $0.1 million and $0.1 million during 2023, 2022 and 2021, respectively. Items charged to the allowance for inventory write-offs were $0.3 million, zero, and $0.9 million, during 2023, 2022 and 2021, respectively.</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b w:val="1"/>
                <w:bCs w:val="1"/>
                <w:color w:val="auto"/>
                <w:w w:val="83"/>
              </w:rPr>
              <w:t>5.</w:t>
            </w:r>
          </w:p>
        </w:tc>
        <w:tc>
          <w:tcPr>
            <w:tcW w:w="6880" w:type="dxa"/>
            <w:vAlign w:val="bottom"/>
          </w:tcPr>
          <w:p>
            <w:pPr>
              <w:ind w:left="320"/>
              <w:spacing w:after="0"/>
              <w:rPr>
                <w:sz w:val="20"/>
                <w:szCs w:val="20"/>
                <w:color w:val="auto"/>
              </w:rPr>
            </w:pPr>
            <w:r>
              <w:rPr>
                <w:rFonts w:ascii="Arial" w:cs="Arial" w:eastAsia="Arial" w:hAnsi="Arial"/>
                <w:sz w:val="20"/>
                <w:szCs w:val="20"/>
                <w:b w:val="1"/>
                <w:bCs w:val="1"/>
                <w:color w:val="auto"/>
              </w:rPr>
              <w:t>Property, Plant and Equipment</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6"/>
        </w:trPr>
        <w:tc>
          <w:tcPr>
            <w:tcW w:w="7040" w:type="dxa"/>
            <w:vAlign w:val="bottom"/>
            <w:gridSpan w:val="2"/>
          </w:tcPr>
          <w:p>
            <w:pPr>
              <w:spacing w:after="0"/>
              <w:rPr>
                <w:sz w:val="20"/>
                <w:szCs w:val="20"/>
                <w:color w:val="auto"/>
              </w:rPr>
            </w:pPr>
            <w:r>
              <w:rPr>
                <w:rFonts w:ascii="Arial" w:cs="Arial" w:eastAsia="Arial" w:hAnsi="Arial"/>
                <w:sz w:val="20"/>
                <w:szCs w:val="20"/>
                <w:color w:val="auto"/>
              </w:rPr>
              <w:t>Property, plant and equipment consisted of the following:</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5"/>
        </w:trPr>
        <w:tc>
          <w:tcPr>
            <w:tcW w:w="1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704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7"/>
              <w:spacing w:after="0" w:line="172"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5"/>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r>
      <w:tr>
        <w:trPr>
          <w:trHeight w:val="217"/>
        </w:trPr>
        <w:tc>
          <w:tcPr>
            <w:tcW w:w="7040" w:type="dxa"/>
            <w:vAlign w:val="bottom"/>
            <w:gridSpan w:val="2"/>
          </w:tcPr>
          <w:p>
            <w:pPr>
              <w:spacing w:after="0" w:line="217" w:lineRule="exact"/>
              <w:rPr>
                <w:sz w:val="20"/>
                <w:szCs w:val="20"/>
                <w:color w:val="auto"/>
              </w:rPr>
            </w:pPr>
            <w:r>
              <w:rPr>
                <w:rFonts w:ascii="Arial" w:cs="Arial" w:eastAsia="Arial" w:hAnsi="Arial"/>
                <w:sz w:val="20"/>
                <w:szCs w:val="20"/>
                <w:color w:val="auto"/>
              </w:rPr>
              <w:t>Land, building and improvements</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12,284</w:t>
            </w:r>
          </w:p>
        </w:tc>
        <w:tc>
          <w:tcPr>
            <w:tcW w:w="740" w:type="dxa"/>
            <w:vAlign w:val="bottom"/>
            <w:gridSpan w:val="3"/>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11,986</w:t>
            </w:r>
          </w:p>
        </w:tc>
      </w:tr>
      <w:tr>
        <w:trPr>
          <w:trHeight w:val="226"/>
        </w:trPr>
        <w:tc>
          <w:tcPr>
            <w:tcW w:w="7040" w:type="dxa"/>
            <w:vAlign w:val="bottom"/>
            <w:gridSpan w:val="2"/>
            <w:shd w:val="clear" w:color="auto" w:fill="E9E9E9"/>
          </w:tcPr>
          <w:p>
            <w:pPr>
              <w:spacing w:after="0" w:line="226" w:lineRule="exact"/>
              <w:rPr>
                <w:sz w:val="20"/>
                <w:szCs w:val="20"/>
                <w:color w:val="auto"/>
              </w:rPr>
            </w:pPr>
            <w:r>
              <w:rPr>
                <w:rFonts w:ascii="Arial" w:cs="Arial" w:eastAsia="Arial" w:hAnsi="Arial"/>
                <w:sz w:val="20"/>
                <w:szCs w:val="20"/>
                <w:color w:val="auto"/>
              </w:rPr>
              <w:t>Machinery and equipment</w:t>
            </w: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33,364</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33,521</w:t>
            </w:r>
          </w:p>
        </w:tc>
        <w:tc>
          <w:tcPr>
            <w:tcW w:w="100" w:type="dxa"/>
            <w:vAlign w:val="bottom"/>
            <w:shd w:val="clear" w:color="auto" w:fill="E9E9E9"/>
          </w:tcPr>
          <w:p>
            <w:pPr>
              <w:spacing w:after="0"/>
              <w:rPr>
                <w:sz w:val="19"/>
                <w:szCs w:val="19"/>
                <w:color w:val="auto"/>
              </w:rPr>
            </w:pPr>
          </w:p>
        </w:tc>
      </w:tr>
      <w:tr>
        <w:trPr>
          <w:trHeight w:val="218"/>
        </w:trPr>
        <w:tc>
          <w:tcPr>
            <w:tcW w:w="160" w:type="dxa"/>
            <w:vAlign w:val="bottom"/>
          </w:tcPr>
          <w:p>
            <w:pPr>
              <w:spacing w:after="0"/>
              <w:rPr>
                <w:sz w:val="18"/>
                <w:szCs w:val="18"/>
                <w:color w:val="auto"/>
              </w:rPr>
            </w:pPr>
          </w:p>
        </w:tc>
        <w:tc>
          <w:tcPr>
            <w:tcW w:w="6880" w:type="dxa"/>
            <w:vAlign w:val="bottom"/>
          </w:tcPr>
          <w:p>
            <w:pPr>
              <w:ind w:left="40"/>
              <w:spacing w:after="0" w:line="217" w:lineRule="exact"/>
              <w:rPr>
                <w:sz w:val="20"/>
                <w:szCs w:val="20"/>
                <w:color w:val="auto"/>
              </w:rPr>
            </w:pPr>
            <w:r>
              <w:rPr>
                <w:rFonts w:ascii="Arial" w:cs="Arial" w:eastAsia="Arial" w:hAnsi="Arial"/>
                <w:sz w:val="20"/>
                <w:szCs w:val="20"/>
                <w:color w:val="auto"/>
              </w:rPr>
              <w:t>Property, plant and equipment, gross</w:t>
            </w:r>
          </w:p>
        </w:tc>
        <w:tc>
          <w:tcPr>
            <w:tcW w:w="12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45,648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45,507</w:t>
            </w:r>
          </w:p>
        </w:tc>
      </w:tr>
      <w:tr>
        <w:trPr>
          <w:trHeight w:val="229"/>
        </w:trPr>
        <w:tc>
          <w:tcPr>
            <w:tcW w:w="7040" w:type="dxa"/>
            <w:vAlign w:val="bottom"/>
            <w:gridSpan w:val="2"/>
            <w:shd w:val="clear" w:color="auto" w:fill="E9E9E9"/>
          </w:tcPr>
          <w:p>
            <w:pPr>
              <w:spacing w:after="0" w:line="229" w:lineRule="exact"/>
              <w:rPr>
                <w:sz w:val="20"/>
                <w:szCs w:val="20"/>
                <w:color w:val="auto"/>
              </w:rPr>
            </w:pPr>
            <w:r>
              <w:rPr>
                <w:rFonts w:ascii="Arial" w:cs="Arial" w:eastAsia="Arial" w:hAnsi="Arial"/>
                <w:sz w:val="20"/>
                <w:szCs w:val="20"/>
                <w:color w:val="auto"/>
              </w:rPr>
              <w:t>Less accumulated depreciation</w:t>
            </w: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9" w:lineRule="exact"/>
              <w:rPr>
                <w:sz w:val="20"/>
                <w:szCs w:val="20"/>
                <w:color w:val="auto"/>
              </w:rPr>
            </w:pPr>
            <w:r>
              <w:rPr>
                <w:rFonts w:ascii="Arial" w:cs="Arial" w:eastAsia="Arial" w:hAnsi="Arial"/>
                <w:sz w:val="20"/>
                <w:szCs w:val="20"/>
                <w:color w:val="auto"/>
              </w:rPr>
              <w:t>(19,411)</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9" w:lineRule="exact"/>
              <w:rPr>
                <w:sz w:val="20"/>
                <w:szCs w:val="20"/>
                <w:color w:val="auto"/>
              </w:rPr>
            </w:pPr>
            <w:r>
              <w:rPr>
                <w:rFonts w:ascii="Arial" w:cs="Arial" w:eastAsia="Arial" w:hAnsi="Arial"/>
                <w:sz w:val="20"/>
                <w:szCs w:val="20"/>
                <w:color w:val="auto"/>
              </w:rPr>
              <w:t>(24,679)</w:t>
            </w:r>
          </w:p>
        </w:tc>
        <w:tc>
          <w:tcPr>
            <w:tcW w:w="100" w:type="dxa"/>
            <w:vAlign w:val="bottom"/>
            <w:shd w:val="clear" w:color="auto" w:fill="E9E9E9"/>
          </w:tcPr>
          <w:p>
            <w:pPr>
              <w:spacing w:after="0"/>
              <w:rPr>
                <w:sz w:val="19"/>
                <w:szCs w:val="19"/>
                <w:color w:val="auto"/>
              </w:rPr>
            </w:pPr>
          </w:p>
        </w:tc>
      </w:tr>
      <w:tr>
        <w:trPr>
          <w:trHeight w:val="219"/>
        </w:trPr>
        <w:tc>
          <w:tcPr>
            <w:tcW w:w="160" w:type="dxa"/>
            <w:vAlign w:val="bottom"/>
          </w:tcPr>
          <w:p>
            <w:pPr>
              <w:spacing w:after="0"/>
              <w:rPr>
                <w:sz w:val="19"/>
                <w:szCs w:val="19"/>
                <w:color w:val="auto"/>
              </w:rPr>
            </w:pPr>
          </w:p>
        </w:tc>
        <w:tc>
          <w:tcPr>
            <w:tcW w:w="6880" w:type="dxa"/>
            <w:vAlign w:val="bottom"/>
          </w:tcPr>
          <w:p>
            <w:pPr>
              <w:ind w:left="40"/>
              <w:spacing w:after="0" w:line="217" w:lineRule="exact"/>
              <w:rPr>
                <w:sz w:val="20"/>
                <w:szCs w:val="20"/>
                <w:color w:val="auto"/>
              </w:rPr>
            </w:pPr>
            <w:r>
              <w:rPr>
                <w:rFonts w:ascii="Arial" w:cs="Arial" w:eastAsia="Arial" w:hAnsi="Arial"/>
                <w:sz w:val="20"/>
                <w:szCs w:val="20"/>
                <w:color w:val="auto"/>
              </w:rPr>
              <w:t>Property, plant and equipment, net</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26,237</w:t>
            </w:r>
          </w:p>
        </w:tc>
        <w:tc>
          <w:tcPr>
            <w:tcW w:w="740" w:type="dxa"/>
            <w:vAlign w:val="bottom"/>
            <w:gridSpan w:val="3"/>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20,828</w:t>
            </w:r>
          </w:p>
        </w:tc>
      </w:tr>
      <w:tr>
        <w:trPr>
          <w:trHeight w:val="20"/>
        </w:trPr>
        <w:tc>
          <w:tcPr>
            <w:tcW w:w="1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-888365</wp:posOffset>
                </wp:positionV>
                <wp:extent cx="7112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69.9499pt" to="534.4pt,-69.9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-766445</wp:posOffset>
                </wp:positionV>
                <wp:extent cx="7112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60.3499pt" to="534.4pt,-60.3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-472440</wp:posOffset>
                </wp:positionV>
                <wp:extent cx="7112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37.1999pt" to="534.4pt,-37.1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-175895</wp:posOffset>
                </wp:positionV>
                <wp:extent cx="7112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3.8499pt" to="534.4pt,-13.8499pt" o:allowincell="f" strokecolor="#FFFFFF" strokeweight="0.4752pt"/>
            </w:pict>
          </mc:Fallback>
        </mc:AlternateConten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 was $5.1 million, $3.6 million and $3.2 million for 2023, 2022 and 2021,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20"/>
                <w:szCs w:val="20"/>
                <w:b w:val="1"/>
                <w:bCs w:val="1"/>
                <w:color w:val="auto"/>
              </w:rPr>
              <w:t>6.</w:t>
            </w:r>
          </w:p>
        </w:tc>
        <w:tc>
          <w:tcPr>
            <w:tcW w:w="5700" w:type="dxa"/>
            <w:vAlign w:val="bottom"/>
          </w:tcPr>
          <w:p>
            <w:pPr>
              <w:ind w:left="160"/>
              <w:spacing w:after="0"/>
              <w:rPr>
                <w:sz w:val="20"/>
                <w:szCs w:val="20"/>
                <w:color w:val="auto"/>
              </w:rPr>
            </w:pPr>
            <w:r>
              <w:rPr>
                <w:rFonts w:ascii="Arial" w:cs="Arial" w:eastAsia="Arial" w:hAnsi="Arial"/>
                <w:sz w:val="20"/>
                <w:szCs w:val="20"/>
                <w:b w:val="1"/>
                <w:bCs w:val="1"/>
                <w:color w:val="auto"/>
              </w:rPr>
              <w:t>Goodwill and Intangible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89"/>
              </w:rPr>
              <w:t>Engineered</w:t>
            </w:r>
          </w:p>
        </w:tc>
        <w:tc>
          <w:tcPr>
            <w:tcW w:w="1440" w:type="dxa"/>
            <w:vAlign w:val="bottom"/>
            <w:gridSpan w:val="3"/>
          </w:tcPr>
          <w:p>
            <w:pPr>
              <w:jc w:val="center"/>
              <w:ind w:right="18"/>
              <w:spacing w:after="0"/>
              <w:rPr>
                <w:sz w:val="20"/>
                <w:szCs w:val="20"/>
                <w:color w:val="auto"/>
              </w:rPr>
            </w:pPr>
            <w:r>
              <w:rPr>
                <w:rFonts w:ascii="Arial" w:cs="Arial" w:eastAsia="Arial" w:hAnsi="Arial"/>
                <w:sz w:val="16"/>
                <w:szCs w:val="16"/>
                <w:b w:val="1"/>
                <w:bCs w:val="1"/>
                <w:color w:val="auto"/>
                <w:w w:val="87"/>
              </w:rPr>
              <w:t>Industrial Process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4"/>
          </w:tcPr>
          <w:p>
            <w:pPr>
              <w:jc w:val="center"/>
              <w:ind w:right="340"/>
              <w:spacing w:after="0" w:line="183" w:lineRule="exact"/>
              <w:rPr>
                <w:sz w:val="20"/>
                <w:szCs w:val="20"/>
                <w:color w:val="auto"/>
              </w:rPr>
            </w:pPr>
            <w:r>
              <w:rPr>
                <w:rFonts w:ascii="Arial" w:cs="Arial" w:eastAsia="Arial" w:hAnsi="Arial"/>
                <w:sz w:val="16"/>
                <w:szCs w:val="16"/>
                <w:b w:val="1"/>
                <w:bCs w:val="1"/>
                <w:color w:val="auto"/>
                <w:w w:val="81"/>
              </w:rPr>
              <w:t>Systems</w:t>
            </w:r>
          </w:p>
        </w:tc>
        <w:tc>
          <w:tcPr>
            <w:tcW w:w="120" w:type="dxa"/>
            <w:vAlign w:val="bottom"/>
          </w:tcPr>
          <w:p>
            <w:pPr>
              <w:spacing w:after="0"/>
              <w:rPr>
                <w:sz w:val="15"/>
                <w:szCs w:val="15"/>
                <w:color w:val="auto"/>
              </w:rPr>
            </w:pPr>
          </w:p>
        </w:tc>
        <w:tc>
          <w:tcPr>
            <w:tcW w:w="1320" w:type="dxa"/>
            <w:vAlign w:val="bottom"/>
            <w:gridSpan w:val="2"/>
          </w:tcPr>
          <w:p>
            <w:pPr>
              <w:jc w:val="center"/>
              <w:ind w:right="138"/>
              <w:spacing w:after="0" w:line="175" w:lineRule="exact"/>
              <w:rPr>
                <w:sz w:val="20"/>
                <w:szCs w:val="20"/>
                <w:color w:val="auto"/>
              </w:rPr>
            </w:pPr>
            <w:r>
              <w:rPr>
                <w:rFonts w:ascii="Arial" w:cs="Arial" w:eastAsia="Arial" w:hAnsi="Arial"/>
                <w:sz w:val="16"/>
                <w:szCs w:val="16"/>
                <w:b w:val="1"/>
                <w:bCs w:val="1"/>
                <w:color w:val="auto"/>
                <w:w w:val="84"/>
              </w:rPr>
              <w:t>Solutions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020" w:type="dxa"/>
            <w:vAlign w:val="bottom"/>
            <w:gridSpan w:val="2"/>
          </w:tcPr>
          <w:p>
            <w:pPr>
              <w:spacing w:after="0"/>
              <w:rPr>
                <w:sz w:val="20"/>
                <w:szCs w:val="20"/>
                <w:color w:val="auto"/>
              </w:rPr>
            </w:pPr>
            <w:r>
              <w:rPr>
                <w:rFonts w:ascii="Arial" w:cs="Arial" w:eastAsia="Arial" w:hAnsi="Arial"/>
                <w:sz w:val="16"/>
                <w:szCs w:val="16"/>
                <w:b w:val="1"/>
                <w:bCs w:val="1"/>
                <w:color w:val="auto"/>
              </w:rPr>
              <w:t>(table only in thousands)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6"/>
                <w:szCs w:val="16"/>
                <w:color w:val="auto"/>
              </w:rPr>
            </w:pPr>
          </w:p>
        </w:tc>
        <w:tc>
          <w:tcPr>
            <w:tcW w:w="1320" w:type="dxa"/>
            <w:vAlign w:val="bottom"/>
            <w:gridSpan w:val="2"/>
          </w:tcPr>
          <w:p>
            <w:pPr>
              <w:jc w:val="center"/>
              <w:ind w:right="118"/>
              <w:spacing w:after="0" w:line="179" w:lineRule="exact"/>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Totals</w:t>
            </w:r>
          </w:p>
        </w:tc>
      </w:tr>
      <w:tr>
        <w:trPr>
          <w:trHeight w:val="218"/>
        </w:trPr>
        <w:tc>
          <w:tcPr>
            <w:tcW w:w="6020" w:type="dxa"/>
            <w:vAlign w:val="bottom"/>
            <w:tcBorders>
              <w:top w:val="single" w:sz="8" w:color="E9E9E9"/>
            </w:tcBorders>
            <w:gridSpan w:val="2"/>
            <w:shd w:val="clear" w:color="auto" w:fill="E9E9E9"/>
          </w:tcPr>
          <w:p>
            <w:pPr>
              <w:spacing w:after="0" w:line="217" w:lineRule="exact"/>
              <w:rPr>
                <w:sz w:val="20"/>
                <w:szCs w:val="20"/>
                <w:color w:val="auto"/>
              </w:rPr>
            </w:pPr>
            <w:r>
              <w:rPr>
                <w:rFonts w:ascii="Arial" w:cs="Arial" w:eastAsia="Arial" w:hAnsi="Arial"/>
                <w:sz w:val="20"/>
                <w:szCs w:val="20"/>
                <w:color w:val="auto"/>
              </w:rPr>
              <w:t>Balance of goodwill at December 31, 2021</w:t>
            </w: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99,303</w:t>
            </w: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61,880</w:t>
            </w:r>
          </w:p>
        </w:tc>
        <w:tc>
          <w:tcPr>
            <w:tcW w:w="10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161,183</w:t>
            </w:r>
          </w:p>
        </w:tc>
        <w:tc>
          <w:tcPr>
            <w:tcW w:w="100" w:type="dxa"/>
            <w:vAlign w:val="bottom"/>
            <w:tcBorders>
              <w:top w:val="single" w:sz="8" w:color="E9E9E9"/>
            </w:tcBorders>
            <w:shd w:val="clear" w:color="auto" w:fill="E9E9E9"/>
          </w:tcPr>
          <w:p>
            <w:pPr>
              <w:spacing w:after="0"/>
              <w:rPr>
                <w:sz w:val="18"/>
                <w:szCs w:val="18"/>
                <w:color w:val="auto"/>
              </w:rPr>
            </w:pPr>
          </w:p>
        </w:tc>
      </w:tr>
      <w:tr>
        <w:trPr>
          <w:trHeight w:val="225"/>
        </w:trPr>
        <w:tc>
          <w:tcPr>
            <w:tcW w:w="6020" w:type="dxa"/>
            <w:vAlign w:val="bottom"/>
            <w:gridSpan w:val="2"/>
          </w:tcPr>
          <w:p>
            <w:pPr>
              <w:spacing w:after="0" w:line="225" w:lineRule="exact"/>
              <w:rPr>
                <w:sz w:val="20"/>
                <w:szCs w:val="20"/>
                <w:color w:val="auto"/>
              </w:rPr>
            </w:pPr>
            <w:r>
              <w:rPr>
                <w:rFonts w:ascii="Arial" w:cs="Arial" w:eastAsia="Arial" w:hAnsi="Arial"/>
                <w:sz w:val="20"/>
                <w:szCs w:val="20"/>
                <w:color w:val="auto"/>
              </w:rPr>
              <w:t>Acquisitions</w:t>
            </w:r>
          </w:p>
        </w:tc>
        <w:tc>
          <w:tcPr>
            <w:tcW w:w="2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w:t>
            </w:r>
          </w:p>
        </w:tc>
        <w:tc>
          <w:tcPr>
            <w:tcW w:w="1340" w:type="dxa"/>
            <w:vAlign w:val="bottom"/>
            <w:gridSpan w:val="2"/>
          </w:tcPr>
          <w:p>
            <w:pPr>
              <w:jc w:val="right"/>
              <w:ind w:right="38"/>
              <w:spacing w:after="0" w:line="225" w:lineRule="exact"/>
              <w:rPr>
                <w:sz w:val="20"/>
                <w:szCs w:val="20"/>
                <w:color w:val="auto"/>
              </w:rPr>
            </w:pPr>
            <w:r>
              <w:rPr>
                <w:rFonts w:ascii="Arial" w:cs="Arial" w:eastAsia="Arial" w:hAnsi="Arial"/>
                <w:sz w:val="20"/>
                <w:szCs w:val="20"/>
                <w:color w:val="auto"/>
              </w:rPr>
              <w:t>15,968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line="225" w:lineRule="exact"/>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line="225" w:lineRule="exact"/>
              <w:rPr>
                <w:sz w:val="20"/>
                <w:szCs w:val="20"/>
                <w:color w:val="auto"/>
              </w:rPr>
            </w:pPr>
            <w:r>
              <w:rPr>
                <w:rFonts w:ascii="Arial" w:cs="Arial" w:eastAsia="Arial" w:hAnsi="Arial"/>
                <w:sz w:val="20"/>
                <w:szCs w:val="20"/>
                <w:color w:val="auto"/>
              </w:rPr>
              <w:t>7,344</w:t>
            </w:r>
          </w:p>
        </w:tc>
        <w:tc>
          <w:tcPr>
            <w:tcW w:w="100" w:type="dxa"/>
            <w:vAlign w:val="bottom"/>
          </w:tcPr>
          <w:p>
            <w:pPr>
              <w:spacing w:after="0"/>
              <w:rPr>
                <w:sz w:val="19"/>
                <w:szCs w:val="19"/>
                <w:color w:val="auto"/>
              </w:rPr>
            </w:pPr>
          </w:p>
        </w:tc>
        <w:tc>
          <w:tcPr>
            <w:tcW w:w="24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23,312</w:t>
            </w:r>
          </w:p>
        </w:tc>
      </w:tr>
      <w:tr>
        <w:trPr>
          <w:trHeight w:val="228"/>
        </w:trPr>
        <w:tc>
          <w:tcPr>
            <w:tcW w:w="6020" w:type="dxa"/>
            <w:vAlign w:val="bottom"/>
            <w:tcBorders>
              <w:bottom w:val="single" w:sz="8" w:color="E9E9E9"/>
            </w:tcBorders>
            <w:gridSpan w:val="2"/>
            <w:shd w:val="clear" w:color="auto" w:fill="E9E9E9"/>
          </w:tcPr>
          <w:p>
            <w:pPr>
              <w:spacing w:after="0" w:line="228" w:lineRule="exact"/>
              <w:rPr>
                <w:sz w:val="20"/>
                <w:szCs w:val="20"/>
                <w:color w:val="auto"/>
              </w:rPr>
            </w:pPr>
            <w:r>
              <w:rPr>
                <w:rFonts w:ascii="Arial" w:cs="Arial" w:eastAsia="Arial" w:hAnsi="Arial"/>
                <w:sz w:val="20"/>
                <w:szCs w:val="20"/>
                <w:color w:val="auto"/>
              </w:rPr>
              <w:t>Foreign currency translation</w:t>
            </w:r>
          </w:p>
        </w:tc>
        <w:tc>
          <w:tcPr>
            <w:tcW w:w="80" w:type="dxa"/>
            <w:vAlign w:val="bottom"/>
            <w:tcBorders>
              <w:bottom w:val="single" w:sz="8" w:color="E9E9E9"/>
            </w:tcBorders>
            <w:shd w:val="clear" w:color="auto" w:fill="E9E9E9"/>
          </w:tcPr>
          <w:p>
            <w:pPr>
              <w:spacing w:after="0"/>
              <w:rPr>
                <w:sz w:val="19"/>
                <w:szCs w:val="19"/>
                <w:color w:val="auto"/>
              </w:rPr>
            </w:pPr>
          </w:p>
        </w:tc>
        <w:tc>
          <w:tcPr>
            <w:tcW w:w="20" w:type="dxa"/>
            <w:vAlign w:val="bottom"/>
            <w:tcBorders>
              <w:bottom w:val="single" w:sz="8" w:color="E9E9E9"/>
            </w:tcBorders>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2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(525</w:t>
            </w:r>
          </w:p>
        </w:tc>
        <w:tc>
          <w:tcPr>
            <w:tcW w:w="1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auto"/>
                <w:w w:val="74"/>
                <w:shd w:val="clear" w:color="auto" w:fill="E9E9E9"/>
              </w:rPr>
              <w:t>)</w:t>
            </w:r>
          </w:p>
        </w:tc>
        <w:tc>
          <w:tcPr>
            <w:tcW w:w="80" w:type="dxa"/>
            <w:vAlign w:val="bottom"/>
            <w:tcBorders>
              <w:bottom w:val="single" w:sz="8" w:color="auto"/>
            </w:tcBorders>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2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(773</w:t>
            </w:r>
          </w:p>
        </w:tc>
        <w:tc>
          <w:tcPr>
            <w:tcW w:w="1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auto"/>
                <w:w w:val="74"/>
                <w:shd w:val="clear" w:color="auto" w:fill="E9E9E9"/>
              </w:rPr>
              <w:t>)</w:t>
            </w:r>
          </w:p>
        </w:tc>
        <w:tc>
          <w:tcPr>
            <w:tcW w:w="100" w:type="dxa"/>
            <w:vAlign w:val="bottom"/>
            <w:tcBorders>
              <w:bottom w:val="single" w:sz="8" w:color="auto"/>
            </w:tcBorders>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2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(1,298)</w:t>
            </w:r>
          </w:p>
        </w:tc>
        <w:tc>
          <w:tcPr>
            <w:tcW w:w="100" w:type="dxa"/>
            <w:vAlign w:val="bottom"/>
            <w:tcBorders>
              <w:bottom w:val="single" w:sz="8" w:color="E9E9E9"/>
            </w:tcBorders>
            <w:shd w:val="clear" w:color="auto" w:fill="E9E9E9"/>
          </w:tcPr>
          <w:p>
            <w:pPr>
              <w:spacing w:after="0"/>
              <w:rPr>
                <w:sz w:val="19"/>
                <w:szCs w:val="19"/>
                <w:color w:val="auto"/>
              </w:rPr>
            </w:pPr>
          </w:p>
        </w:tc>
      </w:tr>
      <w:tr>
        <w:trPr>
          <w:trHeight w:val="218"/>
        </w:trPr>
        <w:tc>
          <w:tcPr>
            <w:tcW w:w="6020" w:type="dxa"/>
            <w:vAlign w:val="bottom"/>
            <w:gridSpan w:val="2"/>
          </w:tcPr>
          <w:p>
            <w:pPr>
              <w:spacing w:after="0" w:line="217" w:lineRule="exact"/>
              <w:rPr>
                <w:sz w:val="20"/>
                <w:szCs w:val="20"/>
                <w:color w:val="auto"/>
              </w:rPr>
            </w:pPr>
            <w:r>
              <w:rPr>
                <w:rFonts w:ascii="Arial" w:cs="Arial" w:eastAsia="Arial" w:hAnsi="Arial"/>
                <w:sz w:val="20"/>
                <w:szCs w:val="20"/>
                <w:color w:val="auto"/>
              </w:rPr>
              <w:t>Balance of goodwill at December 31, 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8"/>
              <w:spacing w:after="0" w:line="217" w:lineRule="exact"/>
              <w:rPr>
                <w:sz w:val="20"/>
                <w:szCs w:val="20"/>
                <w:color w:val="auto"/>
              </w:rPr>
            </w:pPr>
            <w:r>
              <w:rPr>
                <w:rFonts w:ascii="Arial" w:cs="Arial" w:eastAsia="Arial" w:hAnsi="Arial"/>
                <w:sz w:val="20"/>
                <w:szCs w:val="20"/>
                <w:color w:val="auto"/>
              </w:rPr>
              <w:t>114,746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line="217" w:lineRule="exact"/>
              <w:rPr>
                <w:sz w:val="20"/>
                <w:szCs w:val="20"/>
                <w:color w:val="auto"/>
              </w:rPr>
            </w:pPr>
            <w:r>
              <w:rPr>
                <w:rFonts w:ascii="Arial" w:cs="Arial" w:eastAsia="Arial" w:hAnsi="Arial"/>
                <w:sz w:val="20"/>
                <w:szCs w:val="20"/>
                <w:color w:val="auto"/>
              </w:rPr>
              <w:t>68,451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183,197</w:t>
            </w:r>
          </w:p>
        </w:tc>
      </w:tr>
      <w:tr>
        <w:trPr>
          <w:trHeight w:val="228"/>
        </w:trPr>
        <w:tc>
          <w:tcPr>
            <w:tcW w:w="6020" w:type="dxa"/>
            <w:vAlign w:val="bottom"/>
            <w:gridSpan w:val="2"/>
            <w:shd w:val="clear" w:color="auto" w:fill="E9E9E9"/>
          </w:tcPr>
          <w:p>
            <w:pPr>
              <w:spacing w:after="0" w:line="228" w:lineRule="exact"/>
              <w:rPr>
                <w:sz w:val="20"/>
                <w:szCs w:val="20"/>
                <w:color w:val="auto"/>
              </w:rPr>
            </w:pPr>
            <w:r>
              <w:rPr>
                <w:rFonts w:ascii="Arial" w:cs="Arial" w:eastAsia="Arial" w:hAnsi="Arial"/>
                <w:sz w:val="20"/>
                <w:szCs w:val="20"/>
                <w:color w:val="auto"/>
              </w:rPr>
              <w:t>Acquisitions</w:t>
            </w: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27,152</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27,152</w:t>
            </w:r>
          </w:p>
        </w:tc>
        <w:tc>
          <w:tcPr>
            <w:tcW w:w="100" w:type="dxa"/>
            <w:vAlign w:val="bottom"/>
            <w:shd w:val="clear" w:color="auto" w:fill="E9E9E9"/>
          </w:tcPr>
          <w:p>
            <w:pPr>
              <w:spacing w:after="0"/>
              <w:rPr>
                <w:sz w:val="19"/>
                <w:szCs w:val="19"/>
                <w:color w:val="auto"/>
              </w:rPr>
            </w:pPr>
          </w:p>
        </w:tc>
      </w:tr>
      <w:tr>
        <w:trPr>
          <w:trHeight w:val="228"/>
        </w:trPr>
        <w:tc>
          <w:tcPr>
            <w:tcW w:w="6020" w:type="dxa"/>
            <w:vAlign w:val="bottom"/>
            <w:gridSpan w:val="2"/>
          </w:tcPr>
          <w:p>
            <w:pPr>
              <w:spacing w:after="0" w:line="228" w:lineRule="exact"/>
              <w:rPr>
                <w:sz w:val="20"/>
                <w:szCs w:val="20"/>
                <w:color w:val="auto"/>
              </w:rPr>
            </w:pPr>
            <w:r>
              <w:rPr>
                <w:rFonts w:ascii="Arial" w:cs="Arial" w:eastAsia="Arial" w:hAnsi="Arial"/>
                <w:sz w:val="20"/>
                <w:szCs w:val="20"/>
                <w:color w:val="auto"/>
              </w:rPr>
              <w:t>Foreign currency translation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8"/>
              <w:spacing w:after="0" w:line="228" w:lineRule="exact"/>
              <w:rPr>
                <w:sz w:val="20"/>
                <w:szCs w:val="20"/>
                <w:color w:val="auto"/>
              </w:rPr>
            </w:pPr>
            <w:r>
              <w:rPr>
                <w:rFonts w:ascii="Arial" w:cs="Arial" w:eastAsia="Arial" w:hAnsi="Arial"/>
                <w:sz w:val="20"/>
                <w:szCs w:val="20"/>
                <w:color w:val="auto"/>
              </w:rPr>
              <w:t>331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646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977</w:t>
            </w:r>
          </w:p>
        </w:tc>
      </w:tr>
      <w:tr>
        <w:trPr>
          <w:trHeight w:val="219"/>
        </w:trPr>
        <w:tc>
          <w:tcPr>
            <w:tcW w:w="6020" w:type="dxa"/>
            <w:vAlign w:val="bottom"/>
            <w:tcBorders>
              <w:top w:val="single" w:sz="8" w:color="E9E9E9"/>
            </w:tcBorders>
            <w:gridSpan w:val="2"/>
            <w:shd w:val="clear" w:color="auto" w:fill="E9E9E9"/>
          </w:tcPr>
          <w:p>
            <w:pPr>
              <w:spacing w:after="0" w:line="217" w:lineRule="exact"/>
              <w:rPr>
                <w:sz w:val="20"/>
                <w:szCs w:val="20"/>
                <w:color w:val="auto"/>
              </w:rPr>
            </w:pPr>
            <w:r>
              <w:rPr>
                <w:rFonts w:ascii="Arial" w:cs="Arial" w:eastAsia="Arial" w:hAnsi="Arial"/>
                <w:sz w:val="20"/>
                <w:szCs w:val="20"/>
                <w:color w:val="auto"/>
              </w:rPr>
              <w:t>Balance of goodwill at December 31, 2023</w:t>
            </w:r>
          </w:p>
        </w:tc>
        <w:tc>
          <w:tcPr>
            <w:tcW w:w="8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142,229</w:t>
            </w:r>
          </w:p>
        </w:tc>
        <w:tc>
          <w:tcPr>
            <w:tcW w:w="120" w:type="dxa"/>
            <w:vAlign w:val="bottom"/>
            <w:tcBorders>
              <w:top w:val="single" w:sz="8" w:color="E9E9E9"/>
            </w:tcBorders>
            <w:shd w:val="clear" w:color="auto" w:fill="E9E9E9"/>
          </w:tcPr>
          <w:p>
            <w:pPr>
              <w:spacing w:after="0"/>
              <w:rPr>
                <w:sz w:val="19"/>
                <w:szCs w:val="19"/>
                <w:color w:val="auto"/>
              </w:rPr>
            </w:pPr>
          </w:p>
        </w:tc>
        <w:tc>
          <w:tcPr>
            <w:tcW w:w="8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69,097</w:t>
            </w:r>
          </w:p>
        </w:tc>
        <w:tc>
          <w:tcPr>
            <w:tcW w:w="100" w:type="dxa"/>
            <w:vAlign w:val="bottom"/>
            <w:tcBorders>
              <w:top w:val="single" w:sz="8" w:color="E9E9E9"/>
            </w:tcBorders>
            <w:shd w:val="clear" w:color="auto" w:fill="E9E9E9"/>
          </w:tcPr>
          <w:p>
            <w:pPr>
              <w:spacing w:after="0"/>
              <w:rPr>
                <w:sz w:val="19"/>
                <w:szCs w:val="19"/>
                <w:color w:val="auto"/>
              </w:rPr>
            </w:pPr>
          </w:p>
        </w:tc>
        <w:tc>
          <w:tcPr>
            <w:tcW w:w="1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211,326</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-617220</wp:posOffset>
                </wp:positionV>
                <wp:extent cx="7112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48.5999pt" to="534.4pt,-48.5999pt" o:allowincell="f" strokecolor="#FFFFFF" strokeweight="0.4752pt"/>
            </w:pict>
          </mc:Fallback>
        </mc:AlternateContent>
      </w:r>
    </w:p>
    <w:p>
      <w:pPr>
        <w:spacing w:after="0" w:line="254"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As of December 31, 2023 and 2022, the Company has an aggregate amount of goodwill acquired of $272.0 million and $243.9 million, respectively, and an aggregate amount of impairment losses of $60.7 million which was recognized in 2017.</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indefinite lived intangible assets as of December 31, 2023 and 2022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6"/>
                <w:szCs w:val="16"/>
                <w:b w:val="1"/>
                <w:bCs w:val="1"/>
                <w:color w:val="auto"/>
              </w:rPr>
              <w:t>Tradenames</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0"/>
        </w:trPr>
        <w:tc>
          <w:tcPr>
            <w:tcW w:w="3760" w:type="dxa"/>
            <w:vAlign w:val="bottom"/>
            <w:tcBorders>
              <w:bottom w:val="single" w:sz="8" w:color="E9E9E9"/>
            </w:tcBorders>
          </w:tcPr>
          <w:p>
            <w:pPr>
              <w:spacing w:after="0" w:line="170" w:lineRule="exact"/>
              <w:rPr>
                <w:sz w:val="20"/>
                <w:szCs w:val="20"/>
                <w:color w:val="auto"/>
              </w:rPr>
            </w:pPr>
            <w:r>
              <w:rPr>
                <w:rFonts w:ascii="Arial" w:cs="Arial" w:eastAsia="Arial" w:hAnsi="Arial"/>
                <w:sz w:val="16"/>
                <w:szCs w:val="16"/>
                <w:b w:val="1"/>
                <w:bCs w:val="1"/>
                <w:color w:val="auto"/>
              </w:rPr>
              <w:t>(table only in thousands)</w:t>
            </w:r>
          </w:p>
        </w:tc>
        <w:tc>
          <w:tcPr>
            <w:tcW w:w="3280" w:type="dxa"/>
            <w:vAlign w:val="bottom"/>
            <w:tcBorders>
              <w:bottom w:val="single" w:sz="8" w:color="E9E9E9"/>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9"/>
              <w:spacing w:after="0" w:line="170"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E9E9E9"/>
            </w:tcBorders>
          </w:tcPr>
          <w:p>
            <w:pPr>
              <w:spacing w:after="0"/>
              <w:rPr>
                <w:sz w:val="14"/>
                <w:szCs w:val="14"/>
                <w:color w:val="auto"/>
              </w:rPr>
            </w:pPr>
          </w:p>
        </w:tc>
        <w:tc>
          <w:tcPr>
            <w:tcW w:w="20" w:type="dxa"/>
            <w:vAlign w:val="bottom"/>
            <w:tcBorders>
              <w:bottom w:val="single" w:sz="8" w:color="E9E9E9"/>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6"/>
              <w:spacing w:after="0" w:line="170"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9E9E9"/>
            </w:tcBorders>
          </w:tcPr>
          <w:p>
            <w:pPr>
              <w:spacing w:after="0"/>
              <w:rPr>
                <w:sz w:val="14"/>
                <w:szCs w:val="14"/>
                <w:color w:val="auto"/>
              </w:rPr>
            </w:pPr>
          </w:p>
        </w:tc>
      </w:tr>
      <w:tr>
        <w:trPr>
          <w:trHeight w:val="218"/>
        </w:trPr>
        <w:tc>
          <w:tcPr>
            <w:tcW w:w="376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Balance beginning of year</w:t>
            </w:r>
          </w:p>
        </w:tc>
        <w:tc>
          <w:tcPr>
            <w:tcW w:w="328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9,508</w:t>
            </w:r>
          </w:p>
        </w:tc>
        <w:tc>
          <w:tcPr>
            <w:tcW w:w="2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500" w:type="dxa"/>
            <w:vAlign w:val="bottom"/>
            <w:shd w:val="clear" w:color="auto" w:fill="E9E9E9"/>
          </w:tcPr>
          <w:p>
            <w:pPr>
              <w:jc w:val="right"/>
              <w:ind w:right="301"/>
              <w:spacing w:after="0" w:line="217"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9,629</w:t>
            </w:r>
          </w:p>
        </w:tc>
        <w:tc>
          <w:tcPr>
            <w:tcW w:w="100" w:type="dxa"/>
            <w:vAlign w:val="bottom"/>
            <w:shd w:val="clear" w:color="auto" w:fill="E9E9E9"/>
          </w:tcPr>
          <w:p>
            <w:pPr>
              <w:spacing w:after="0"/>
              <w:rPr>
                <w:sz w:val="18"/>
                <w:szCs w:val="18"/>
                <w:color w:val="auto"/>
              </w:rPr>
            </w:pPr>
          </w:p>
        </w:tc>
      </w:tr>
      <w:tr>
        <w:trPr>
          <w:trHeight w:val="228"/>
        </w:trPr>
        <w:tc>
          <w:tcPr>
            <w:tcW w:w="3760" w:type="dxa"/>
            <w:vAlign w:val="bottom"/>
          </w:tcPr>
          <w:p>
            <w:pPr>
              <w:spacing w:after="0" w:line="228" w:lineRule="exact"/>
              <w:rPr>
                <w:sz w:val="20"/>
                <w:szCs w:val="20"/>
                <w:color w:val="auto"/>
              </w:rPr>
            </w:pPr>
            <w:r>
              <w:rPr>
                <w:rFonts w:ascii="Arial" w:cs="Arial" w:eastAsia="Arial" w:hAnsi="Arial"/>
                <w:sz w:val="20"/>
                <w:szCs w:val="20"/>
                <w:color w:val="auto"/>
              </w:rPr>
              <w:t>Foreign currency adjustments</w:t>
            </w: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(121)</w:t>
            </w:r>
          </w:p>
        </w:tc>
      </w:tr>
      <w:tr>
        <w:trPr>
          <w:trHeight w:val="219"/>
        </w:trPr>
        <w:tc>
          <w:tcPr>
            <w:tcW w:w="37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Balance end of year</w:t>
            </w:r>
          </w:p>
        </w:tc>
        <w:tc>
          <w:tcPr>
            <w:tcW w:w="328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9,570</w:t>
            </w:r>
          </w:p>
        </w:tc>
        <w:tc>
          <w:tcPr>
            <w:tcW w:w="2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500" w:type="dxa"/>
            <w:vAlign w:val="bottom"/>
            <w:tcBorders>
              <w:top w:val="single" w:sz="8" w:color="auto"/>
              <w:bottom w:val="single" w:sz="8" w:color="auto"/>
            </w:tcBorders>
            <w:shd w:val="clear" w:color="auto" w:fill="E9E9E9"/>
          </w:tcPr>
          <w:p>
            <w:pPr>
              <w:jc w:val="right"/>
              <w:ind w:right="301"/>
              <w:spacing w:after="0" w:line="217"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9,508</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9"/>
        </w:trPr>
        <w:tc>
          <w:tcPr>
            <w:tcW w:w="3760" w:type="dxa"/>
            <w:vAlign w:val="bottom"/>
          </w:tcPr>
          <w:p>
            <w:pPr>
              <w:spacing w:after="0"/>
              <w:rPr>
                <w:sz w:val="24"/>
                <w:szCs w:val="24"/>
                <w:color w:val="auto"/>
              </w:rPr>
            </w:pPr>
          </w:p>
        </w:tc>
        <w:tc>
          <w:tcPr>
            <w:tcW w:w="3400" w:type="dxa"/>
            <w:vAlign w:val="bottom"/>
            <w:gridSpan w:val="2"/>
          </w:tcPr>
          <w:p>
            <w:pPr>
              <w:jc w:val="right"/>
              <w:ind w:right="1541"/>
              <w:spacing w:after="0"/>
              <w:rPr>
                <w:sz w:val="20"/>
                <w:szCs w:val="20"/>
                <w:color w:val="auto"/>
              </w:rPr>
            </w:pPr>
            <w:r>
              <w:rPr>
                <w:rFonts w:ascii="Arial" w:cs="Arial" w:eastAsia="Arial" w:hAnsi="Arial"/>
                <w:sz w:val="20"/>
                <w:szCs w:val="20"/>
                <w:color w:val="auto"/>
              </w:rPr>
              <w:t>F-15</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-1046480</wp:posOffset>
                </wp:positionV>
                <wp:extent cx="7112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82.3999pt" to="534.4pt,-82.3999pt" o:allowincell="f" strokecolor="#FFFFFF" strokeweight="0.4752pt"/>
            </w:pict>
          </mc:Fallback>
        </mc:AlternateContent>
      </w:r>
    </w:p>
    <w:p>
      <w:pPr>
        <w:sectPr>
          <w:pgSz w:w="11880" w:h="15480" w:orient="portrait"/>
          <w:cols w:equalWidth="0" w:num="1">
            <w:col w:w="10680"/>
          </w:cols>
          <w:pgMar w:left="600" w:top="849" w:right="600" w:bottom="46" w:gutter="0" w:footer="0" w:header="0"/>
        </w:sectPr>
      </w:pPr>
    </w:p>
    <w:bookmarkStart w:id="75" w:name="page76"/>
    <w:bookmarkEnd w:id="75"/>
    <w:p>
      <w:pPr>
        <w:ind w:right="300"/>
        <w:spacing w:after="0" w:line="232" w:lineRule="auto"/>
        <w:rPr>
          <w:sz w:val="20"/>
          <w:szCs w:val="20"/>
          <w:color w:val="auto"/>
        </w:rPr>
      </w:pPr>
      <w:r>
        <w:rPr>
          <w:rFonts w:ascii="Arial" w:cs="Arial" w:eastAsia="Arial" w:hAnsi="Arial"/>
          <w:sz w:val="20"/>
          <w:szCs w:val="20"/>
          <w:color w:val="auto"/>
        </w:rPr>
        <w:t>The Company completes an impairment assessment of its goodwill and indefinite life intangible assets annually as of October 1, or more often as circumstances require, at the reporting unit level.</w:t>
      </w:r>
    </w:p>
    <w:p>
      <w:pPr>
        <w:spacing w:after="0" w:line="247"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and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this analysis, the estimated fair value of all of the Company's reporting units exceeded their carrying value as of October 1, 2023. There was no goodwill impairment in 2023, 2022 and 2021.</w:t>
      </w:r>
    </w:p>
    <w:p>
      <w:pPr>
        <w:spacing w:after="0" w:line="238"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Company also performed an impairment analysis for all indefinite life intangible assets, which consists of tradenames, as of October 1, 2023. The Company based its measurement of the fair value of the indefinite life intangible assets utilizing the relief from royalty method. The significant assumptions used under the relief from royalty method are projected revenue, royalty rates, terminal 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estimated fair value of the indefinite life intangible assets exceeded their carrying value for segments as of the testing date. Accordingly, the Company recognized no impairment charges in its financial results for the years ended December 31, 2023, 2022 and 2021.</w:t>
      </w:r>
    </w:p>
    <w:p>
      <w:pPr>
        <w:spacing w:after="0" w:line="231" w:lineRule="exact"/>
        <w:rPr>
          <w:sz w:val="20"/>
          <w:szCs w:val="20"/>
          <w:color w:val="auto"/>
        </w:rPr>
      </w:pPr>
    </w:p>
    <w:p>
      <w:pPr>
        <w:ind w:right="140"/>
        <w:spacing w:after="0" w:line="249" w:lineRule="auto"/>
        <w:rPr>
          <w:sz w:val="20"/>
          <w:szCs w:val="20"/>
          <w:color w:val="auto"/>
        </w:rPr>
      </w:pPr>
      <w:r>
        <w:rPr>
          <w:rFonts w:ascii="Arial" w:cs="Arial" w:eastAsia="Arial" w:hAnsi="Arial"/>
          <w:sz w:val="19"/>
          <w:szCs w:val="19"/>
          <w:color w:val="auto"/>
        </w:rPr>
        <w:t>As described above, the fair value measurement methods used in the Company’s goodwill and indefinite life intangible assets impairment analyses utilizes a number of significant unobservable inputs or Level 3 assumptions. These assumptions include, among others, projections of the Company's future operating results, the implied fair value of these assets using an income approach by preparing a discounted cash flow analysis and other subjective assumptions.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Company’s finite lived intangible assets consisted of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60"/>
              <w:spacing w:after="0" w:line="170" w:lineRule="exact"/>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60"/>
              <w:spacing w:after="0" w:line="170" w:lineRule="exact"/>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120" w:type="dxa"/>
            <w:vAlign w:val="bottom"/>
          </w:tcPr>
          <w:p>
            <w:pPr>
              <w:spacing w:after="0" w:line="173" w:lineRule="exact"/>
              <w:rPr>
                <w:sz w:val="20"/>
                <w:szCs w:val="20"/>
                <w:color w:val="auto"/>
              </w:rPr>
            </w:pPr>
            <w:r>
              <w:rPr>
                <w:rFonts w:ascii="Arial" w:cs="Arial" w:eastAsia="Arial" w:hAnsi="Arial"/>
                <w:sz w:val="16"/>
                <w:szCs w:val="16"/>
                <w:b w:val="1"/>
                <w:bCs w:val="1"/>
                <w:color w:val="auto"/>
              </w:rPr>
              <w:t>(table only in thousands)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ind w:left="220"/>
              <w:spacing w:after="0" w:line="173" w:lineRule="exact"/>
              <w:rPr>
                <w:sz w:val="20"/>
                <w:szCs w:val="20"/>
                <w:color w:val="auto"/>
              </w:rPr>
            </w:pPr>
            <w:r>
              <w:rPr>
                <w:rFonts w:ascii="Arial" w:cs="Arial" w:eastAsia="Arial" w:hAnsi="Arial"/>
                <w:sz w:val="16"/>
                <w:szCs w:val="16"/>
                <w:b w:val="1"/>
                <w:bCs w:val="1"/>
                <w:color w:val="auto"/>
              </w:rPr>
              <w:t>Accum.</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40"/>
              <w:spacing w:after="0" w:line="173" w:lineRule="exact"/>
              <w:rPr>
                <w:sz w:val="20"/>
                <w:szCs w:val="20"/>
                <w:color w:val="auto"/>
              </w:rPr>
            </w:pPr>
            <w:r>
              <w:rPr>
                <w:rFonts w:ascii="Arial" w:cs="Arial" w:eastAsia="Arial" w:hAnsi="Arial"/>
                <w:sz w:val="16"/>
                <w:szCs w:val="16"/>
                <w:b w:val="1"/>
                <w:bCs w:val="1"/>
                <w:color w:val="auto"/>
              </w:rPr>
              <w:t>Accum.</w:t>
            </w:r>
          </w:p>
        </w:tc>
      </w:tr>
      <w:tr>
        <w:trPr>
          <w:trHeight w:val="182"/>
        </w:trPr>
        <w:tc>
          <w:tcPr>
            <w:tcW w:w="5120" w:type="dxa"/>
            <w:vAlign w:val="bottom"/>
          </w:tcPr>
          <w:p>
            <w:pPr>
              <w:spacing w:after="0" w:line="182" w:lineRule="exact"/>
              <w:rPr>
                <w:sz w:val="20"/>
                <w:szCs w:val="20"/>
                <w:color w:val="auto"/>
              </w:rPr>
            </w:pPr>
            <w:r>
              <w:rPr>
                <w:rFonts w:ascii="Arial" w:cs="Arial" w:eastAsia="Arial" w:hAnsi="Arial"/>
                <w:sz w:val="16"/>
                <w:szCs w:val="16"/>
                <w:b w:val="1"/>
                <w:bCs w:val="1"/>
                <w:color w:val="auto"/>
              </w:rPr>
              <w:t>Intangible assets – finite life</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7"/>
              <w:spacing w:after="0" w:line="182" w:lineRule="exact"/>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69"/>
              <w:spacing w:after="0" w:line="182" w:lineRule="exact"/>
              <w:rPr>
                <w:sz w:val="20"/>
                <w:szCs w:val="20"/>
                <w:color w:val="auto"/>
              </w:rPr>
            </w:pPr>
            <w:r>
              <w:rPr>
                <w:rFonts w:ascii="Arial" w:cs="Arial" w:eastAsia="Arial" w:hAnsi="Arial"/>
                <w:sz w:val="16"/>
                <w:szCs w:val="16"/>
                <w:b w:val="1"/>
                <w:bCs w:val="1"/>
                <w:color w:val="auto"/>
              </w:rPr>
              <w:t>Amort.</w:t>
            </w:r>
          </w:p>
        </w:tc>
        <w:tc>
          <w:tcPr>
            <w:tcW w:w="220" w:type="dxa"/>
            <w:vAlign w:val="bottom"/>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7"/>
              <w:spacing w:after="0" w:line="182" w:lineRule="exact"/>
              <w:rPr>
                <w:sz w:val="20"/>
                <w:szCs w:val="20"/>
                <w:color w:val="auto"/>
              </w:rPr>
            </w:pPr>
            <w:r>
              <w:rPr>
                <w:rFonts w:ascii="Arial" w:cs="Arial" w:eastAsia="Arial" w:hAnsi="Arial"/>
                <w:sz w:val="16"/>
                <w:szCs w:val="16"/>
                <w:b w:val="1"/>
                <w:bCs w:val="1"/>
                <w:color w:val="auto"/>
                <w:w w:val="95"/>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7"/>
              <w:spacing w:after="0" w:line="182" w:lineRule="exact"/>
              <w:rPr>
                <w:sz w:val="20"/>
                <w:szCs w:val="20"/>
                <w:color w:val="auto"/>
              </w:rPr>
            </w:pPr>
            <w:r>
              <w:rPr>
                <w:rFonts w:ascii="Arial" w:cs="Arial" w:eastAsia="Arial" w:hAnsi="Arial"/>
                <w:sz w:val="16"/>
                <w:szCs w:val="16"/>
                <w:b w:val="1"/>
                <w:bCs w:val="1"/>
                <w:color w:val="auto"/>
              </w:rPr>
              <w:t>Amort.</w:t>
            </w:r>
          </w:p>
        </w:tc>
        <w:tc>
          <w:tcPr>
            <w:tcW w:w="100" w:type="dxa"/>
            <w:vAlign w:val="bottom"/>
          </w:tcPr>
          <w:p>
            <w:pPr>
              <w:spacing w:after="0"/>
              <w:rPr>
                <w:sz w:val="15"/>
                <w:szCs w:val="15"/>
                <w:color w:val="auto"/>
              </w:rPr>
            </w:pPr>
          </w:p>
        </w:tc>
      </w:tr>
      <w:tr>
        <w:trPr>
          <w:trHeight w:val="217"/>
        </w:trPr>
        <w:tc>
          <w:tcPr>
            <w:tcW w:w="5120" w:type="dxa"/>
            <w:vAlign w:val="bottom"/>
          </w:tcPr>
          <w:p>
            <w:pPr>
              <w:spacing w:after="0" w:line="217" w:lineRule="exact"/>
              <w:rPr>
                <w:sz w:val="20"/>
                <w:szCs w:val="20"/>
                <w:color w:val="auto"/>
              </w:rPr>
            </w:pPr>
            <w:r>
              <w:rPr>
                <w:rFonts w:ascii="Arial" w:cs="Arial" w:eastAsia="Arial" w:hAnsi="Arial"/>
                <w:sz w:val="20"/>
                <w:szCs w:val="20"/>
                <w:color w:val="auto"/>
              </w:rPr>
              <w:t>Technology</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line="217" w:lineRule="exact"/>
              <w:rPr>
                <w:sz w:val="20"/>
                <w:szCs w:val="20"/>
                <w:color w:val="auto"/>
              </w:rPr>
            </w:pPr>
            <w:r>
              <w:rPr>
                <w:rFonts w:ascii="Arial" w:cs="Arial" w:eastAsia="Arial" w:hAnsi="Arial"/>
                <w:sz w:val="20"/>
                <w:szCs w:val="20"/>
                <w:color w:val="auto"/>
              </w:rPr>
              <w:t>16,517</w:t>
            </w:r>
          </w:p>
        </w:tc>
        <w:tc>
          <w:tcPr>
            <w:tcW w:w="120" w:type="dxa"/>
            <w:vAlign w:val="bottom"/>
          </w:tcPr>
          <w:p>
            <w:pPr>
              <w:spacing w:after="0"/>
              <w:rPr>
                <w:sz w:val="18"/>
                <w:szCs w:val="18"/>
                <w:color w:val="auto"/>
              </w:rPr>
            </w:pPr>
          </w:p>
        </w:tc>
        <w:tc>
          <w:tcPr>
            <w:tcW w:w="220" w:type="dxa"/>
            <w:vAlign w:val="bottom"/>
            <w:gridSpan w:val="3"/>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17" w:lineRule="exact"/>
              <w:rPr>
                <w:sz w:val="20"/>
                <w:szCs w:val="20"/>
                <w:color w:val="auto"/>
              </w:rPr>
            </w:pPr>
            <w:r>
              <w:rPr>
                <w:rFonts w:ascii="Arial" w:cs="Arial" w:eastAsia="Arial" w:hAnsi="Arial"/>
                <w:sz w:val="20"/>
                <w:szCs w:val="20"/>
                <w:color w:val="auto"/>
              </w:rPr>
              <w:t>14,061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01"/>
              <w:spacing w:after="0" w:line="217" w:lineRule="exact"/>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line="217" w:lineRule="exact"/>
              <w:rPr>
                <w:sz w:val="20"/>
                <w:szCs w:val="20"/>
                <w:color w:val="auto"/>
              </w:rPr>
            </w:pPr>
            <w:r>
              <w:rPr>
                <w:rFonts w:ascii="Arial" w:cs="Arial" w:eastAsia="Arial" w:hAnsi="Arial"/>
                <w:sz w:val="20"/>
                <w:szCs w:val="20"/>
                <w:color w:val="auto"/>
              </w:rPr>
              <w:t>14,457</w:t>
            </w:r>
          </w:p>
        </w:tc>
        <w:tc>
          <w:tcPr>
            <w:tcW w:w="100" w:type="dxa"/>
            <w:vAlign w:val="bottom"/>
          </w:tcPr>
          <w:p>
            <w:pPr>
              <w:spacing w:after="0"/>
              <w:rPr>
                <w:sz w:val="18"/>
                <w:szCs w:val="18"/>
                <w:color w:val="auto"/>
              </w:rPr>
            </w:pP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13,729</w:t>
            </w:r>
          </w:p>
        </w:tc>
      </w:tr>
      <w:tr>
        <w:trPr>
          <w:trHeight w:val="228"/>
        </w:trPr>
        <w:tc>
          <w:tcPr>
            <w:tcW w:w="51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Customer lists</w:t>
            </w:r>
          </w:p>
        </w:tc>
        <w:tc>
          <w:tcPr>
            <w:tcW w:w="12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103,471</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63,420</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400" w:type="dxa"/>
            <w:vAlign w:val="bottom"/>
            <w:shd w:val="clear" w:color="auto" w:fill="E9E9E9"/>
          </w:tcPr>
          <w:p>
            <w:pPr>
              <w:spacing w:after="0"/>
              <w:rPr>
                <w:sz w:val="19"/>
                <w:szCs w:val="19"/>
                <w:color w:val="auto"/>
              </w:rPr>
            </w:pPr>
          </w:p>
        </w:tc>
        <w:tc>
          <w:tcPr>
            <w:tcW w:w="8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85,719</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57,540</w:t>
            </w:r>
          </w:p>
        </w:tc>
        <w:tc>
          <w:tcPr>
            <w:tcW w:w="100" w:type="dxa"/>
            <w:vAlign w:val="bottom"/>
            <w:shd w:val="clear" w:color="auto" w:fill="E9E9E9"/>
          </w:tcPr>
          <w:p>
            <w:pPr>
              <w:spacing w:after="0"/>
              <w:rPr>
                <w:sz w:val="19"/>
                <w:szCs w:val="19"/>
                <w:color w:val="auto"/>
              </w:rPr>
            </w:pPr>
          </w:p>
        </w:tc>
      </w:tr>
      <w:tr>
        <w:trPr>
          <w:trHeight w:val="228"/>
        </w:trPr>
        <w:tc>
          <w:tcPr>
            <w:tcW w:w="5120" w:type="dxa"/>
            <w:vAlign w:val="bottom"/>
          </w:tcPr>
          <w:p>
            <w:pPr>
              <w:spacing w:after="0" w:line="228" w:lineRule="exact"/>
              <w:rPr>
                <w:sz w:val="20"/>
                <w:szCs w:val="20"/>
                <w:color w:val="auto"/>
              </w:rPr>
            </w:pPr>
            <w:r>
              <w:rPr>
                <w:rFonts w:ascii="Arial" w:cs="Arial" w:eastAsia="Arial" w:hAnsi="Arial"/>
                <w:sz w:val="20"/>
                <w:szCs w:val="20"/>
                <w:color w:val="auto"/>
              </w:rPr>
              <w:t>Tradenames</w:t>
            </w:r>
          </w:p>
        </w:tc>
        <w:tc>
          <w:tcPr>
            <w:tcW w:w="12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Arial" w:cs="Arial" w:eastAsia="Arial" w:hAnsi="Arial"/>
                <w:sz w:val="20"/>
                <w:szCs w:val="20"/>
                <w:color w:val="auto"/>
              </w:rPr>
              <w:t>14,094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Arial" w:cs="Arial" w:eastAsia="Arial" w:hAnsi="Arial"/>
                <w:sz w:val="20"/>
                <w:szCs w:val="20"/>
                <w:color w:val="auto"/>
              </w:rPr>
              <w:t>5,001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color w:val="auto"/>
              </w:rPr>
              <w:t>11,604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3,768</w:t>
            </w:r>
          </w:p>
        </w:tc>
      </w:tr>
      <w:tr>
        <w:trPr>
          <w:trHeight w:val="226"/>
        </w:trPr>
        <w:tc>
          <w:tcPr>
            <w:tcW w:w="512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Foreign currency adjustments</w:t>
            </w:r>
          </w:p>
        </w:tc>
        <w:tc>
          <w:tcPr>
            <w:tcW w:w="120" w:type="dxa"/>
            <w:vAlign w:val="bottom"/>
            <w:tcBorders>
              <w:bottom w:val="single" w:sz="8" w:color="auto"/>
            </w:tcBorders>
            <w:shd w:val="clear" w:color="auto" w:fill="E9E9E9"/>
          </w:tcPr>
          <w:p>
            <w:pPr>
              <w:spacing w:after="0"/>
              <w:rPr>
                <w:sz w:val="19"/>
                <w:szCs w:val="19"/>
                <w:color w:val="auto"/>
              </w:rPr>
            </w:pPr>
          </w:p>
        </w:tc>
        <w:tc>
          <w:tcPr>
            <w:tcW w:w="108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(1,083)</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08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56</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400" w:type="dxa"/>
            <w:vAlign w:val="bottom"/>
            <w:tcBorders>
              <w:bottom w:val="single" w:sz="8" w:color="auto"/>
            </w:tcBorders>
            <w:shd w:val="clear" w:color="auto" w:fill="E9E9E9"/>
          </w:tcPr>
          <w:p>
            <w:pPr>
              <w:spacing w:after="0"/>
              <w:rPr>
                <w:sz w:val="19"/>
                <w:szCs w:val="19"/>
                <w:color w:val="auto"/>
              </w:rPr>
            </w:pPr>
          </w:p>
        </w:tc>
        <w:tc>
          <w:tcPr>
            <w:tcW w:w="80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(1,864)</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10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(372)</w:t>
            </w:r>
          </w:p>
        </w:tc>
        <w:tc>
          <w:tcPr>
            <w:tcW w:w="100" w:type="dxa"/>
            <w:vAlign w:val="bottom"/>
            <w:shd w:val="clear" w:color="auto" w:fill="E9E9E9"/>
          </w:tcPr>
          <w:p>
            <w:pPr>
              <w:spacing w:after="0"/>
              <w:rPr>
                <w:sz w:val="19"/>
                <w:szCs w:val="19"/>
                <w:color w:val="auto"/>
              </w:rPr>
            </w:pPr>
          </w:p>
        </w:tc>
      </w:tr>
      <w:tr>
        <w:trPr>
          <w:trHeight w:val="219"/>
        </w:trPr>
        <w:tc>
          <w:tcPr>
            <w:tcW w:w="5120" w:type="dxa"/>
            <w:vAlign w:val="bottom"/>
          </w:tcPr>
          <w:p>
            <w:pPr>
              <w:ind w:left="200"/>
              <w:spacing w:after="0" w:line="217" w:lineRule="exact"/>
              <w:rPr>
                <w:sz w:val="20"/>
                <w:szCs w:val="20"/>
                <w:color w:val="auto"/>
              </w:rPr>
            </w:pPr>
            <w:r>
              <w:rPr>
                <w:rFonts w:ascii="Arial" w:cs="Arial" w:eastAsia="Arial" w:hAnsi="Arial"/>
                <w:sz w:val="20"/>
                <w:szCs w:val="20"/>
                <w:color w:val="auto"/>
              </w:rPr>
              <w:t>Total finite life intangible assets</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line="217" w:lineRule="exact"/>
              <w:rPr>
                <w:sz w:val="20"/>
                <w:szCs w:val="20"/>
                <w:color w:val="auto"/>
              </w:rPr>
            </w:pPr>
            <w:r>
              <w:rPr>
                <w:rFonts w:ascii="Arial" w:cs="Arial" w:eastAsia="Arial" w:hAnsi="Arial"/>
                <w:sz w:val="20"/>
                <w:szCs w:val="20"/>
                <w:color w:val="auto"/>
              </w:rPr>
              <w:t>132,999</w:t>
            </w:r>
          </w:p>
        </w:tc>
        <w:tc>
          <w:tcPr>
            <w:tcW w:w="120" w:type="dxa"/>
            <w:vAlign w:val="bottom"/>
          </w:tcPr>
          <w:p>
            <w:pPr>
              <w:spacing w:after="0"/>
              <w:rPr>
                <w:sz w:val="19"/>
                <w:szCs w:val="19"/>
                <w:color w:val="auto"/>
              </w:rPr>
            </w:pPr>
          </w:p>
        </w:tc>
        <w:tc>
          <w:tcPr>
            <w:tcW w:w="220" w:type="dxa"/>
            <w:vAlign w:val="bottom"/>
            <w:gridSpan w:val="3"/>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17" w:lineRule="exact"/>
              <w:rPr>
                <w:sz w:val="20"/>
                <w:szCs w:val="20"/>
                <w:color w:val="auto"/>
              </w:rPr>
            </w:pPr>
            <w:r>
              <w:rPr>
                <w:rFonts w:ascii="Arial" w:cs="Arial" w:eastAsia="Arial" w:hAnsi="Arial"/>
                <w:sz w:val="20"/>
                <w:szCs w:val="20"/>
                <w:color w:val="auto"/>
              </w:rPr>
              <w:t>82,538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01"/>
              <w:spacing w:after="0" w:line="217" w:lineRule="exact"/>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line="217" w:lineRule="exact"/>
              <w:rPr>
                <w:sz w:val="20"/>
                <w:szCs w:val="20"/>
                <w:color w:val="auto"/>
              </w:rPr>
            </w:pPr>
            <w:r>
              <w:rPr>
                <w:rFonts w:ascii="Arial" w:cs="Arial" w:eastAsia="Arial" w:hAnsi="Arial"/>
                <w:sz w:val="20"/>
                <w:szCs w:val="20"/>
                <w:color w:val="auto"/>
              </w:rPr>
              <w:t>109,916</w:t>
            </w:r>
          </w:p>
        </w:tc>
        <w:tc>
          <w:tcPr>
            <w:tcW w:w="100" w:type="dxa"/>
            <w:vAlign w:val="bottom"/>
          </w:tcPr>
          <w:p>
            <w:pPr>
              <w:spacing w:after="0"/>
              <w:rPr>
                <w:sz w:val="19"/>
                <w:szCs w:val="19"/>
                <w:color w:val="auto"/>
              </w:rPr>
            </w:pP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74,665</w:t>
            </w:r>
          </w:p>
        </w:tc>
      </w:tr>
      <w:tr>
        <w:trPr>
          <w:trHeight w:val="20"/>
        </w:trPr>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-998220</wp:posOffset>
                </wp:positionV>
                <wp:extent cx="6921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78.5999pt" to="534.4pt,-78.5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-760095</wp:posOffset>
                </wp:positionV>
                <wp:extent cx="6921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59.8499pt" to="534.4pt,-59.8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-175895</wp:posOffset>
                </wp:positionV>
                <wp:extent cx="6921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3.8499pt" to="534.4pt,-13.8499pt" o:allowincell="f" strokecolor="#FFFFFF" strokeweight="0.4752pt"/>
            </w:pict>
          </mc:Fallback>
        </mc:AlternateContent>
      </w:r>
    </w:p>
    <w:p>
      <w:pPr>
        <w:spacing w:after="0" w:line="109"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Amortization expense of finite life intangible assets was $7.4 million, $7.0 million and $6.7 million for 2023, 2022 and 2021, respectively. Amortization over the next five years for finite life intangibles is $8.6 million in 2024, $7.6 million in 2025, $6.2 million in 2026, $6.0 million in 2027, and $5.6 million in 2028.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b w:val="1"/>
                <w:bCs w:val="1"/>
                <w:color w:val="auto"/>
                <w:w w:val="83"/>
              </w:rPr>
              <w:t>7.</w:t>
            </w:r>
          </w:p>
        </w:tc>
        <w:tc>
          <w:tcPr>
            <w:tcW w:w="4220" w:type="dxa"/>
            <w:vAlign w:val="bottom"/>
          </w:tcPr>
          <w:p>
            <w:pPr>
              <w:ind w:left="320"/>
              <w:spacing w:after="0"/>
              <w:rPr>
                <w:sz w:val="20"/>
                <w:szCs w:val="20"/>
                <w:color w:val="auto"/>
              </w:rPr>
            </w:pPr>
            <w:r>
              <w:rPr>
                <w:rFonts w:ascii="Arial" w:cs="Arial" w:eastAsia="Arial" w:hAnsi="Arial"/>
                <w:sz w:val="20"/>
                <w:szCs w:val="20"/>
                <w:b w:val="1"/>
                <w:bCs w:val="1"/>
                <w:color w:val="auto"/>
              </w:rPr>
              <w:t>Accrued Expenses</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3"/>
        </w:trPr>
        <w:tc>
          <w:tcPr>
            <w:tcW w:w="4380" w:type="dxa"/>
            <w:vAlign w:val="bottom"/>
            <w:gridSpan w:val="2"/>
          </w:tcPr>
          <w:p>
            <w:pPr>
              <w:spacing w:after="0"/>
              <w:rPr>
                <w:sz w:val="20"/>
                <w:szCs w:val="20"/>
                <w:color w:val="auto"/>
              </w:rPr>
            </w:pPr>
            <w:r>
              <w:rPr>
                <w:rFonts w:ascii="Arial" w:cs="Arial" w:eastAsia="Arial" w:hAnsi="Arial"/>
                <w:sz w:val="20"/>
                <w:szCs w:val="20"/>
                <w:color w:val="auto"/>
              </w:rPr>
              <w:t>Accrued expenses consisted of the following:</w:t>
            </w: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4"/>
        </w:trPr>
        <w:tc>
          <w:tcPr>
            <w:tcW w:w="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38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6"/>
              <w:spacing w:after="0" w:line="172"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4"/>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r>
      <w:tr>
        <w:trPr>
          <w:trHeight w:val="217"/>
        </w:trPr>
        <w:tc>
          <w:tcPr>
            <w:tcW w:w="4380" w:type="dxa"/>
            <w:vAlign w:val="bottom"/>
            <w:gridSpan w:val="2"/>
          </w:tcPr>
          <w:p>
            <w:pPr>
              <w:spacing w:after="0" w:line="217" w:lineRule="exact"/>
              <w:rPr>
                <w:sz w:val="20"/>
                <w:szCs w:val="20"/>
                <w:color w:val="auto"/>
              </w:rPr>
            </w:pPr>
            <w:r>
              <w:rPr>
                <w:rFonts w:ascii="Arial" w:cs="Arial" w:eastAsia="Arial" w:hAnsi="Arial"/>
                <w:sz w:val="20"/>
                <w:szCs w:val="20"/>
                <w:color w:val="auto"/>
              </w:rPr>
              <w:t>Compensation and related benefits</w:t>
            </w:r>
          </w:p>
        </w:tc>
        <w:tc>
          <w:tcPr>
            <w:tcW w:w="278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11,278</w:t>
            </w:r>
          </w:p>
        </w:tc>
        <w:tc>
          <w:tcPr>
            <w:tcW w:w="740" w:type="dxa"/>
            <w:vAlign w:val="bottom"/>
            <w:gridSpan w:val="3"/>
          </w:tcPr>
          <w:p>
            <w:pPr>
              <w:jc w:val="right"/>
              <w:ind w:right="321"/>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9,577</w:t>
            </w:r>
          </w:p>
        </w:tc>
      </w:tr>
      <w:tr>
        <w:trPr>
          <w:trHeight w:val="228"/>
        </w:trPr>
        <w:tc>
          <w:tcPr>
            <w:tcW w:w="4380" w:type="dxa"/>
            <w:vAlign w:val="bottom"/>
            <w:gridSpan w:val="2"/>
            <w:shd w:val="clear" w:color="auto" w:fill="E9E9E9"/>
          </w:tcPr>
          <w:p>
            <w:pPr>
              <w:spacing w:after="0" w:line="228" w:lineRule="exact"/>
              <w:rPr>
                <w:sz w:val="20"/>
                <w:szCs w:val="20"/>
                <w:color w:val="auto"/>
              </w:rPr>
            </w:pPr>
            <w:r>
              <w:rPr>
                <w:rFonts w:ascii="Arial" w:cs="Arial" w:eastAsia="Arial" w:hAnsi="Arial"/>
                <w:sz w:val="20"/>
                <w:szCs w:val="20"/>
                <w:color w:val="auto"/>
              </w:rPr>
              <w:t>Accrued warranty</w:t>
            </w:r>
          </w:p>
        </w:tc>
        <w:tc>
          <w:tcPr>
            <w:tcW w:w="266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5,105</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3,691</w:t>
            </w:r>
          </w:p>
        </w:tc>
        <w:tc>
          <w:tcPr>
            <w:tcW w:w="100" w:type="dxa"/>
            <w:vAlign w:val="bottom"/>
            <w:shd w:val="clear" w:color="auto" w:fill="E9E9E9"/>
          </w:tcPr>
          <w:p>
            <w:pPr>
              <w:spacing w:after="0"/>
              <w:rPr>
                <w:sz w:val="19"/>
                <w:szCs w:val="19"/>
                <w:color w:val="auto"/>
              </w:rPr>
            </w:pPr>
          </w:p>
        </w:tc>
      </w:tr>
      <w:tr>
        <w:trPr>
          <w:trHeight w:val="228"/>
        </w:trPr>
        <w:tc>
          <w:tcPr>
            <w:tcW w:w="4380" w:type="dxa"/>
            <w:vAlign w:val="bottom"/>
            <w:gridSpan w:val="2"/>
          </w:tcPr>
          <w:p>
            <w:pPr>
              <w:spacing w:after="0" w:line="228" w:lineRule="exact"/>
              <w:rPr>
                <w:sz w:val="20"/>
                <w:szCs w:val="20"/>
                <w:color w:val="auto"/>
              </w:rPr>
            </w:pPr>
            <w:r>
              <w:rPr>
                <w:rFonts w:ascii="Arial" w:cs="Arial" w:eastAsia="Arial" w:hAnsi="Arial"/>
                <w:sz w:val="20"/>
                <w:szCs w:val="20"/>
                <w:color w:val="auto"/>
              </w:rPr>
              <w:t>Contract liability</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7,875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4,516</w:t>
            </w:r>
          </w:p>
        </w:tc>
      </w:tr>
      <w:tr>
        <w:trPr>
          <w:trHeight w:val="226"/>
        </w:trPr>
        <w:tc>
          <w:tcPr>
            <w:tcW w:w="4380" w:type="dxa"/>
            <w:vAlign w:val="bottom"/>
            <w:gridSpan w:val="2"/>
            <w:shd w:val="clear" w:color="auto" w:fill="E9E9E9"/>
          </w:tcPr>
          <w:p>
            <w:pPr>
              <w:spacing w:after="0" w:line="226" w:lineRule="exact"/>
              <w:rPr>
                <w:sz w:val="20"/>
                <w:szCs w:val="20"/>
                <w:color w:val="auto"/>
              </w:rPr>
            </w:pPr>
            <w:r>
              <w:rPr>
                <w:rFonts w:ascii="Arial" w:cs="Arial" w:eastAsia="Arial" w:hAnsi="Arial"/>
                <w:sz w:val="20"/>
                <w:szCs w:val="20"/>
                <w:color w:val="auto"/>
              </w:rPr>
              <w:t>Short-term operating lease liability</w:t>
            </w:r>
          </w:p>
        </w:tc>
        <w:tc>
          <w:tcPr>
            <w:tcW w:w="266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4,278</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3,228</w:t>
            </w:r>
          </w:p>
        </w:tc>
        <w:tc>
          <w:tcPr>
            <w:tcW w:w="100" w:type="dxa"/>
            <w:vAlign w:val="bottom"/>
            <w:shd w:val="clear" w:color="auto" w:fill="E9E9E9"/>
          </w:tcPr>
          <w:p>
            <w:pPr>
              <w:spacing w:after="0"/>
              <w:rPr>
                <w:sz w:val="19"/>
                <w:szCs w:val="19"/>
                <w:color w:val="auto"/>
              </w:rPr>
            </w:pPr>
          </w:p>
        </w:tc>
      </w:tr>
      <w:tr>
        <w:trPr>
          <w:trHeight w:val="228"/>
        </w:trPr>
        <w:tc>
          <w:tcPr>
            <w:tcW w:w="4380" w:type="dxa"/>
            <w:vAlign w:val="bottom"/>
            <w:gridSpan w:val="2"/>
          </w:tcPr>
          <w:p>
            <w:pPr>
              <w:spacing w:after="0" w:line="228" w:lineRule="exact"/>
              <w:rPr>
                <w:sz w:val="20"/>
                <w:szCs w:val="20"/>
                <w:color w:val="auto"/>
              </w:rPr>
            </w:pPr>
            <w:r>
              <w:rPr>
                <w:rFonts w:ascii="Arial" w:cs="Arial" w:eastAsia="Arial" w:hAnsi="Arial"/>
                <w:sz w:val="20"/>
                <w:szCs w:val="20"/>
                <w:color w:val="auto"/>
              </w:rPr>
              <w:t>Other</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15,765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12,779</w:t>
            </w:r>
          </w:p>
        </w:tc>
      </w:tr>
      <w:tr>
        <w:trPr>
          <w:trHeight w:val="219"/>
        </w:trPr>
        <w:tc>
          <w:tcPr>
            <w:tcW w:w="160" w:type="dxa"/>
            <w:vAlign w:val="bottom"/>
            <w:tcBorders>
              <w:top w:val="single" w:sz="8" w:color="E9E9E9"/>
            </w:tcBorders>
            <w:shd w:val="clear" w:color="auto" w:fill="E9E9E9"/>
          </w:tcPr>
          <w:p>
            <w:pPr>
              <w:spacing w:after="0"/>
              <w:rPr>
                <w:sz w:val="19"/>
                <w:szCs w:val="19"/>
                <w:color w:val="auto"/>
              </w:rPr>
            </w:pPr>
          </w:p>
        </w:tc>
        <w:tc>
          <w:tcPr>
            <w:tcW w:w="4220" w:type="dxa"/>
            <w:vAlign w:val="bottom"/>
            <w:tcBorders>
              <w:top w:val="single" w:sz="8" w:color="E9E9E9"/>
            </w:tcBorders>
            <w:shd w:val="clear" w:color="auto" w:fill="E9E9E9"/>
          </w:tcPr>
          <w:p>
            <w:pPr>
              <w:ind w:left="40"/>
              <w:spacing w:after="0" w:line="217" w:lineRule="exact"/>
              <w:rPr>
                <w:sz w:val="20"/>
                <w:szCs w:val="20"/>
                <w:color w:val="auto"/>
              </w:rPr>
            </w:pPr>
            <w:r>
              <w:rPr>
                <w:rFonts w:ascii="Arial" w:cs="Arial" w:eastAsia="Arial" w:hAnsi="Arial"/>
                <w:sz w:val="20"/>
                <w:szCs w:val="20"/>
                <w:color w:val="auto"/>
              </w:rPr>
              <w:t>Total accrued expenses</w:t>
            </w:r>
          </w:p>
        </w:tc>
        <w:tc>
          <w:tcPr>
            <w:tcW w:w="266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5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44,301</w:t>
            </w:r>
          </w:p>
        </w:tc>
        <w:tc>
          <w:tcPr>
            <w:tcW w:w="2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520" w:type="dxa"/>
            <w:vAlign w:val="bottom"/>
            <w:tcBorders>
              <w:top w:val="single" w:sz="8" w:color="auto"/>
              <w:bottom w:val="single" w:sz="8" w:color="auto"/>
            </w:tcBorders>
            <w:shd w:val="clear" w:color="auto" w:fill="E9E9E9"/>
          </w:tcPr>
          <w:p>
            <w:pPr>
              <w:jc w:val="right"/>
              <w:ind w:right="321"/>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1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33,791</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0"/>
        </w:trPr>
        <w:tc>
          <w:tcPr>
            <w:tcW w:w="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780" w:type="dxa"/>
            <w:vAlign w:val="bottom"/>
            <w:gridSpan w:val="2"/>
          </w:tcPr>
          <w:p>
            <w:pPr>
              <w:jc w:val="right"/>
              <w:ind w:right="1541"/>
              <w:spacing w:after="0"/>
              <w:rPr>
                <w:sz w:val="20"/>
                <w:szCs w:val="20"/>
                <w:color w:val="auto"/>
              </w:rPr>
            </w:pPr>
            <w:r>
              <w:rPr>
                <w:rFonts w:ascii="Arial" w:cs="Arial" w:eastAsia="Arial" w:hAnsi="Arial"/>
                <w:sz w:val="20"/>
                <w:szCs w:val="20"/>
                <w:color w:val="auto"/>
              </w:rPr>
              <w:t>F-16</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-1443355</wp:posOffset>
                </wp:positionV>
                <wp:extent cx="7112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13.6499pt" to="534.4pt,-113.6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-1321435</wp:posOffset>
                </wp:positionV>
                <wp:extent cx="7112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04.0499pt" to="534.4pt,-104.0499pt" o:allowincell="f" strokecolor="#FFFFFF" strokeweight="0.4752pt"/>
            </w:pict>
          </mc:Fallback>
        </mc:AlternateContent>
      </w:r>
    </w:p>
    <w:p>
      <w:pPr>
        <w:sectPr>
          <w:pgSz w:w="11880" w:h="15480" w:orient="portrait"/>
          <w:cols w:equalWidth="0" w:num="1">
            <w:col w:w="10680"/>
          </w:cols>
          <w:pgMar w:left="600" w:top="849" w:right="600" w:bottom="46"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The activity in the Company’s earnout liability consisted of the following</w:t>
      </w:r>
      <w:r>
        <w:rPr>
          <w:rFonts w:ascii="Arial" w:cs="Arial" w:eastAsia="Arial" w:hAnsi="Arial"/>
          <w:sz w:val="17"/>
          <w:szCs w:val="17"/>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7040" w:type="dxa"/>
            <w:vAlign w:val="bottom"/>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6"/>
              <w:spacing w:after="0" w:line="172"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4"/>
              <w:spacing w:after="0" w:line="172"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7"/>
        </w:trPr>
        <w:tc>
          <w:tcPr>
            <w:tcW w:w="7040" w:type="dxa"/>
            <w:vAlign w:val="bottom"/>
          </w:tcPr>
          <w:p>
            <w:pPr>
              <w:spacing w:after="0" w:line="217" w:lineRule="exact"/>
              <w:rPr>
                <w:sz w:val="20"/>
                <w:szCs w:val="20"/>
                <w:color w:val="auto"/>
              </w:rPr>
            </w:pPr>
            <w:r>
              <w:rPr>
                <w:rFonts w:ascii="Arial" w:cs="Arial" w:eastAsia="Arial" w:hAnsi="Arial"/>
                <w:sz w:val="20"/>
                <w:szCs w:val="20"/>
                <w:color w:val="auto"/>
              </w:rPr>
              <w:t>Earnout accrued at beginning of year</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1,200</w:t>
            </w:r>
          </w:p>
        </w:tc>
        <w:tc>
          <w:tcPr>
            <w:tcW w:w="740" w:type="dxa"/>
            <w:vAlign w:val="bottom"/>
            <w:gridSpan w:val="2"/>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1,037</w:t>
            </w:r>
          </w:p>
        </w:tc>
      </w:tr>
      <w:tr>
        <w:trPr>
          <w:trHeight w:val="228"/>
        </w:trPr>
        <w:tc>
          <w:tcPr>
            <w:tcW w:w="70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Fair value of earnout at acquisition date</w:t>
            </w: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2,800</w:t>
            </w:r>
          </w:p>
        </w:tc>
        <w:tc>
          <w:tcPr>
            <w:tcW w:w="2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1,429</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7040" w:type="dxa"/>
            <w:vAlign w:val="bottom"/>
          </w:tcPr>
          <w:p>
            <w:pPr>
              <w:spacing w:after="0" w:line="228" w:lineRule="exact"/>
              <w:rPr>
                <w:sz w:val="20"/>
                <w:szCs w:val="20"/>
                <w:color w:val="auto"/>
              </w:rPr>
            </w:pPr>
            <w:r>
              <w:rPr>
                <w:rFonts w:ascii="Arial" w:cs="Arial" w:eastAsia="Arial" w:hAnsi="Arial"/>
                <w:sz w:val="20"/>
                <w:szCs w:val="20"/>
                <w:color w:val="auto"/>
              </w:rPr>
              <w:t>Fair value adjustment</w:t>
            </w: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296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(229)</w:t>
            </w:r>
          </w:p>
        </w:tc>
      </w:tr>
      <w:tr>
        <w:trPr>
          <w:trHeight w:val="228"/>
        </w:trPr>
        <w:tc>
          <w:tcPr>
            <w:tcW w:w="70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Payments and other</w:t>
            </w: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(2,096)</w:t>
            </w:r>
          </w:p>
        </w:tc>
        <w:tc>
          <w:tcPr>
            <w:tcW w:w="2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(1,037)</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58"/>
        </w:trPr>
        <w:tc>
          <w:tcPr>
            <w:tcW w:w="7040" w:type="dxa"/>
            <w:vAlign w:val="bottom"/>
          </w:tcPr>
          <w:p>
            <w:pPr>
              <w:spacing w:after="0" w:line="217" w:lineRule="exact"/>
              <w:rPr>
                <w:sz w:val="20"/>
                <w:szCs w:val="20"/>
                <w:color w:val="auto"/>
              </w:rPr>
            </w:pPr>
            <w:r>
              <w:rPr>
                <w:rFonts w:ascii="Arial" w:cs="Arial" w:eastAsia="Arial" w:hAnsi="Arial"/>
                <w:sz w:val="20"/>
                <w:szCs w:val="20"/>
                <w:color w:val="auto"/>
              </w:rPr>
              <w:t>Earnout accrued at end of year</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2,200</w:t>
            </w:r>
          </w:p>
        </w:tc>
        <w:tc>
          <w:tcPr>
            <w:tcW w:w="740" w:type="dxa"/>
            <w:vAlign w:val="bottom"/>
            <w:gridSpan w:val="2"/>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24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1,200</w:t>
            </w:r>
          </w:p>
        </w:tc>
      </w:tr>
      <w:tr>
        <w:trPr>
          <w:trHeight w:val="211"/>
        </w:trPr>
        <w:tc>
          <w:tcPr>
            <w:tcW w:w="704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540" w:type="dxa"/>
            <w:vAlign w:val="bottom"/>
            <w:tcBorders>
              <w:top w:val="single" w:sz="8" w:color="auto"/>
            </w:tcBorders>
            <w:shd w:val="clear" w:color="auto" w:fill="E9E9E9"/>
          </w:tcPr>
          <w:p>
            <w:pPr>
              <w:spacing w:after="0"/>
              <w:rPr>
                <w:sz w:val="18"/>
                <w:szCs w:val="18"/>
                <w:color w:val="auto"/>
              </w:rPr>
            </w:pPr>
          </w:p>
        </w:tc>
        <w:tc>
          <w:tcPr>
            <w:tcW w:w="220" w:type="dxa"/>
            <w:vAlign w:val="bottom"/>
            <w:tcBorders>
              <w:top w:val="single" w:sz="8" w:color="E9E9E9"/>
            </w:tcBorders>
            <w:shd w:val="clear" w:color="auto" w:fill="E9E9E9"/>
          </w:tcPr>
          <w:p>
            <w:pPr>
              <w:spacing w:after="0"/>
              <w:rPr>
                <w:sz w:val="18"/>
                <w:szCs w:val="18"/>
                <w:color w:val="auto"/>
              </w:rPr>
            </w:pPr>
          </w:p>
        </w:tc>
        <w:tc>
          <w:tcPr>
            <w:tcW w:w="520" w:type="dxa"/>
            <w:vAlign w:val="bottom"/>
            <w:tcBorders>
              <w:top w:val="single" w:sz="8" w:color="auto"/>
            </w:tcBorders>
            <w:shd w:val="clear" w:color="auto" w:fill="E9E9E9"/>
          </w:tcPr>
          <w:p>
            <w:pPr>
              <w:spacing w:after="0"/>
              <w:rPr>
                <w:sz w:val="18"/>
                <w:szCs w:val="18"/>
                <w:color w:val="auto"/>
              </w:rPr>
            </w:pPr>
          </w:p>
        </w:tc>
        <w:tc>
          <w:tcPr>
            <w:tcW w:w="114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r>
      <w:tr>
        <w:trPr>
          <w:trHeight w:val="228"/>
        </w:trPr>
        <w:tc>
          <w:tcPr>
            <w:tcW w:w="7040" w:type="dxa"/>
            <w:vAlign w:val="bottom"/>
          </w:tcPr>
          <w:p>
            <w:pPr>
              <w:spacing w:after="0" w:line="228" w:lineRule="exact"/>
              <w:rPr>
                <w:sz w:val="20"/>
                <w:szCs w:val="20"/>
                <w:color w:val="auto"/>
              </w:rPr>
            </w:pPr>
            <w:r>
              <w:rPr>
                <w:rFonts w:ascii="Arial" w:cs="Arial" w:eastAsia="Arial" w:hAnsi="Arial"/>
                <w:sz w:val="20"/>
                <w:szCs w:val="20"/>
                <w:color w:val="auto"/>
              </w:rPr>
              <w:t>Current portion, recorded within Accrued expenses</w:t>
            </w: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1,115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1,200</w:t>
            </w:r>
          </w:p>
        </w:tc>
      </w:tr>
      <w:tr>
        <w:trPr>
          <w:trHeight w:val="228"/>
        </w:trPr>
        <w:tc>
          <w:tcPr>
            <w:tcW w:w="70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Non-current portion, recorded within Other liabilities</w:t>
            </w: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1,085</w:t>
            </w:r>
          </w:p>
        </w:tc>
        <w:tc>
          <w:tcPr>
            <w:tcW w:w="2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-1316990</wp:posOffset>
                </wp:positionV>
                <wp:extent cx="7112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03.6999pt" to="534.4pt,-103.6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-1194435</wp:posOffset>
                </wp:positionV>
                <wp:extent cx="7112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94.0499pt" to="534.4pt,-94.0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-608965</wp:posOffset>
                </wp:positionV>
                <wp:extent cx="7112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47.9499pt" to="534.4pt,-47.9499pt" o:allowincell="f" strokecolor="#FFFFFF" strokeweight="0.4751pt"/>
            </w:pict>
          </mc:Fallback>
        </mc:AlternateContent>
      </w:r>
    </w:p>
    <w:p>
      <w:pPr>
        <w:spacing w:after="0" w:line="3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As additional consideration in the acquisition of Kemco Systems Co., LLC ("Kemco"), the former owners of Kemco are entitled to earn-out payments up to $4.0 million based upon specified financial results through August 31, 2026. Based on projections at the acquisition date, the Company estimated the fair value of the earn-out to be $2.2 million. Of this $2.2 million, $1.1 million represents the current portion of earnout liability recorded in Accrued expenses on its Consolidated Balance Sheets, and $1.1 million represents the non-current portion of earnout liability recorded in Other liabilities on its Consolidated Balance Sheets</w:t>
      </w:r>
    </w:p>
    <w:p>
      <w:pPr>
        <w:spacing w:after="0" w:line="229" w:lineRule="exact"/>
        <w:rPr>
          <w:sz w:val="20"/>
          <w:szCs w:val="20"/>
          <w:color w:val="auto"/>
        </w:rPr>
      </w:pPr>
    </w:p>
    <w:p>
      <w:pPr>
        <w:ind w:right="120"/>
        <w:spacing w:after="0" w:line="235" w:lineRule="auto"/>
        <w:rPr>
          <w:sz w:val="20"/>
          <w:szCs w:val="20"/>
          <w:color w:val="auto"/>
        </w:rPr>
      </w:pPr>
      <w:r>
        <w:rPr>
          <w:rFonts w:ascii="Arial" w:cs="Arial" w:eastAsia="Arial" w:hAnsi="Arial"/>
          <w:sz w:val="20"/>
          <w:szCs w:val="20"/>
          <w:color w:val="auto"/>
        </w:rPr>
        <w:t>As additional consideration in the acquisition of Malvar Engineering Limited, including its subsidiaries Arkanum Management Limited and Wakefield Acoustics Limited (collectively, "Wakefield"), the former owners of Wakefield were entitled to earn-out payments based upon specified financial results through July 31, 2023. Based on projections at the acquisition date, the Company estimated the fair value of the earn-out to be $0.6 million. An earnout payment of $0.6 million was made in the year ended December 31, 2023.</w:t>
      </w:r>
    </w:p>
    <w:p>
      <w:pPr>
        <w:spacing w:after="0" w:line="250" w:lineRule="exact"/>
        <w:rPr>
          <w:sz w:val="20"/>
          <w:szCs w:val="20"/>
          <w:color w:val="auto"/>
        </w:rPr>
      </w:pPr>
    </w:p>
    <w:p>
      <w:pPr>
        <w:ind w:right="260"/>
        <w:spacing w:after="0" w:line="249" w:lineRule="auto"/>
        <w:rPr>
          <w:sz w:val="20"/>
          <w:szCs w:val="20"/>
          <w:color w:val="auto"/>
        </w:rPr>
      </w:pPr>
      <w:r>
        <w:rPr>
          <w:rFonts w:ascii="Arial" w:cs="Arial" w:eastAsia="Arial" w:hAnsi="Arial"/>
          <w:sz w:val="19"/>
          <w:szCs w:val="19"/>
          <w:color w:val="auto"/>
        </w:rPr>
        <w:t>As additional consideration in the acquisition of Compass Water Solutions, Inc. ("Compass"), the former owners of Compass were entitled to earn-out payments based upon specified financial results through April 30, 2023. Based on projections at the acquisition date of May 3, 2022, the Company estimated the fair value of the earnout to be $1.4 million. During the year ended December 31, 2022, the Company decreased the earnout by $0.2 million based on the estimated fair value at December 31, 2022. The fair value adjustment was recorded in "Amortization and earnout expenses" on the Consolidated Statement of Income. An earnout payment of $1.5 million was made in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20"/>
                <w:szCs w:val="20"/>
                <w:b w:val="1"/>
                <w:bCs w:val="1"/>
                <w:color w:val="auto"/>
                <w:w w:val="71"/>
              </w:rPr>
              <w:t>8.</w:t>
            </w:r>
          </w:p>
        </w:tc>
        <w:tc>
          <w:tcPr>
            <w:tcW w:w="6920" w:type="dxa"/>
            <w:vAlign w:val="bottom"/>
            <w:gridSpan w:val="2"/>
          </w:tcPr>
          <w:p>
            <w:pPr>
              <w:ind w:left="340"/>
              <w:spacing w:after="0"/>
              <w:rPr>
                <w:sz w:val="20"/>
                <w:szCs w:val="20"/>
                <w:color w:val="auto"/>
              </w:rPr>
            </w:pPr>
            <w:r>
              <w:rPr>
                <w:rFonts w:ascii="Arial" w:cs="Arial" w:eastAsia="Arial" w:hAnsi="Arial"/>
                <w:sz w:val="20"/>
                <w:szCs w:val="20"/>
                <w:b w:val="1"/>
                <w:bCs w:val="1"/>
                <w:color w:val="auto"/>
              </w:rPr>
              <w:t>Senior debt</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7"/>
        </w:trPr>
        <w:tc>
          <w:tcPr>
            <w:tcW w:w="7060" w:type="dxa"/>
            <w:vAlign w:val="bottom"/>
            <w:gridSpan w:val="3"/>
          </w:tcPr>
          <w:p>
            <w:pPr>
              <w:spacing w:after="0"/>
              <w:rPr>
                <w:sz w:val="20"/>
                <w:szCs w:val="20"/>
                <w:color w:val="auto"/>
              </w:rPr>
            </w:pPr>
            <w:r>
              <w:rPr>
                <w:rFonts w:ascii="Arial" w:cs="Arial" w:eastAsia="Arial" w:hAnsi="Arial"/>
                <w:sz w:val="20"/>
                <w:szCs w:val="20"/>
                <w:color w:val="auto"/>
              </w:rPr>
              <w:t>Debt consisted of the following:</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4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70"/>
        </w:trPr>
        <w:tc>
          <w:tcPr>
            <w:tcW w:w="7060" w:type="dxa"/>
            <w:vAlign w:val="bottom"/>
            <w:gridSpan w:val="3"/>
          </w:tcPr>
          <w:p>
            <w:pPr>
              <w:spacing w:after="0" w:line="170"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5"/>
              <w:spacing w:after="0" w:line="170"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4"/>
              <w:spacing w:after="0" w:line="170"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r>
      <w:tr>
        <w:trPr>
          <w:trHeight w:val="217"/>
        </w:trPr>
        <w:tc>
          <w:tcPr>
            <w:tcW w:w="7060" w:type="dxa"/>
            <w:vAlign w:val="bottom"/>
            <w:gridSpan w:val="3"/>
          </w:tcPr>
          <w:p>
            <w:pPr>
              <w:spacing w:after="0" w:line="217" w:lineRule="exact"/>
              <w:rPr>
                <w:sz w:val="20"/>
                <w:szCs w:val="20"/>
                <w:color w:val="auto"/>
              </w:rPr>
            </w:pPr>
            <w:r>
              <w:rPr>
                <w:rFonts w:ascii="Arial" w:cs="Arial" w:eastAsia="Arial" w:hAnsi="Arial"/>
                <w:sz w:val="20"/>
                <w:szCs w:val="20"/>
                <w:color w:val="auto"/>
              </w:rPr>
              <w:t>Outstanding borrowings under Credit Facility (defined below)</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140" w:type="dxa"/>
            <w:vAlign w:val="bottom"/>
          </w:tcPr>
          <w:p>
            <w:pPr>
              <w:spacing w:after="0"/>
              <w:rPr>
                <w:sz w:val="19"/>
                <w:szCs w:val="19"/>
                <w:color w:val="auto"/>
              </w:rPr>
            </w:pPr>
          </w:p>
        </w:tc>
        <w:tc>
          <w:tcPr>
            <w:tcW w:w="6920" w:type="dxa"/>
            <w:vAlign w:val="bottom"/>
            <w:gridSpan w:val="2"/>
          </w:tcPr>
          <w:p>
            <w:pPr>
              <w:spacing w:after="0" w:line="229" w:lineRule="exact"/>
              <w:rPr>
                <w:sz w:val="20"/>
                <w:szCs w:val="20"/>
                <w:color w:val="auto"/>
              </w:rPr>
            </w:pPr>
            <w:r>
              <w:rPr>
                <w:rFonts w:ascii="Arial" w:cs="Arial" w:eastAsia="Arial" w:hAnsi="Arial"/>
                <w:sz w:val="20"/>
                <w:szCs w:val="20"/>
                <w:color w:val="auto"/>
                <w:w w:val="97"/>
              </w:rPr>
              <w:t>Term loan payable in quarterly principal installments of $550 through September</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060" w:type="dxa"/>
            <w:vAlign w:val="bottom"/>
            <w:gridSpan w:val="3"/>
          </w:tcPr>
          <w:p>
            <w:pPr>
              <w:spacing w:after="0" w:line="229" w:lineRule="exact"/>
              <w:rPr>
                <w:sz w:val="20"/>
                <w:szCs w:val="20"/>
                <w:color w:val="auto"/>
              </w:rPr>
            </w:pPr>
            <w:r>
              <w:rPr>
                <w:rFonts w:ascii="Arial" w:cs="Arial" w:eastAsia="Arial" w:hAnsi="Arial"/>
                <w:sz w:val="20"/>
                <w:szCs w:val="20"/>
                <w:color w:val="auto"/>
                <w:w w:val="94"/>
              </w:rPr>
              <w:t>2023, $2,232 through September 2025 and $2,977 thereafter with balance due upon</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060" w:type="dxa"/>
            <w:vAlign w:val="bottom"/>
            <w:gridSpan w:val="3"/>
          </w:tcPr>
          <w:p>
            <w:pPr>
              <w:spacing w:after="0" w:line="229" w:lineRule="exact"/>
              <w:rPr>
                <w:sz w:val="20"/>
                <w:szCs w:val="20"/>
                <w:color w:val="auto"/>
              </w:rPr>
            </w:pPr>
            <w:r>
              <w:rPr>
                <w:rFonts w:ascii="Arial" w:cs="Arial" w:eastAsia="Arial" w:hAnsi="Arial"/>
                <w:sz w:val="20"/>
                <w:szCs w:val="20"/>
                <w:color w:val="auto"/>
              </w:rPr>
              <w:t>maturity in December 2026.</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140" w:type="dxa"/>
            <w:vAlign w:val="bottom"/>
            <w:shd w:val="clear" w:color="auto" w:fill="E9E9E9"/>
          </w:tcPr>
          <w:p>
            <w:pPr>
              <w:spacing w:after="0"/>
              <w:rPr>
                <w:sz w:val="19"/>
                <w:szCs w:val="19"/>
                <w:color w:val="auto"/>
              </w:rPr>
            </w:pPr>
          </w:p>
        </w:tc>
        <w:tc>
          <w:tcPr>
            <w:tcW w:w="6900" w:type="dxa"/>
            <w:vAlign w:val="bottom"/>
            <w:shd w:val="clear" w:color="auto" w:fill="E9E9E9"/>
          </w:tcPr>
          <w:p>
            <w:pPr>
              <w:ind w:left="60"/>
              <w:spacing w:after="0" w:line="228" w:lineRule="exact"/>
              <w:rPr>
                <w:sz w:val="20"/>
                <w:szCs w:val="20"/>
                <w:color w:val="auto"/>
              </w:rPr>
            </w:pPr>
            <w:r>
              <w:rPr>
                <w:rFonts w:ascii="Arial" w:cs="Arial" w:eastAsia="Arial" w:hAnsi="Arial"/>
                <w:sz w:val="20"/>
                <w:szCs w:val="20"/>
                <w:color w:val="auto"/>
              </w:rPr>
              <w:t>– Term loan</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112,424</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shd w:val="clear" w:color="auto" w:fill="E9E9E9"/>
          </w:tcPr>
          <w:p>
            <w:pPr>
              <w:jc w:val="right"/>
              <w:ind w:right="321"/>
              <w:spacing w:after="0" w:line="228"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41,309</w:t>
            </w:r>
          </w:p>
        </w:tc>
        <w:tc>
          <w:tcPr>
            <w:tcW w:w="100" w:type="dxa"/>
            <w:vAlign w:val="bottom"/>
            <w:shd w:val="clear" w:color="auto" w:fill="E9E9E9"/>
          </w:tcPr>
          <w:p>
            <w:pPr>
              <w:spacing w:after="0"/>
              <w:rPr>
                <w:sz w:val="19"/>
                <w:szCs w:val="19"/>
                <w:color w:val="auto"/>
              </w:rPr>
            </w:pPr>
          </w:p>
        </w:tc>
      </w:tr>
      <w:tr>
        <w:trPr>
          <w:trHeight w:val="228"/>
        </w:trPr>
        <w:tc>
          <w:tcPr>
            <w:tcW w:w="140" w:type="dxa"/>
            <w:vAlign w:val="bottom"/>
          </w:tcPr>
          <w:p>
            <w:pPr>
              <w:spacing w:after="0"/>
              <w:rPr>
                <w:sz w:val="19"/>
                <w:szCs w:val="19"/>
                <w:color w:val="auto"/>
              </w:rPr>
            </w:pPr>
          </w:p>
        </w:tc>
        <w:tc>
          <w:tcPr>
            <w:tcW w:w="6920" w:type="dxa"/>
            <w:vAlign w:val="bottom"/>
            <w:gridSpan w:val="2"/>
          </w:tcPr>
          <w:p>
            <w:pPr>
              <w:ind w:left="60"/>
              <w:spacing w:after="0" w:line="228" w:lineRule="exact"/>
              <w:rPr>
                <w:sz w:val="20"/>
                <w:szCs w:val="20"/>
                <w:color w:val="auto"/>
              </w:rPr>
            </w:pPr>
            <w:r>
              <w:rPr>
                <w:rFonts w:ascii="Arial" w:cs="Arial" w:eastAsia="Arial" w:hAnsi="Arial"/>
                <w:sz w:val="20"/>
                <w:szCs w:val="20"/>
                <w:color w:val="auto"/>
              </w:rPr>
              <w:t>– Revolving Credit Loan</w:t>
            </w:r>
          </w:p>
        </w:tc>
        <w:tc>
          <w:tcPr>
            <w:tcW w:w="10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17,300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61,300</w:t>
            </w:r>
          </w:p>
        </w:tc>
      </w:tr>
      <w:tr>
        <w:trPr>
          <w:trHeight w:val="219"/>
        </w:trPr>
        <w:tc>
          <w:tcPr>
            <w:tcW w:w="7040" w:type="dxa"/>
            <w:vAlign w:val="bottom"/>
            <w:tcBorders>
              <w:top w:val="single" w:sz="8" w:color="E9E9E9"/>
            </w:tcBorders>
            <w:gridSpan w:val="2"/>
            <w:shd w:val="clear" w:color="auto" w:fill="E9E9E9"/>
          </w:tcPr>
          <w:p>
            <w:pPr>
              <w:spacing w:after="0" w:line="218" w:lineRule="exact"/>
              <w:rPr>
                <w:sz w:val="20"/>
                <w:szCs w:val="20"/>
                <w:color w:val="auto"/>
              </w:rPr>
            </w:pPr>
            <w:r>
              <w:rPr>
                <w:rFonts w:ascii="Arial" w:cs="Arial" w:eastAsia="Arial" w:hAnsi="Arial"/>
                <w:sz w:val="20"/>
                <w:szCs w:val="20"/>
                <w:color w:val="auto"/>
              </w:rPr>
              <w:t>Total outstanding borrowings under Credit Facility</w:t>
            </w:r>
          </w:p>
        </w:tc>
        <w:tc>
          <w:tcPr>
            <w:tcW w:w="20" w:type="dxa"/>
            <w:vAlign w:val="bottom"/>
            <w:tcBorders>
              <w:top w:val="single" w:sz="8" w:color="E9E9E9"/>
            </w:tcBorders>
            <w:shd w:val="clear" w:color="auto" w:fill="E9E9E9"/>
          </w:tcPr>
          <w:p>
            <w:pPr>
              <w:spacing w:after="0"/>
              <w:rPr>
                <w:sz w:val="19"/>
                <w:szCs w:val="19"/>
                <w:color w:val="auto"/>
              </w:rPr>
            </w:pPr>
          </w:p>
        </w:tc>
        <w:tc>
          <w:tcPr>
            <w:tcW w:w="100" w:type="dxa"/>
            <w:vAlign w:val="bottom"/>
            <w:tcBorders>
              <w:top w:val="single" w:sz="8" w:color="auto"/>
            </w:tcBorders>
            <w:shd w:val="clear" w:color="auto" w:fill="E9E9E9"/>
          </w:tcPr>
          <w:p>
            <w:pPr>
              <w:spacing w:after="0"/>
              <w:rPr>
                <w:sz w:val="19"/>
                <w:szCs w:val="19"/>
                <w:color w:val="auto"/>
              </w:rPr>
            </w:pPr>
          </w:p>
        </w:tc>
        <w:tc>
          <w:tcPr>
            <w:tcW w:w="1540" w:type="dxa"/>
            <w:vAlign w:val="bottom"/>
            <w:tcBorders>
              <w:top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rPr>
              <w:t>129,724</w:t>
            </w:r>
          </w:p>
        </w:tc>
        <w:tc>
          <w:tcPr>
            <w:tcW w:w="2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tcBorders>
            <w:shd w:val="clear" w:color="auto" w:fill="E9E9E9"/>
          </w:tcPr>
          <w:p>
            <w:pPr>
              <w:spacing w:after="0"/>
              <w:rPr>
                <w:sz w:val="19"/>
                <w:szCs w:val="19"/>
                <w:color w:val="auto"/>
              </w:rPr>
            </w:pPr>
          </w:p>
        </w:tc>
        <w:tc>
          <w:tcPr>
            <w:tcW w:w="520" w:type="dxa"/>
            <w:vAlign w:val="bottom"/>
            <w:tcBorders>
              <w:top w:val="single" w:sz="8" w:color="auto"/>
            </w:tcBorders>
            <w:shd w:val="clear" w:color="auto" w:fill="E9E9E9"/>
          </w:tcPr>
          <w:p>
            <w:pPr>
              <w:spacing w:after="0"/>
              <w:rPr>
                <w:sz w:val="19"/>
                <w:szCs w:val="19"/>
                <w:color w:val="auto"/>
              </w:rPr>
            </w:pPr>
          </w:p>
        </w:tc>
        <w:tc>
          <w:tcPr>
            <w:tcW w:w="1140" w:type="dxa"/>
            <w:vAlign w:val="bottom"/>
            <w:tcBorders>
              <w:top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rPr>
              <w:t>102,609</w:t>
            </w:r>
          </w:p>
        </w:tc>
        <w:tc>
          <w:tcPr>
            <w:tcW w:w="100" w:type="dxa"/>
            <w:vAlign w:val="bottom"/>
            <w:tcBorders>
              <w:top w:val="single" w:sz="8" w:color="E9E9E9"/>
            </w:tcBorders>
            <w:shd w:val="clear" w:color="auto" w:fill="E9E9E9"/>
          </w:tcPr>
          <w:p>
            <w:pPr>
              <w:spacing w:after="0"/>
              <w:rPr>
                <w:sz w:val="19"/>
                <w:szCs w:val="19"/>
                <w:color w:val="auto"/>
              </w:rPr>
            </w:pPr>
          </w:p>
        </w:tc>
      </w:tr>
      <w:tr>
        <w:trPr>
          <w:trHeight w:val="225"/>
        </w:trPr>
        <w:tc>
          <w:tcPr>
            <w:tcW w:w="7060" w:type="dxa"/>
            <w:vAlign w:val="bottom"/>
            <w:gridSpan w:val="3"/>
          </w:tcPr>
          <w:p>
            <w:pPr>
              <w:spacing w:after="0" w:line="225" w:lineRule="exact"/>
              <w:rPr>
                <w:sz w:val="20"/>
                <w:szCs w:val="20"/>
                <w:color w:val="auto"/>
              </w:rPr>
            </w:pPr>
            <w:r>
              <w:rPr>
                <w:rFonts w:ascii="Arial" w:cs="Arial" w:eastAsia="Arial" w:hAnsi="Arial"/>
                <w:sz w:val="20"/>
                <w:szCs w:val="20"/>
                <w:color w:val="auto"/>
              </w:rPr>
              <w:t>Outstanding borrowings under the joint venture term debt</w:t>
            </w:r>
          </w:p>
        </w:tc>
        <w:tc>
          <w:tcPr>
            <w:tcW w:w="100" w:type="dxa"/>
            <w:vAlign w:val="bottom"/>
          </w:tcPr>
          <w:p>
            <w:pPr>
              <w:spacing w:after="0"/>
              <w:rPr>
                <w:sz w:val="19"/>
                <w:szCs w:val="19"/>
                <w:color w:val="auto"/>
              </w:rPr>
            </w:pPr>
          </w:p>
        </w:tc>
        <w:tc>
          <w:tcPr>
            <w:tcW w:w="1540" w:type="dxa"/>
            <w:vAlign w:val="bottom"/>
          </w:tcPr>
          <w:p>
            <w:pPr>
              <w:jc w:val="right"/>
              <w:spacing w:after="0" w:line="225" w:lineRule="exact"/>
              <w:rPr>
                <w:sz w:val="20"/>
                <w:szCs w:val="20"/>
                <w:color w:val="auto"/>
              </w:rPr>
            </w:pPr>
            <w:r>
              <w:rPr>
                <w:rFonts w:ascii="Arial" w:cs="Arial" w:eastAsia="Arial" w:hAnsi="Arial"/>
                <w:sz w:val="20"/>
                <w:szCs w:val="20"/>
                <w:color w:val="auto"/>
              </w:rPr>
              <w:t>8,855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10,083</w:t>
            </w:r>
          </w:p>
        </w:tc>
      </w:tr>
      <w:tr>
        <w:trPr>
          <w:trHeight w:val="228"/>
        </w:trPr>
        <w:tc>
          <w:tcPr>
            <w:tcW w:w="7040" w:type="dxa"/>
            <w:vAlign w:val="bottom"/>
            <w:gridSpan w:val="2"/>
            <w:shd w:val="clear" w:color="auto" w:fill="E9E9E9"/>
          </w:tcPr>
          <w:p>
            <w:pPr>
              <w:spacing w:after="0" w:line="228" w:lineRule="exact"/>
              <w:rPr>
                <w:sz w:val="20"/>
                <w:szCs w:val="20"/>
                <w:color w:val="auto"/>
              </w:rPr>
            </w:pPr>
            <w:r>
              <w:rPr>
                <w:rFonts w:ascii="Arial" w:cs="Arial" w:eastAsia="Arial" w:hAnsi="Arial"/>
                <w:sz w:val="20"/>
                <w:szCs w:val="20"/>
                <w:color w:val="auto"/>
              </w:rPr>
              <w:t>Unamortized debt discount</w:t>
            </w: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(1,296)</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(1,488)</w:t>
            </w:r>
          </w:p>
        </w:tc>
        <w:tc>
          <w:tcPr>
            <w:tcW w:w="100" w:type="dxa"/>
            <w:vAlign w:val="bottom"/>
            <w:shd w:val="clear" w:color="auto" w:fill="E9E9E9"/>
          </w:tcPr>
          <w:p>
            <w:pPr>
              <w:spacing w:after="0"/>
              <w:rPr>
                <w:sz w:val="19"/>
                <w:szCs w:val="19"/>
                <w:color w:val="auto"/>
              </w:rPr>
            </w:pPr>
          </w:p>
        </w:tc>
      </w:tr>
      <w:tr>
        <w:trPr>
          <w:trHeight w:val="218"/>
        </w:trPr>
        <w:tc>
          <w:tcPr>
            <w:tcW w:w="7060" w:type="dxa"/>
            <w:vAlign w:val="bottom"/>
            <w:gridSpan w:val="3"/>
          </w:tcPr>
          <w:p>
            <w:pPr>
              <w:spacing w:after="0" w:line="217" w:lineRule="exact"/>
              <w:rPr>
                <w:sz w:val="20"/>
                <w:szCs w:val="20"/>
                <w:color w:val="auto"/>
              </w:rPr>
            </w:pPr>
            <w:r>
              <w:rPr>
                <w:rFonts w:ascii="Arial" w:cs="Arial" w:eastAsia="Arial" w:hAnsi="Arial"/>
                <w:sz w:val="20"/>
                <w:szCs w:val="20"/>
                <w:color w:val="auto"/>
              </w:rPr>
              <w:t>Total outstanding borrowings</w:t>
            </w:r>
          </w:p>
        </w:tc>
        <w:tc>
          <w:tcPr>
            <w:tcW w:w="10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137,283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Arial" w:cs="Arial" w:eastAsia="Arial" w:hAnsi="Arial"/>
                <w:sz w:val="20"/>
                <w:szCs w:val="20"/>
                <w:color w:val="auto"/>
              </w:rPr>
              <w:t>111,204</w:t>
            </w:r>
          </w:p>
        </w:tc>
        <w:tc>
          <w:tcPr>
            <w:tcW w:w="100" w:type="dxa"/>
            <w:vAlign w:val="bottom"/>
          </w:tcPr>
          <w:p>
            <w:pPr>
              <w:spacing w:after="0"/>
              <w:rPr>
                <w:sz w:val="18"/>
                <w:szCs w:val="18"/>
                <w:color w:val="auto"/>
              </w:rPr>
            </w:pPr>
          </w:p>
        </w:tc>
      </w:tr>
      <w:tr>
        <w:trPr>
          <w:trHeight w:val="228"/>
        </w:trPr>
        <w:tc>
          <w:tcPr>
            <w:tcW w:w="140" w:type="dxa"/>
            <w:vAlign w:val="bottom"/>
            <w:shd w:val="clear" w:color="auto" w:fill="E9E9E9"/>
          </w:tcPr>
          <w:p>
            <w:pPr>
              <w:spacing w:after="0"/>
              <w:rPr>
                <w:sz w:val="19"/>
                <w:szCs w:val="19"/>
                <w:color w:val="auto"/>
              </w:rPr>
            </w:pPr>
          </w:p>
        </w:tc>
        <w:tc>
          <w:tcPr>
            <w:tcW w:w="690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Less: current portion</w:t>
            </w: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(10,488)</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(3,579)</w:t>
            </w:r>
          </w:p>
        </w:tc>
        <w:tc>
          <w:tcPr>
            <w:tcW w:w="100" w:type="dxa"/>
            <w:vAlign w:val="bottom"/>
            <w:shd w:val="clear" w:color="auto" w:fill="E9E9E9"/>
          </w:tcPr>
          <w:p>
            <w:pPr>
              <w:spacing w:after="0"/>
              <w:rPr>
                <w:sz w:val="19"/>
                <w:szCs w:val="19"/>
                <w:color w:val="auto"/>
              </w:rPr>
            </w:pPr>
          </w:p>
        </w:tc>
      </w:tr>
      <w:tr>
        <w:trPr>
          <w:trHeight w:val="219"/>
        </w:trPr>
        <w:tc>
          <w:tcPr>
            <w:tcW w:w="7060" w:type="dxa"/>
            <w:vAlign w:val="bottom"/>
            <w:gridSpan w:val="3"/>
          </w:tcPr>
          <w:p>
            <w:pPr>
              <w:spacing w:after="0" w:line="217" w:lineRule="exact"/>
              <w:rPr>
                <w:sz w:val="20"/>
                <w:szCs w:val="20"/>
                <w:color w:val="auto"/>
              </w:rPr>
            </w:pPr>
            <w:r>
              <w:rPr>
                <w:rFonts w:ascii="Arial" w:cs="Arial" w:eastAsia="Arial" w:hAnsi="Arial"/>
                <w:sz w:val="20"/>
                <w:szCs w:val="20"/>
                <w:color w:val="auto"/>
              </w:rPr>
              <w:t>Total debt, less current portion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126,795</w:t>
            </w:r>
          </w:p>
        </w:tc>
        <w:tc>
          <w:tcPr>
            <w:tcW w:w="740" w:type="dxa"/>
            <w:vAlign w:val="bottom"/>
            <w:gridSpan w:val="3"/>
          </w:tcPr>
          <w:p>
            <w:pPr>
              <w:jc w:val="right"/>
              <w:ind w:right="321"/>
              <w:spacing w:after="0" w:line="217"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7" w:lineRule="exact"/>
              <w:rPr>
                <w:sz w:val="20"/>
                <w:szCs w:val="20"/>
                <w:color w:val="auto"/>
              </w:rPr>
            </w:pPr>
            <w:r>
              <w:rPr>
                <w:rFonts w:ascii="Arial" w:cs="Arial" w:eastAsia="Arial" w:hAnsi="Arial"/>
                <w:sz w:val="20"/>
                <w:szCs w:val="20"/>
                <w:color w:val="auto"/>
              </w:rPr>
              <w:t>107,625</w:t>
            </w:r>
          </w:p>
        </w:tc>
        <w:tc>
          <w:tcPr>
            <w:tcW w:w="10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-1906905</wp:posOffset>
                </wp:positionV>
                <wp:extent cx="7112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50.1499pt" to="534.4pt,-150.1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-1786255</wp:posOffset>
                </wp:positionV>
                <wp:extent cx="7112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40.6499pt" to="534.4pt,-140.6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-471805</wp:posOffset>
                </wp:positionV>
                <wp:extent cx="7112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37.1499pt" to="534.4pt,-37.1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-175895</wp:posOffset>
                </wp:positionV>
                <wp:extent cx="7112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3.8499pt" to="534.4pt,-13.8499pt" o:allowincell="f" strokecolor="#FFFFFF" strokeweight="0.4752pt"/>
            </w:pict>
          </mc:Fallback>
        </mc:AlternateContent>
      </w:r>
    </w:p>
    <w:p>
      <w:pPr>
        <w:spacing w:after="0" w:line="109"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Scheduled principal payments under the Credit Facility and joint venture term debt are $10.5 million in 2024, $11.3 million in 2025, $113.0 million in 2026, and $3.8 million in 2027.</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Facility</w:t>
      </w:r>
    </w:p>
    <w:p>
      <w:pPr>
        <w:spacing w:after="0" w:line="24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On December 17, 2021, the Company entered into Amendment No. 2 to the Second Amended and Restated Credit Agreement (the “Credit Facility”). The Credit Facility amended and restated the Company’s prior credit agreement. Pursuant to the Credit Facility, the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F-17</w:t>
      </w:r>
    </w:p>
    <w:p>
      <w:pPr>
        <w:sectPr>
          <w:pgSz w:w="11880" w:h="15480" w:orient="portrait"/>
          <w:cols w:equalWidth="0" w:num="1">
            <w:col w:w="10680"/>
          </w:cols>
          <w:pgMar w:left="600" w:top="837" w:right="600" w:bottom="46" w:gutter="0" w:footer="0" w:header="0"/>
        </w:sectPr>
      </w:pPr>
    </w:p>
    <w:bookmarkStart w:id="77" w:name="page78"/>
    <w:bookmarkEnd w:id="77"/>
    <w:p>
      <w:pPr>
        <w:ind w:right="20"/>
        <w:spacing w:after="0" w:line="265" w:lineRule="auto"/>
        <w:rPr>
          <w:sz w:val="20"/>
          <w:szCs w:val="20"/>
          <w:color w:val="auto"/>
        </w:rPr>
      </w:pPr>
      <w:r>
        <w:rPr>
          <w:rFonts w:ascii="Arial" w:cs="Arial" w:eastAsia="Arial" w:hAnsi="Arial"/>
          <w:sz w:val="18"/>
          <w:szCs w:val="18"/>
          <w:color w:val="auto"/>
        </w:rPr>
        <w:t>lenders provided a term loan in the aggregate principal amount of $44.1 million and a senior secured revolving credit commitment up to an aggregate principal amount of $140.0 million. This revolving credit commitment allows the Company the ability to borrow loans denominated in different currencies. Additionally, the Credit Facility extended the maturity date to December 17, 2026, replaces LIBOR interest with Secured Overnight Financing Rate ("SOFR") interest for USD loans, Sterling Overnight Interbank Average Rate ("SONIA") for GBP loans, and Canadian Dollar Offered Rate ("CDOR") for CAD loans, and redefined certain financial covenants. On October 30, 2023, the Company entered into Amendment No. 4 to the Second Amended and Restated Credit Agreement. Pursuant to this amendment, the lenders provided an additional term loan in the aggregate principal amount of $75.0 million, which was subsequently used to repay a portion of the outstanding balance on the revolving credit loan.</w:t>
      </w:r>
    </w:p>
    <w:p>
      <w:pPr>
        <w:spacing w:after="0" w:line="230"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color w:val="auto"/>
        </w:rPr>
        <w:t>As of December 31, 2023 and 2022, $13.3 million and $18.9 million of letters of credit were outstanding, respectively. Total unused credit availability under the Company’s senior secured term loan and senior secured revolver loan with sub-facilities for letters of credit, swing-line loans and senior secured multi-currency loans was $109.4 million and $59.8 million at December 31, 2023 and 2022, respectively. Revolving loans may be borrowed, repaid and reborrowed until December 17, 2026, at which time all outstanding balances of the Credit Facility must be repaid.</w:t>
      </w:r>
    </w:p>
    <w:p>
      <w:pPr>
        <w:spacing w:after="0" w:line="250"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At the Company’s option, revolving loans and the term loans accrue interest at a per annum rate based on (a) either the highest of (i) the federal funds rate plus 0.5%, or (ii) the prime lending rate of the Agent (as defined in the Credit Agreement), (b) Daily Simple SOFR plus the Daily Simple SOFR Adjustment of 0.11% plus 1.0%, (c) 1.0%, plus a margin ranging from 1.75% to 3.25% depending on the Company’s Consolidated Leverage Ratio, or (d) a one/three/six-month Term SOFR Rate (as defined in the Credit Agreement) plus the Term SOFR Adjustment ranging from 0.11% to 0.43% plus 1.75% to 3.25% depending on the Company’s Consolidated Leverage Ratio. Interest on swing line loans is the Base Rate.</w:t>
      </w:r>
    </w:p>
    <w:p>
      <w:pPr>
        <w:spacing w:after="0" w:line="239" w:lineRule="exact"/>
        <w:rPr>
          <w:sz w:val="20"/>
          <w:szCs w:val="20"/>
          <w:color w:val="auto"/>
        </w:rPr>
      </w:pPr>
    </w:p>
    <w:p>
      <w:pPr>
        <w:ind w:right="160"/>
        <w:spacing w:after="0" w:line="235" w:lineRule="auto"/>
        <w:rPr>
          <w:sz w:val="20"/>
          <w:szCs w:val="20"/>
          <w:color w:val="auto"/>
        </w:rPr>
      </w:pPr>
      <w:r>
        <w:rPr>
          <w:rFonts w:ascii="Arial" w:cs="Arial" w:eastAsia="Arial" w:hAnsi="Arial"/>
          <w:sz w:val="20"/>
          <w:szCs w:val="20"/>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8.29% and 6.75% at December 31, 2023 and 2022, respectively.</w:t>
      </w:r>
    </w:p>
    <w:p>
      <w:pPr>
        <w:spacing w:after="0" w:line="249"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Under the terms of the Credit Facility, the Company is required to maintain certain financial covenants, including the maintenance of a Consolidated Net Leverage Ratio (as defined in the Credit Facility). In the third quarter of 2023, the Company entered into an Elevated Ratio Period resulting in a maximum Consolidated Net Leverage Ratio of 4.00 through June 30, 2024, after which time it will decrease to 3.50 until the end of the term of the Credit Facility.</w:t>
      </w:r>
    </w:p>
    <w:p>
      <w:pPr>
        <w:spacing w:after="0" w:line="251" w:lineRule="exact"/>
        <w:rPr>
          <w:sz w:val="20"/>
          <w:szCs w:val="20"/>
          <w:color w:val="auto"/>
        </w:rPr>
      </w:pPr>
    </w:p>
    <w:p>
      <w:pPr>
        <w:ind w:right="300"/>
        <w:spacing w:after="0" w:line="249" w:lineRule="auto"/>
        <w:rPr>
          <w:sz w:val="20"/>
          <w:szCs w:val="20"/>
          <w:color w:val="auto"/>
        </w:rPr>
      </w:pPr>
      <w:r>
        <w:rPr>
          <w:rFonts w:ascii="Arial" w:cs="Arial" w:eastAsia="Arial" w:hAnsi="Arial"/>
          <w:sz w:val="19"/>
          <w:szCs w:val="19"/>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24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In connection with the Credit Facility, the Company paid $0.8 million in customary closing fees during 2021 and $0.4 million in customary closing fees during 2023 that were deferred and classified as a debt discount, as a result of Amendments No. 2 and No. 4 of the Credit Facility being accounted for as debt modifications.</w:t>
      </w:r>
    </w:p>
    <w:p>
      <w:pPr>
        <w:spacing w:after="0" w:line="249"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auto"/>
        </w:rPr>
        <w:t>As of December 31, 2023 and 2022, the Company was in compliance with all related financial and other restrictive covenants under the Credit Facility.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Joint Venture Debt</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As of December 31, 2023, $8.9 million was outstanding under the loan.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was 8.70% and 6.60% at December 31, 2023 and December 31, 2022, respectively. As of December 31, 2023, the EFM JV was in compliance with all related financial and other restrictive covenants under this loan agreement. This loan balance does not impact the Company’s borrowing capacity or the financial covenants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ectPr>
          <w:pgSz w:w="11880" w:h="15480" w:orient="portrait"/>
          <w:cols w:equalWidth="0" w:num="1">
            <w:col w:w="10680"/>
          </w:cols>
          <w:pgMar w:left="600" w:top="849" w:right="600" w:bottom="46" w:gutter="0" w:footer="0" w:header="0"/>
        </w:sectPr>
      </w:pPr>
    </w:p>
    <w:bookmarkStart w:id="78" w:name="page79"/>
    <w:bookmarkEnd w:id="78"/>
    <w:p>
      <w:pPr>
        <w:ind w:left="6"/>
        <w:spacing w:after="0"/>
        <w:rPr>
          <w:sz w:val="20"/>
          <w:szCs w:val="20"/>
          <w:color w:val="auto"/>
        </w:rPr>
      </w:pPr>
      <w:r>
        <w:rPr>
          <w:rFonts w:ascii="Arial" w:cs="Arial" w:eastAsia="Arial" w:hAnsi="Arial"/>
          <w:sz w:val="20"/>
          <w:szCs w:val="20"/>
          <w:i w:val="1"/>
          <w:iCs w:val="1"/>
          <w:color w:val="auto"/>
        </w:rPr>
        <w:t>Foreign Debt</w:t>
      </w:r>
    </w:p>
    <w:p>
      <w:pPr>
        <w:spacing w:after="0" w:line="246" w:lineRule="exact"/>
        <w:rPr>
          <w:sz w:val="20"/>
          <w:szCs w:val="20"/>
          <w:color w:val="auto"/>
        </w:rPr>
      </w:pPr>
    </w:p>
    <w:p>
      <w:pPr>
        <w:ind w:left="6"/>
        <w:spacing w:after="0" w:line="250" w:lineRule="auto"/>
        <w:rPr>
          <w:sz w:val="20"/>
          <w:szCs w:val="20"/>
          <w:color w:val="auto"/>
        </w:rPr>
      </w:pPr>
      <w:r>
        <w:rPr>
          <w:rFonts w:ascii="Arial" w:cs="Arial" w:eastAsia="Arial" w:hAnsi="Arial"/>
          <w:sz w:val="19"/>
          <w:szCs w:val="19"/>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$80.0 million from the bilateral lines of credit secured by pledged assets and collateral under the Credit Facility. As of December 31, 2023, $45.8 million in bank guarantees were outstanding. In addition, a subsidiary of the Company located in the Netherlands has a Euro-denominated bank guarantee agreement secured by local assets under which $1.3 million in bank guarantees were outstanding as of December 31, 2023. As of December 31, 2023, the borrowers of these facilities and agreements were in compliance with all related financial and other restrictive covenants.</w:t>
      </w:r>
    </w:p>
    <w:p>
      <w:pPr>
        <w:spacing w:after="0" w:line="226" w:lineRule="exact"/>
        <w:rPr>
          <w:sz w:val="20"/>
          <w:szCs w:val="20"/>
          <w:color w:val="auto"/>
        </w:rPr>
      </w:pPr>
    </w:p>
    <w:p>
      <w:pPr>
        <w:ind w:left="486" w:hanging="486"/>
        <w:spacing w:after="0"/>
        <w:tabs>
          <w:tab w:leader="none" w:pos="486"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Shareholders’ Equity</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Share-Based Compensation</w:t>
      </w:r>
    </w:p>
    <w:p>
      <w:pPr>
        <w:spacing w:after="0" w:line="248" w:lineRule="exact"/>
        <w:rPr>
          <w:sz w:val="20"/>
          <w:szCs w:val="20"/>
          <w:color w:val="auto"/>
        </w:rPr>
      </w:pPr>
    </w:p>
    <w:p>
      <w:pPr>
        <w:ind w:left="6" w:right="40"/>
        <w:spacing w:after="0" w:line="265" w:lineRule="auto"/>
        <w:rPr>
          <w:sz w:val="20"/>
          <w:szCs w:val="20"/>
          <w:color w:val="auto"/>
        </w:rPr>
      </w:pPr>
      <w:r>
        <w:rPr>
          <w:rFonts w:ascii="Arial" w:cs="Arial" w:eastAsia="Arial" w:hAnsi="Arial"/>
          <w:sz w:val="18"/>
          <w:szCs w:val="18"/>
          <w:color w:val="auto"/>
        </w:rPr>
        <w:t>The Company’s 2021 Equity and Incentive Compensation Plan (the “2021 Plan”) was approved by the Company’s stockholders on May 25, 2021 which replaced the 2017 Equity Incentive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2023, 1.6 million shares remain available for future issuance. Stock options granted to employees generally vest equally over a period of four years from the date of the grant with a maximum contractual term of ten years from the date of the grant. Stock awards granted to employees generally vest over a period of three to four years from the date of the grant.</w:t>
      </w:r>
    </w:p>
    <w:p>
      <w:pPr>
        <w:spacing w:after="0" w:line="229" w:lineRule="exact"/>
        <w:rPr>
          <w:sz w:val="20"/>
          <w:szCs w:val="20"/>
          <w:color w:val="auto"/>
        </w:rPr>
      </w:pPr>
    </w:p>
    <w:p>
      <w:pPr>
        <w:ind w:left="6" w:right="60"/>
        <w:spacing w:after="0" w:line="236" w:lineRule="auto"/>
        <w:rPr>
          <w:sz w:val="20"/>
          <w:szCs w:val="20"/>
          <w:color w:val="auto"/>
        </w:rPr>
      </w:pPr>
      <w:r>
        <w:rPr>
          <w:rFonts w:ascii="Arial" w:cs="Arial" w:eastAsia="Arial" w:hAnsi="Arial"/>
          <w:sz w:val="20"/>
          <w:szCs w:val="20"/>
          <w:color w:val="auto"/>
        </w:rPr>
        <w:t>On July 6, 2020, in connection with the appointment of the Chief Executive Officer, the Company granted its Chief Executive Officer approximately 94,000 restricted stock units with a fair value of $0.6 million, which are being expensed over the vesting period of four years. The Company also granted its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pacing w:after="0" w:line="247" w:lineRule="exact"/>
        <w:rPr>
          <w:sz w:val="20"/>
          <w:szCs w:val="20"/>
          <w:color w:val="auto"/>
        </w:rPr>
      </w:pPr>
    </w:p>
    <w:p>
      <w:pPr>
        <w:ind w:left="6"/>
        <w:spacing w:after="0" w:line="249" w:lineRule="auto"/>
        <w:rPr>
          <w:sz w:val="20"/>
          <w:szCs w:val="20"/>
          <w:color w:val="auto"/>
        </w:rPr>
      </w:pPr>
      <w:r>
        <w:rPr>
          <w:rFonts w:ascii="Arial" w:cs="Arial" w:eastAsia="Arial" w:hAnsi="Arial"/>
          <w:sz w:val="19"/>
          <w:szCs w:val="19"/>
          <w:color w:val="auto"/>
        </w:rPr>
        <w:t>Share-based compensation expense for stock options and restricted stock awards under these plans was $4.3 million, $3.9 million and $3.3 million for the years ended December 31, 2023, 2022 and 2021, respectively. The tax benefit related to share-based compensation expense was $0.8 million, $0.5 million and $0.8 million in 2023, 2022 and 2021, respectively.</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Employee Stock Purchase Plan</w:t>
      </w:r>
    </w:p>
    <w:p>
      <w:pPr>
        <w:spacing w:after="0" w:line="248" w:lineRule="exact"/>
        <w:rPr>
          <w:sz w:val="20"/>
          <w:szCs w:val="20"/>
          <w:color w:val="auto"/>
        </w:rPr>
      </w:pPr>
    </w:p>
    <w:p>
      <w:pPr>
        <w:ind w:left="6" w:right="60"/>
        <w:spacing w:after="0" w:line="234" w:lineRule="auto"/>
        <w:rPr>
          <w:sz w:val="20"/>
          <w:szCs w:val="20"/>
          <w:color w:val="auto"/>
        </w:rPr>
      </w:pPr>
      <w:r>
        <w:rPr>
          <w:rFonts w:ascii="Arial" w:cs="Arial" w:eastAsia="Arial" w:hAnsi="Arial"/>
          <w:sz w:val="20"/>
          <w:szCs w:val="20"/>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251" w:lineRule="exact"/>
        <w:rPr>
          <w:sz w:val="20"/>
          <w:szCs w:val="20"/>
          <w:color w:val="auto"/>
        </w:rPr>
      </w:pPr>
    </w:p>
    <w:p>
      <w:pPr>
        <w:ind w:left="6" w:right="20"/>
        <w:spacing w:after="0" w:line="235" w:lineRule="auto"/>
        <w:rPr>
          <w:sz w:val="20"/>
          <w:szCs w:val="20"/>
          <w:color w:val="auto"/>
        </w:rPr>
      </w:pPr>
      <w:r>
        <w:rPr>
          <w:rFonts w:ascii="Arial" w:cs="Arial" w:eastAsia="Arial" w:hAnsi="Arial"/>
          <w:sz w:val="20"/>
          <w:szCs w:val="20"/>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2023, 1.2 million shares remain available for future issuance.</w:t>
      </w:r>
    </w:p>
    <w:p>
      <w:pPr>
        <w:spacing w:after="0" w:line="247" w:lineRule="exact"/>
        <w:rPr>
          <w:sz w:val="20"/>
          <w:szCs w:val="20"/>
          <w:color w:val="auto"/>
        </w:rPr>
      </w:pPr>
    </w:p>
    <w:p>
      <w:pPr>
        <w:ind w:left="6" w:right="400"/>
        <w:spacing w:after="0" w:line="232" w:lineRule="auto"/>
        <w:rPr>
          <w:sz w:val="20"/>
          <w:szCs w:val="20"/>
          <w:color w:val="auto"/>
        </w:rPr>
      </w:pPr>
      <w:r>
        <w:rPr>
          <w:rFonts w:ascii="Arial" w:cs="Arial" w:eastAsia="Arial" w:hAnsi="Arial"/>
          <w:sz w:val="20"/>
          <w:szCs w:val="20"/>
          <w:color w:val="auto"/>
        </w:rPr>
        <w:t>The Company recognized employee stock purchase plan expense of $0.2 million, $0.1 million and $0.1 million in 2023, 2022 and 2021, respectively.</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Stock Options</w:t>
      </w:r>
    </w:p>
    <w:p>
      <w:pPr>
        <w:spacing w:after="0" w:line="248" w:lineRule="exact"/>
        <w:rPr>
          <w:sz w:val="20"/>
          <w:szCs w:val="20"/>
          <w:color w:val="auto"/>
        </w:rPr>
      </w:pPr>
    </w:p>
    <w:p>
      <w:pPr>
        <w:ind w:left="6" w:right="60"/>
        <w:spacing w:after="0" w:line="232" w:lineRule="auto"/>
        <w:rPr>
          <w:sz w:val="20"/>
          <w:szCs w:val="20"/>
          <w:color w:val="auto"/>
        </w:rPr>
      </w:pPr>
      <w:r>
        <w:rPr>
          <w:rFonts w:ascii="Arial" w:cs="Arial" w:eastAsia="Arial" w:hAnsi="Arial"/>
          <w:sz w:val="20"/>
          <w:szCs w:val="20"/>
          <w:color w:val="auto"/>
        </w:rPr>
        <w:t>The estimated weighted-average fair value of stock options was determined using the Black-Scholes option-pricing model at the grant date based on the following assumptions:</w:t>
      </w:r>
    </w:p>
    <w:p>
      <w:pPr>
        <w:spacing w:after="0" w:line="247" w:lineRule="exact"/>
        <w:rPr>
          <w:sz w:val="20"/>
          <w:szCs w:val="20"/>
          <w:color w:val="auto"/>
        </w:rPr>
      </w:pPr>
    </w:p>
    <w:p>
      <w:pPr>
        <w:ind w:left="6" w:right="40"/>
        <w:spacing w:after="0" w:line="232" w:lineRule="auto"/>
        <w:rPr>
          <w:sz w:val="20"/>
          <w:szCs w:val="20"/>
          <w:color w:val="auto"/>
        </w:rPr>
      </w:pPr>
      <w:r>
        <w:rPr>
          <w:rFonts w:ascii="Arial" w:cs="Arial" w:eastAsia="Arial" w:hAnsi="Arial"/>
          <w:sz w:val="20"/>
          <w:szCs w:val="20"/>
          <w:u w:val="single" w:color="auto"/>
          <w:color w:val="auto"/>
        </w:rPr>
        <w:t>Expected Volatility</w:t>
      </w:r>
      <w:r>
        <w:rPr>
          <w:rFonts w:ascii="Arial" w:cs="Arial" w:eastAsia="Arial" w:hAnsi="Arial"/>
          <w:sz w:val="20"/>
          <w:szCs w:val="20"/>
          <w:color w:val="auto"/>
        </w:rPr>
        <w:t>: The Company utilizes a volatility factor based on the Company’s historical stock prices for a period of time equal to the expected term of the stock option utilizing weekly price observations.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F-19</w:t>
      </w:r>
    </w:p>
    <w:p>
      <w:pPr>
        <w:sectPr>
          <w:pgSz w:w="11880" w:h="15480" w:orient="portrait"/>
          <w:cols w:equalWidth="0" w:num="1">
            <w:col w:w="10686"/>
          </w:cols>
          <w:pgMar w:left="594" w:top="837" w:right="600" w:bottom="46" w:gutter="0" w:footer="0" w:header="0"/>
        </w:sectPr>
      </w:pPr>
    </w:p>
    <w:bookmarkStart w:id="79" w:name="page80"/>
    <w:bookmarkEnd w:id="79"/>
    <w:p>
      <w:pPr>
        <w:ind w:right="120"/>
        <w:spacing w:after="0" w:line="232" w:lineRule="auto"/>
        <w:rPr>
          <w:sz w:val="20"/>
          <w:szCs w:val="20"/>
          <w:color w:val="auto"/>
        </w:rPr>
      </w:pPr>
      <w:r>
        <w:rPr>
          <w:rFonts w:ascii="Arial" w:cs="Arial" w:eastAsia="Arial" w:hAnsi="Arial"/>
          <w:sz w:val="20"/>
          <w:szCs w:val="20"/>
          <w:u w:val="single" w:color="auto"/>
          <w:color w:val="auto"/>
        </w:rPr>
        <w:t>Expected Term</w:t>
      </w:r>
      <w:r>
        <w:rPr>
          <w:rFonts w:ascii="Arial" w:cs="Arial" w:eastAsia="Arial" w:hAnsi="Arial"/>
          <w:sz w:val="20"/>
          <w:szCs w:val="20"/>
          <w:color w:val="auto"/>
        </w:rPr>
        <w:t>: Due to limited historical exercise data, the Company utilizes the simplified method of determining the expected term based on the vesting schedules and terms of the stock options.</w:t>
      </w:r>
    </w:p>
    <w:p>
      <w:pPr>
        <w:spacing w:after="0" w:line="247"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u w:val="single" w:color="auto"/>
          <w:color w:val="auto"/>
        </w:rPr>
        <w:t>Risk-Free Interest Rate</w:t>
      </w:r>
      <w:r>
        <w:rPr>
          <w:rFonts w:ascii="Arial" w:cs="Arial" w:eastAsia="Arial" w:hAnsi="Arial"/>
          <w:sz w:val="20"/>
          <w:szCs w:val="20"/>
          <w:color w:val="auto"/>
        </w:rPr>
        <w:t>: The risk-free interest rate factor utilized is based upon the implied yields currently available on U.S. Treasury zero-coupon issues over the expected term of the stock options.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No stock options were granted for the years ended December 31, 2023, 2022, and 2021.</w:t>
      </w:r>
    </w:p>
    <w:p>
      <w:pPr>
        <w:spacing w:after="0" w:line="248" w:lineRule="exact"/>
        <w:rPr>
          <w:sz w:val="20"/>
          <w:szCs w:val="20"/>
          <w:color w:val="auto"/>
        </w:rPr>
      </w:pPr>
    </w:p>
    <w:p>
      <w:pPr>
        <w:ind w:right="900"/>
        <w:spacing w:after="0" w:line="276" w:lineRule="auto"/>
        <w:rPr>
          <w:sz w:val="20"/>
          <w:szCs w:val="20"/>
          <w:color w:val="auto"/>
        </w:rPr>
      </w:pPr>
      <w:r>
        <w:rPr>
          <w:rFonts w:ascii="Arial" w:cs="Arial" w:eastAsia="Arial" w:hAnsi="Arial"/>
          <w:sz w:val="18"/>
          <w:szCs w:val="18"/>
          <w:color w:val="auto"/>
        </w:rPr>
        <w:t>The fair value of stock options is recorded as compensation expense on a straight-line basis over the vesting periods (which approximates the requisite service period) of the options and forfeitures are accounted for when they occur.</w:t>
      </w:r>
    </w:p>
    <w:p>
      <w:pPr>
        <w:spacing w:after="0" w:line="215" w:lineRule="exact"/>
        <w:rPr>
          <w:sz w:val="20"/>
          <w:szCs w:val="20"/>
          <w:color w:val="auto"/>
        </w:rPr>
      </w:pPr>
    </w:p>
    <w:p>
      <w:pPr>
        <w:ind w:right="340"/>
        <w:spacing w:after="0" w:line="232" w:lineRule="auto"/>
        <w:rPr>
          <w:sz w:val="20"/>
          <w:szCs w:val="20"/>
          <w:color w:val="auto"/>
        </w:rPr>
      </w:pPr>
      <w:r>
        <w:rPr>
          <w:rFonts w:ascii="Arial" w:cs="Arial" w:eastAsia="Arial" w:hAnsi="Arial"/>
          <w:sz w:val="20"/>
          <w:szCs w:val="20"/>
          <w:color w:val="auto"/>
        </w:rPr>
        <w:t>Information related to all stock options under the 2021 Plan, 2017 Plan and 2007 Plan, and the 2020 Inducement Awards for 2023, 2022 and 2021 is shown in the tables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Weighted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0"/>
              <w:spacing w:after="0" w:line="183" w:lineRule="exact"/>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5"/>
                <w:szCs w:val="15"/>
                <w:color w:val="auto"/>
              </w:rPr>
            </w:pPr>
          </w:p>
        </w:tc>
        <w:tc>
          <w:tcPr>
            <w:tcW w:w="1360" w:type="dxa"/>
            <w:vAlign w:val="bottom"/>
            <w:gridSpan w:val="2"/>
          </w:tcPr>
          <w:p>
            <w:pPr>
              <w:jc w:val="center"/>
              <w:ind w:right="40"/>
              <w:spacing w:after="0" w:line="183" w:lineRule="exact"/>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83" w:lineRule="exact"/>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0"/>
              <w:spacing w:after="0" w:line="181" w:lineRule="exact"/>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1" w:lineRule="exact"/>
              <w:rPr>
                <w:sz w:val="20"/>
                <w:szCs w:val="20"/>
                <w:color w:val="auto"/>
              </w:rPr>
            </w:pPr>
            <w:r>
              <w:rPr>
                <w:rFonts w:ascii="Arial" w:cs="Arial" w:eastAsia="Arial" w:hAnsi="Arial"/>
                <w:sz w:val="16"/>
                <w:szCs w:val="16"/>
                <w:b w:val="1"/>
                <w:bCs w:val="1"/>
                <w:color w:val="auto"/>
                <w:w w:val="90"/>
              </w:rPr>
              <w:t>Remaining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0"/>
              <w:spacing w:after="0" w:line="183" w:lineRule="exact"/>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3" w:lineRule="exact"/>
              <w:rPr>
                <w:sz w:val="20"/>
                <w:szCs w:val="20"/>
                <w:color w:val="auto"/>
              </w:rPr>
            </w:pPr>
            <w:r>
              <w:rPr>
                <w:rFonts w:ascii="Arial" w:cs="Arial" w:eastAsia="Arial" w:hAnsi="Arial"/>
                <w:sz w:val="16"/>
                <w:szCs w:val="16"/>
                <w:b w:val="1"/>
                <w:bCs w:val="1"/>
                <w:color w:val="auto"/>
                <w:w w:val="92"/>
              </w:rPr>
              <w:t>Contractual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83" w:lineRule="exact"/>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83"/>
        </w:trPr>
        <w:tc>
          <w:tcPr>
            <w:tcW w:w="5240" w:type="dxa"/>
            <w:vAlign w:val="bottom"/>
            <w:gridSpan w:val="4"/>
          </w:tcPr>
          <w:p>
            <w:pPr>
              <w:spacing w:after="0" w:line="183" w:lineRule="exact"/>
              <w:rPr>
                <w:sz w:val="20"/>
                <w:szCs w:val="20"/>
                <w:color w:val="auto"/>
              </w:rPr>
            </w:pPr>
            <w:r>
              <w:rPr>
                <w:rFonts w:ascii="Arial" w:cs="Arial" w:eastAsia="Arial" w:hAnsi="Arial"/>
                <w:sz w:val="16"/>
                <w:szCs w:val="16"/>
                <w:b w:val="1"/>
                <w:bCs w:val="1"/>
                <w:color w:val="auto"/>
              </w:rPr>
              <w:t>(Shares in thousands)</w:t>
            </w:r>
          </w:p>
        </w:tc>
        <w:tc>
          <w:tcPr>
            <w:tcW w:w="1300" w:type="dxa"/>
            <w:vAlign w:val="bottom"/>
            <w:gridSpan w:val="2"/>
          </w:tcPr>
          <w:p>
            <w:pPr>
              <w:jc w:val="right"/>
              <w:ind w:right="580"/>
              <w:spacing w:after="0" w:line="183" w:lineRule="exact"/>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5"/>
                <w:szCs w:val="15"/>
                <w:color w:val="auto"/>
              </w:rPr>
            </w:pPr>
          </w:p>
        </w:tc>
        <w:tc>
          <w:tcPr>
            <w:tcW w:w="1080" w:type="dxa"/>
            <w:vAlign w:val="bottom"/>
          </w:tcPr>
          <w:p>
            <w:pPr>
              <w:jc w:val="center"/>
              <w:ind w:right="30"/>
              <w:spacing w:after="0" w:line="183" w:lineRule="exact"/>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3" w:lineRule="exact"/>
              <w:rPr>
                <w:sz w:val="20"/>
                <w:szCs w:val="20"/>
                <w:color w:val="auto"/>
              </w:rPr>
            </w:pPr>
            <w:r>
              <w:rPr>
                <w:rFonts w:ascii="Arial" w:cs="Arial" w:eastAsia="Arial" w:hAnsi="Arial"/>
                <w:sz w:val="16"/>
                <w:szCs w:val="16"/>
                <w:b w:val="1"/>
                <w:bCs w:val="1"/>
                <w:color w:val="auto"/>
                <w:w w:val="97"/>
              </w:rPr>
              <w:t>Term</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14"/>
              <w:spacing w:after="0" w:line="183" w:lineRule="exact"/>
              <w:rPr>
                <w:sz w:val="20"/>
                <w:szCs w:val="20"/>
                <w:color w:val="auto"/>
              </w:rPr>
            </w:pPr>
            <w:r>
              <w:rPr>
                <w:rFonts w:ascii="Arial" w:cs="Arial" w:eastAsia="Arial" w:hAnsi="Arial"/>
                <w:sz w:val="16"/>
                <w:szCs w:val="16"/>
                <w:b w:val="1"/>
                <w:bCs w:val="1"/>
                <w:color w:val="auto"/>
                <w:w w:val="95"/>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20" w:type="dxa"/>
            <w:vAlign w:val="bottom"/>
            <w:tcBorders>
              <w:top w:val="single" w:sz="8" w:color="auto"/>
            </w:tcBorders>
            <w:shd w:val="clear" w:color="auto" w:fill="E9E9E9"/>
          </w:tcPr>
          <w:p>
            <w:pPr>
              <w:spacing w:after="0" w:line="217" w:lineRule="exact"/>
              <w:rPr>
                <w:sz w:val="20"/>
                <w:szCs w:val="20"/>
                <w:color w:val="auto"/>
              </w:rPr>
            </w:pPr>
            <w:r>
              <w:rPr>
                <w:rFonts w:ascii="Arial" w:cs="Arial" w:eastAsia="Arial" w:hAnsi="Arial"/>
                <w:sz w:val="20"/>
                <w:szCs w:val="20"/>
                <w:color w:val="auto"/>
              </w:rPr>
              <w:t>Outstanding at December 31, 2022</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0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1,440</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11.30</w:t>
            </w:r>
          </w:p>
        </w:tc>
        <w:tc>
          <w:tcPr>
            <w:tcW w:w="220" w:type="dxa"/>
            <w:vAlign w:val="bottom"/>
            <w:tcBorders>
              <w:top w:val="single" w:sz="8" w:color="E9E9E9"/>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ind w:left="600"/>
              <w:spacing w:after="0" w:line="217" w:lineRule="exact"/>
              <w:rPr>
                <w:sz w:val="20"/>
                <w:szCs w:val="20"/>
                <w:color w:val="auto"/>
              </w:rPr>
            </w:pPr>
            <w:r>
              <w:rPr>
                <w:rFonts w:ascii="Arial" w:cs="Arial" w:eastAsia="Arial" w:hAnsi="Arial"/>
                <w:sz w:val="20"/>
                <w:szCs w:val="20"/>
                <w:color w:val="auto"/>
                <w:w w:val="82"/>
              </w:rPr>
              <w:t>4.0 years</w:t>
            </w:r>
          </w:p>
        </w:tc>
        <w:tc>
          <w:tcPr>
            <w:tcW w:w="60" w:type="dxa"/>
            <w:vAlign w:val="bottom"/>
            <w:tcBorders>
              <w:top w:val="single" w:sz="8" w:color="E9E9E9"/>
            </w:tcBorders>
            <w:shd w:val="clear" w:color="auto" w:fill="E9E9E9"/>
          </w:tcPr>
          <w:p>
            <w:pPr>
              <w:spacing w:after="0"/>
              <w:rPr>
                <w:sz w:val="18"/>
                <w:szCs w:val="18"/>
                <w:color w:val="auto"/>
              </w:rPr>
            </w:pPr>
          </w:p>
        </w:tc>
        <w:tc>
          <w:tcPr>
            <w:tcW w:w="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10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40" w:type="dxa"/>
            <w:vAlign w:val="bottom"/>
            <w:gridSpan w:val="4"/>
          </w:tcPr>
          <w:p>
            <w:pPr>
              <w:spacing w:after="0" w:line="225" w:lineRule="exact"/>
              <w:rPr>
                <w:sz w:val="20"/>
                <w:szCs w:val="20"/>
                <w:color w:val="auto"/>
              </w:rPr>
            </w:pPr>
            <w:r>
              <w:rPr>
                <w:rFonts w:ascii="Arial" w:cs="Arial" w:eastAsia="Arial" w:hAnsi="Arial"/>
                <w:sz w:val="20"/>
                <w:szCs w:val="20"/>
                <w:color w:val="auto"/>
              </w:rPr>
              <w:t>Forfeitures</w:t>
            </w:r>
          </w:p>
        </w:tc>
        <w:tc>
          <w:tcPr>
            <w:tcW w:w="1300" w:type="dxa"/>
            <w:vAlign w:val="bottom"/>
            <w:gridSpan w:val="2"/>
          </w:tcPr>
          <w:p>
            <w:pPr>
              <w:jc w:val="right"/>
              <w:ind w:right="140"/>
              <w:spacing w:after="0" w:line="225" w:lineRule="exact"/>
              <w:rPr>
                <w:sz w:val="20"/>
                <w:szCs w:val="20"/>
                <w:color w:val="auto"/>
              </w:rPr>
            </w:pPr>
            <w:r>
              <w:rPr>
                <w:rFonts w:ascii="Arial" w:cs="Arial" w:eastAsia="Arial" w:hAnsi="Arial"/>
                <w:sz w:val="20"/>
                <w:szCs w:val="20"/>
                <w:color w:val="auto"/>
              </w:rPr>
              <w:t>(92)</w:t>
            </w:r>
          </w:p>
        </w:tc>
        <w:tc>
          <w:tcPr>
            <w:tcW w:w="120" w:type="dxa"/>
            <w:vAlign w:val="bottom"/>
          </w:tcPr>
          <w:p>
            <w:pPr>
              <w:spacing w:after="0"/>
              <w:rPr>
                <w:sz w:val="19"/>
                <w:szCs w:val="19"/>
                <w:color w:val="auto"/>
              </w:rPr>
            </w:pPr>
          </w:p>
        </w:tc>
        <w:tc>
          <w:tcPr>
            <w:tcW w:w="1080" w:type="dxa"/>
            <w:vAlign w:val="bottom"/>
          </w:tcPr>
          <w:p>
            <w:pPr>
              <w:jc w:val="right"/>
              <w:spacing w:after="0" w:line="225" w:lineRule="exact"/>
              <w:rPr>
                <w:sz w:val="20"/>
                <w:szCs w:val="20"/>
                <w:color w:val="auto"/>
              </w:rPr>
            </w:pPr>
            <w:r>
              <w:rPr>
                <w:rFonts w:ascii="Arial" w:cs="Arial" w:eastAsia="Arial" w:hAnsi="Arial"/>
                <w:sz w:val="20"/>
                <w:szCs w:val="20"/>
                <w:color w:val="auto"/>
              </w:rPr>
              <w:t>13.43</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Exercised</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08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(101)</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11.93</w:t>
            </w:r>
          </w:p>
        </w:tc>
        <w:tc>
          <w:tcPr>
            <w:tcW w:w="22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240" w:type="dxa"/>
            <w:vAlign w:val="bottom"/>
            <w:gridSpan w:val="4"/>
          </w:tcPr>
          <w:p>
            <w:pPr>
              <w:spacing w:after="0" w:line="217" w:lineRule="exact"/>
              <w:rPr>
                <w:sz w:val="20"/>
                <w:szCs w:val="20"/>
                <w:color w:val="auto"/>
              </w:rPr>
            </w:pPr>
            <w:r>
              <w:rPr>
                <w:rFonts w:ascii="Arial" w:cs="Arial" w:eastAsia="Arial" w:hAnsi="Arial"/>
                <w:sz w:val="20"/>
                <w:szCs w:val="20"/>
                <w:color w:val="auto"/>
              </w:rPr>
              <w:t>Outstanding and expected to vest at December 31, 2023</w:t>
            </w:r>
          </w:p>
        </w:tc>
        <w:tc>
          <w:tcPr>
            <w:tcW w:w="1080" w:type="dxa"/>
            <w:vAlign w:val="bottom"/>
          </w:tcPr>
          <w:p>
            <w:pPr>
              <w:jc w:val="right"/>
              <w:spacing w:after="0" w:line="217" w:lineRule="exact"/>
              <w:rPr>
                <w:sz w:val="20"/>
                <w:szCs w:val="20"/>
                <w:color w:val="auto"/>
              </w:rPr>
            </w:pPr>
            <w:r>
              <w:rPr>
                <w:rFonts w:ascii="Arial" w:cs="Arial" w:eastAsia="Arial" w:hAnsi="Arial"/>
                <w:sz w:val="20"/>
                <w:szCs w:val="20"/>
                <w:color w:val="auto"/>
              </w:rPr>
              <w:t>1,247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line="217" w:lineRule="exact"/>
              <w:rPr>
                <w:sz w:val="20"/>
                <w:szCs w:val="20"/>
                <w:color w:val="auto"/>
              </w:rPr>
            </w:pPr>
            <w:r>
              <w:rPr>
                <w:rFonts w:ascii="Arial" w:cs="Arial" w:eastAsia="Arial" w:hAnsi="Arial"/>
                <w:sz w:val="20"/>
                <w:szCs w:val="20"/>
                <w:color w:val="auto"/>
              </w:rPr>
              <w:t>11.09</w:t>
            </w:r>
          </w:p>
        </w:tc>
        <w:tc>
          <w:tcPr>
            <w:tcW w:w="220" w:type="dxa"/>
            <w:vAlign w:val="bottom"/>
          </w:tcPr>
          <w:p>
            <w:pPr>
              <w:spacing w:after="0"/>
              <w:rPr>
                <w:sz w:val="22"/>
                <w:szCs w:val="22"/>
                <w:color w:val="auto"/>
              </w:rPr>
            </w:pPr>
          </w:p>
        </w:tc>
        <w:tc>
          <w:tcPr>
            <w:tcW w:w="1360" w:type="dxa"/>
            <w:vAlign w:val="bottom"/>
            <w:gridSpan w:val="2"/>
          </w:tcPr>
          <w:p>
            <w:pPr>
              <w:ind w:left="600"/>
              <w:spacing w:after="0" w:line="217" w:lineRule="exact"/>
              <w:rPr>
                <w:sz w:val="20"/>
                <w:szCs w:val="20"/>
                <w:color w:val="auto"/>
              </w:rPr>
            </w:pPr>
            <w:r>
              <w:rPr>
                <w:rFonts w:ascii="Arial" w:cs="Arial" w:eastAsia="Arial" w:hAnsi="Arial"/>
                <w:sz w:val="20"/>
                <w:szCs w:val="20"/>
                <w:color w:val="auto"/>
                <w:w w:val="89"/>
              </w:rPr>
              <w:t>3.4 years</w:t>
            </w:r>
          </w:p>
        </w:tc>
        <w:tc>
          <w:tcPr>
            <w:tcW w:w="16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11,452</w:t>
            </w:r>
          </w:p>
        </w:tc>
        <w:tc>
          <w:tcPr>
            <w:tcW w:w="0" w:type="dxa"/>
            <w:vAlign w:val="bottom"/>
          </w:tcPr>
          <w:p>
            <w:pPr>
              <w:spacing w:after="0"/>
              <w:rPr>
                <w:sz w:val="1"/>
                <w:szCs w:val="1"/>
                <w:color w:val="auto"/>
              </w:rPr>
            </w:pPr>
          </w:p>
        </w:tc>
      </w:tr>
      <w:tr>
        <w:trPr>
          <w:trHeight w:val="214"/>
        </w:trPr>
        <w:tc>
          <w:tcPr>
            <w:tcW w:w="5020" w:type="dxa"/>
            <w:vAlign w:val="bottom"/>
            <w:tcBorders>
              <w:top w:val="single" w:sz="8" w:color="E9E9E9"/>
            </w:tcBorders>
            <w:shd w:val="clear" w:color="auto" w:fill="E9E9E9"/>
          </w:tcPr>
          <w:p>
            <w:pPr>
              <w:spacing w:after="0" w:line="213" w:lineRule="exact"/>
              <w:rPr>
                <w:sz w:val="20"/>
                <w:szCs w:val="20"/>
                <w:color w:val="auto"/>
              </w:rPr>
            </w:pPr>
            <w:r>
              <w:rPr>
                <w:rFonts w:ascii="Arial" w:cs="Arial" w:eastAsia="Arial" w:hAnsi="Arial"/>
                <w:sz w:val="20"/>
                <w:szCs w:val="20"/>
                <w:color w:val="auto"/>
              </w:rPr>
              <w:t>Exercisable at December 31, 2023</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bottom w:val="single" w:sz="8" w:color="auto"/>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spacing w:after="0"/>
              <w:rPr>
                <w:sz w:val="18"/>
                <w:szCs w:val="18"/>
                <w:color w:val="auto"/>
              </w:rPr>
            </w:pPr>
          </w:p>
        </w:tc>
        <w:tc>
          <w:tcPr>
            <w:tcW w:w="1080" w:type="dxa"/>
            <w:vAlign w:val="bottom"/>
            <w:tcBorders>
              <w:top w:val="single" w:sz="8" w:color="auto"/>
              <w:bottom w:val="single" w:sz="8" w:color="auto"/>
            </w:tcBorders>
            <w:shd w:val="clear" w:color="auto" w:fill="E9E9E9"/>
          </w:tcPr>
          <w:p>
            <w:pPr>
              <w:jc w:val="right"/>
              <w:spacing w:after="0" w:line="213" w:lineRule="exact"/>
              <w:rPr>
                <w:sz w:val="20"/>
                <w:szCs w:val="20"/>
                <w:color w:val="auto"/>
              </w:rPr>
            </w:pPr>
            <w:r>
              <w:rPr>
                <w:rFonts w:ascii="Arial" w:cs="Arial" w:eastAsia="Arial" w:hAnsi="Arial"/>
                <w:sz w:val="20"/>
                <w:szCs w:val="20"/>
                <w:color w:val="auto"/>
              </w:rPr>
              <w:t>942</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1080" w:type="dxa"/>
            <w:vAlign w:val="bottom"/>
            <w:tcBorders>
              <w:top w:val="single" w:sz="8" w:color="E9E9E9"/>
            </w:tcBorders>
            <w:shd w:val="clear" w:color="auto" w:fill="E9E9E9"/>
          </w:tcPr>
          <w:p>
            <w:pPr>
              <w:jc w:val="right"/>
              <w:spacing w:after="0" w:line="213" w:lineRule="exact"/>
              <w:rPr>
                <w:sz w:val="20"/>
                <w:szCs w:val="20"/>
                <w:color w:val="auto"/>
              </w:rPr>
            </w:pPr>
            <w:r>
              <w:rPr>
                <w:rFonts w:ascii="Arial" w:cs="Arial" w:eastAsia="Arial" w:hAnsi="Arial"/>
                <w:sz w:val="20"/>
                <w:szCs w:val="20"/>
                <w:color w:val="auto"/>
              </w:rPr>
              <w:t>11.10</w:t>
            </w:r>
          </w:p>
        </w:tc>
        <w:tc>
          <w:tcPr>
            <w:tcW w:w="220" w:type="dxa"/>
            <w:vAlign w:val="bottom"/>
            <w:tcBorders>
              <w:top w:val="single" w:sz="8" w:color="E9E9E9"/>
            </w:tcBorders>
            <w:shd w:val="clear" w:color="auto" w:fill="E9E9E9"/>
          </w:tcPr>
          <w:p>
            <w:pPr>
              <w:spacing w:after="0"/>
              <w:rPr>
                <w:sz w:val="18"/>
                <w:szCs w:val="18"/>
                <w:color w:val="auto"/>
              </w:rPr>
            </w:pPr>
          </w:p>
        </w:tc>
        <w:tc>
          <w:tcPr>
            <w:tcW w:w="1300" w:type="dxa"/>
            <w:vAlign w:val="bottom"/>
            <w:tcBorders>
              <w:top w:val="single" w:sz="8" w:color="E9E9E9"/>
            </w:tcBorders>
            <w:shd w:val="clear" w:color="auto" w:fill="E9E9E9"/>
          </w:tcPr>
          <w:p>
            <w:pPr>
              <w:ind w:left="600"/>
              <w:spacing w:after="0" w:line="213" w:lineRule="exact"/>
              <w:rPr>
                <w:sz w:val="20"/>
                <w:szCs w:val="20"/>
                <w:color w:val="auto"/>
              </w:rPr>
            </w:pPr>
            <w:r>
              <w:rPr>
                <w:rFonts w:ascii="Arial" w:cs="Arial" w:eastAsia="Arial" w:hAnsi="Arial"/>
                <w:sz w:val="20"/>
                <w:szCs w:val="20"/>
                <w:color w:val="auto"/>
                <w:w w:val="82"/>
              </w:rPr>
              <w:t>3.4 years</w:t>
            </w:r>
          </w:p>
        </w:tc>
        <w:tc>
          <w:tcPr>
            <w:tcW w:w="60" w:type="dxa"/>
            <w:vAlign w:val="bottom"/>
            <w:tcBorders>
              <w:top w:val="single" w:sz="8" w:color="E9E9E9"/>
            </w:tcBorders>
            <w:shd w:val="clear" w:color="auto" w:fill="E9E9E9"/>
          </w:tcPr>
          <w:p>
            <w:pPr>
              <w:spacing w:after="0"/>
              <w:rPr>
                <w:sz w:val="18"/>
                <w:szCs w:val="18"/>
                <w:color w:val="auto"/>
              </w:rPr>
            </w:pPr>
          </w:p>
        </w:tc>
        <w:tc>
          <w:tcPr>
            <w:tcW w:w="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jc w:val="right"/>
              <w:spacing w:after="0" w:line="21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E9E9E9"/>
            </w:tcBorders>
            <w:shd w:val="clear" w:color="auto" w:fill="E9E9E9"/>
          </w:tcPr>
          <w:p>
            <w:pPr>
              <w:jc w:val="right"/>
              <w:spacing w:after="0" w:line="213" w:lineRule="exact"/>
              <w:rPr>
                <w:sz w:val="20"/>
                <w:szCs w:val="20"/>
                <w:color w:val="auto"/>
              </w:rPr>
            </w:pPr>
            <w:r>
              <w:rPr>
                <w:rFonts w:ascii="Arial" w:cs="Arial" w:eastAsia="Arial" w:hAnsi="Arial"/>
                <w:sz w:val="20"/>
                <w:szCs w:val="20"/>
                <w:color w:val="auto"/>
              </w:rPr>
              <w:t>8,652</w:t>
            </w:r>
          </w:p>
        </w:tc>
        <w:tc>
          <w:tcPr>
            <w:tcW w:w="10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8"/>
              </w:rPr>
              <w:t>Weighted</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0"/>
              <w:spacing w:after="0" w:line="183" w:lineRule="exact"/>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5"/>
                <w:szCs w:val="15"/>
                <w:color w:val="auto"/>
              </w:rPr>
            </w:pPr>
          </w:p>
        </w:tc>
        <w:tc>
          <w:tcPr>
            <w:tcW w:w="1360" w:type="dxa"/>
            <w:vAlign w:val="bottom"/>
            <w:gridSpan w:val="2"/>
          </w:tcPr>
          <w:p>
            <w:pPr>
              <w:jc w:val="center"/>
              <w:ind w:right="40"/>
              <w:spacing w:after="0" w:line="183" w:lineRule="exact"/>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83" w:lineRule="exact"/>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0"/>
              <w:spacing w:after="0" w:line="181" w:lineRule="exact"/>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1" w:lineRule="exact"/>
              <w:rPr>
                <w:sz w:val="20"/>
                <w:szCs w:val="20"/>
                <w:color w:val="auto"/>
              </w:rPr>
            </w:pPr>
            <w:r>
              <w:rPr>
                <w:rFonts w:ascii="Arial" w:cs="Arial" w:eastAsia="Arial" w:hAnsi="Arial"/>
                <w:sz w:val="16"/>
                <w:szCs w:val="16"/>
                <w:b w:val="1"/>
                <w:bCs w:val="1"/>
                <w:color w:val="auto"/>
                <w:w w:val="90"/>
              </w:rPr>
              <w:t>Remaining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0"/>
              <w:spacing w:after="0" w:line="183" w:lineRule="exact"/>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3" w:lineRule="exact"/>
              <w:rPr>
                <w:sz w:val="20"/>
                <w:szCs w:val="20"/>
                <w:color w:val="auto"/>
              </w:rPr>
            </w:pPr>
            <w:r>
              <w:rPr>
                <w:rFonts w:ascii="Arial" w:cs="Arial" w:eastAsia="Arial" w:hAnsi="Arial"/>
                <w:sz w:val="16"/>
                <w:szCs w:val="16"/>
                <w:b w:val="1"/>
                <w:bCs w:val="1"/>
                <w:color w:val="auto"/>
                <w:w w:val="92"/>
              </w:rPr>
              <w:t>Contractual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83" w:lineRule="exact"/>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82"/>
        </w:trPr>
        <w:tc>
          <w:tcPr>
            <w:tcW w:w="524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(Shares in thousands)</w:t>
            </w:r>
          </w:p>
        </w:tc>
        <w:tc>
          <w:tcPr>
            <w:tcW w:w="1300" w:type="dxa"/>
            <w:vAlign w:val="bottom"/>
            <w:gridSpan w:val="2"/>
          </w:tcPr>
          <w:p>
            <w:pPr>
              <w:jc w:val="right"/>
              <w:ind w:right="580"/>
              <w:spacing w:after="0" w:line="182" w:lineRule="exact"/>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5"/>
                <w:szCs w:val="15"/>
                <w:color w:val="auto"/>
              </w:rPr>
            </w:pPr>
          </w:p>
        </w:tc>
        <w:tc>
          <w:tcPr>
            <w:tcW w:w="1080" w:type="dxa"/>
            <w:vAlign w:val="bottom"/>
          </w:tcPr>
          <w:p>
            <w:pPr>
              <w:jc w:val="center"/>
              <w:ind w:right="30"/>
              <w:spacing w:after="0" w:line="182" w:lineRule="exact"/>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2" w:lineRule="exact"/>
              <w:rPr>
                <w:sz w:val="20"/>
                <w:szCs w:val="20"/>
                <w:color w:val="auto"/>
              </w:rPr>
            </w:pPr>
            <w:r>
              <w:rPr>
                <w:rFonts w:ascii="Arial" w:cs="Arial" w:eastAsia="Arial" w:hAnsi="Arial"/>
                <w:sz w:val="16"/>
                <w:szCs w:val="16"/>
                <w:b w:val="1"/>
                <w:bCs w:val="1"/>
                <w:color w:val="auto"/>
                <w:w w:val="97"/>
              </w:rPr>
              <w:t>Term</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14"/>
              <w:spacing w:after="0" w:line="182" w:lineRule="exact"/>
              <w:rPr>
                <w:sz w:val="20"/>
                <w:szCs w:val="20"/>
                <w:color w:val="auto"/>
              </w:rPr>
            </w:pPr>
            <w:r>
              <w:rPr>
                <w:rFonts w:ascii="Arial" w:cs="Arial" w:eastAsia="Arial" w:hAnsi="Arial"/>
                <w:sz w:val="16"/>
                <w:szCs w:val="16"/>
                <w:b w:val="1"/>
                <w:bCs w:val="1"/>
                <w:color w:val="auto"/>
                <w:w w:val="95"/>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20" w:type="dxa"/>
            <w:vAlign w:val="bottom"/>
            <w:tcBorders>
              <w:top w:val="single" w:sz="8" w:color="auto"/>
            </w:tcBorders>
            <w:shd w:val="clear" w:color="auto" w:fill="E9E9E9"/>
          </w:tcPr>
          <w:p>
            <w:pPr>
              <w:spacing w:after="0" w:line="217" w:lineRule="exact"/>
              <w:rPr>
                <w:sz w:val="20"/>
                <w:szCs w:val="20"/>
                <w:color w:val="auto"/>
              </w:rPr>
            </w:pPr>
            <w:r>
              <w:rPr>
                <w:rFonts w:ascii="Arial" w:cs="Arial" w:eastAsia="Arial" w:hAnsi="Arial"/>
                <w:sz w:val="20"/>
                <w:szCs w:val="20"/>
                <w:color w:val="auto"/>
              </w:rPr>
              <w:t>Outstanding at December 31, 2021</w:t>
            </w:r>
          </w:p>
        </w:tc>
        <w:tc>
          <w:tcPr>
            <w:tcW w:w="120" w:type="dxa"/>
            <w:vAlign w:val="bottom"/>
            <w:tcBorders>
              <w:top w:val="single" w:sz="8" w:color="E9E9E9"/>
            </w:tcBorders>
            <w:gridSpan w:val="2"/>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0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1,514</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11.19</w:t>
            </w:r>
          </w:p>
        </w:tc>
        <w:tc>
          <w:tcPr>
            <w:tcW w:w="220" w:type="dxa"/>
            <w:vAlign w:val="bottom"/>
            <w:tcBorders>
              <w:top w:val="single" w:sz="8" w:color="E9E9E9"/>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ind w:left="600"/>
              <w:spacing w:after="0" w:line="217" w:lineRule="exact"/>
              <w:rPr>
                <w:sz w:val="20"/>
                <w:szCs w:val="20"/>
                <w:color w:val="auto"/>
              </w:rPr>
            </w:pPr>
            <w:r>
              <w:rPr>
                <w:rFonts w:ascii="Arial" w:cs="Arial" w:eastAsia="Arial" w:hAnsi="Arial"/>
                <w:sz w:val="20"/>
                <w:szCs w:val="20"/>
                <w:color w:val="auto"/>
                <w:w w:val="82"/>
              </w:rPr>
              <w:t>4.9 years</w:t>
            </w:r>
          </w:p>
        </w:tc>
        <w:tc>
          <w:tcPr>
            <w:tcW w:w="60" w:type="dxa"/>
            <w:vAlign w:val="bottom"/>
            <w:tcBorders>
              <w:top w:val="single" w:sz="8" w:color="E9E9E9"/>
            </w:tcBorders>
            <w:shd w:val="clear" w:color="auto" w:fill="E9E9E9"/>
          </w:tcPr>
          <w:p>
            <w:pPr>
              <w:spacing w:after="0"/>
              <w:rPr>
                <w:sz w:val="18"/>
                <w:szCs w:val="18"/>
                <w:color w:val="auto"/>
              </w:rPr>
            </w:pPr>
          </w:p>
        </w:tc>
        <w:tc>
          <w:tcPr>
            <w:tcW w:w="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10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20" w:type="dxa"/>
            <w:vAlign w:val="bottom"/>
          </w:tcPr>
          <w:p>
            <w:pPr>
              <w:spacing w:after="0" w:line="226" w:lineRule="exact"/>
              <w:rPr>
                <w:sz w:val="20"/>
                <w:szCs w:val="20"/>
                <w:color w:val="auto"/>
              </w:rPr>
            </w:pPr>
            <w:r>
              <w:rPr>
                <w:rFonts w:ascii="Arial" w:cs="Arial" w:eastAsia="Arial" w:hAnsi="Arial"/>
                <w:sz w:val="20"/>
                <w:szCs w:val="20"/>
                <w:color w:val="auto"/>
              </w:rPr>
              <w:t>Forfeitures</w:t>
            </w:r>
          </w:p>
        </w:tc>
        <w:tc>
          <w:tcPr>
            <w:tcW w:w="1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Arial" w:cs="Arial" w:eastAsia="Arial" w:hAnsi="Arial"/>
                <w:sz w:val="20"/>
                <w:szCs w:val="20"/>
                <w:color w:val="auto"/>
              </w:rPr>
              <w:t>(32)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Arial" w:cs="Arial" w:eastAsia="Arial" w:hAnsi="Arial"/>
                <w:sz w:val="20"/>
                <w:szCs w:val="20"/>
                <w:color w:val="auto"/>
              </w:rPr>
              <w:t>10.55</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Exercised</w:t>
            </w:r>
          </w:p>
        </w:tc>
        <w:tc>
          <w:tcPr>
            <w:tcW w:w="120" w:type="dxa"/>
            <w:vAlign w:val="bottom"/>
            <w:gridSpan w:val="2"/>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08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(42)</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8.15</w:t>
            </w:r>
          </w:p>
        </w:tc>
        <w:tc>
          <w:tcPr>
            <w:tcW w:w="22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240" w:type="dxa"/>
            <w:vAlign w:val="bottom"/>
            <w:gridSpan w:val="4"/>
          </w:tcPr>
          <w:p>
            <w:pPr>
              <w:spacing w:after="0" w:line="217" w:lineRule="exact"/>
              <w:rPr>
                <w:sz w:val="20"/>
                <w:szCs w:val="20"/>
                <w:color w:val="auto"/>
              </w:rPr>
            </w:pPr>
            <w:r>
              <w:rPr>
                <w:rFonts w:ascii="Arial" w:cs="Arial" w:eastAsia="Arial" w:hAnsi="Arial"/>
                <w:sz w:val="20"/>
                <w:szCs w:val="20"/>
                <w:color w:val="auto"/>
              </w:rPr>
              <w:t>Outstanding and expected to vest at December 31, 2022</w:t>
            </w:r>
          </w:p>
        </w:tc>
        <w:tc>
          <w:tcPr>
            <w:tcW w:w="1080" w:type="dxa"/>
            <w:vAlign w:val="bottom"/>
          </w:tcPr>
          <w:p>
            <w:pPr>
              <w:jc w:val="right"/>
              <w:spacing w:after="0" w:line="217" w:lineRule="exact"/>
              <w:rPr>
                <w:sz w:val="20"/>
                <w:szCs w:val="20"/>
                <w:color w:val="auto"/>
              </w:rPr>
            </w:pPr>
            <w:r>
              <w:rPr>
                <w:rFonts w:ascii="Arial" w:cs="Arial" w:eastAsia="Arial" w:hAnsi="Arial"/>
                <w:sz w:val="20"/>
                <w:szCs w:val="20"/>
                <w:color w:val="auto"/>
              </w:rPr>
              <w:t>1,440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line="217" w:lineRule="exact"/>
              <w:rPr>
                <w:sz w:val="20"/>
                <w:szCs w:val="20"/>
                <w:color w:val="auto"/>
              </w:rPr>
            </w:pPr>
            <w:r>
              <w:rPr>
                <w:rFonts w:ascii="Arial" w:cs="Arial" w:eastAsia="Arial" w:hAnsi="Arial"/>
                <w:sz w:val="20"/>
                <w:szCs w:val="20"/>
                <w:color w:val="auto"/>
              </w:rPr>
              <w:t>11.30</w:t>
            </w:r>
          </w:p>
        </w:tc>
        <w:tc>
          <w:tcPr>
            <w:tcW w:w="220" w:type="dxa"/>
            <w:vAlign w:val="bottom"/>
          </w:tcPr>
          <w:p>
            <w:pPr>
              <w:spacing w:after="0"/>
              <w:rPr>
                <w:sz w:val="22"/>
                <w:szCs w:val="22"/>
                <w:color w:val="auto"/>
              </w:rPr>
            </w:pPr>
          </w:p>
        </w:tc>
        <w:tc>
          <w:tcPr>
            <w:tcW w:w="1360" w:type="dxa"/>
            <w:vAlign w:val="bottom"/>
            <w:gridSpan w:val="2"/>
          </w:tcPr>
          <w:p>
            <w:pPr>
              <w:ind w:left="600"/>
              <w:spacing w:after="0" w:line="217" w:lineRule="exact"/>
              <w:rPr>
                <w:sz w:val="20"/>
                <w:szCs w:val="20"/>
                <w:color w:val="auto"/>
              </w:rPr>
            </w:pPr>
            <w:r>
              <w:rPr>
                <w:rFonts w:ascii="Arial" w:cs="Arial" w:eastAsia="Arial" w:hAnsi="Arial"/>
                <w:sz w:val="20"/>
                <w:szCs w:val="20"/>
                <w:color w:val="auto"/>
                <w:w w:val="89"/>
              </w:rPr>
              <w:t>4.0 years</w:t>
            </w:r>
          </w:p>
        </w:tc>
        <w:tc>
          <w:tcPr>
            <w:tcW w:w="16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1,766</w:t>
            </w:r>
          </w:p>
        </w:tc>
        <w:tc>
          <w:tcPr>
            <w:tcW w:w="0" w:type="dxa"/>
            <w:vAlign w:val="bottom"/>
          </w:tcPr>
          <w:p>
            <w:pPr>
              <w:spacing w:after="0"/>
              <w:rPr>
                <w:sz w:val="1"/>
                <w:szCs w:val="1"/>
                <w:color w:val="auto"/>
              </w:rPr>
            </w:pPr>
          </w:p>
        </w:tc>
      </w:tr>
      <w:tr>
        <w:trPr>
          <w:trHeight w:val="214"/>
        </w:trPr>
        <w:tc>
          <w:tcPr>
            <w:tcW w:w="5020" w:type="dxa"/>
            <w:vAlign w:val="bottom"/>
            <w:tcBorders>
              <w:top w:val="single" w:sz="8" w:color="E9E9E9"/>
            </w:tcBorders>
            <w:shd w:val="clear" w:color="auto" w:fill="E9E9E9"/>
          </w:tcPr>
          <w:p>
            <w:pPr>
              <w:spacing w:after="0" w:line="213" w:lineRule="exact"/>
              <w:rPr>
                <w:sz w:val="20"/>
                <w:szCs w:val="20"/>
                <w:color w:val="auto"/>
              </w:rPr>
            </w:pPr>
            <w:r>
              <w:rPr>
                <w:rFonts w:ascii="Arial" w:cs="Arial" w:eastAsia="Arial" w:hAnsi="Arial"/>
                <w:sz w:val="20"/>
                <w:szCs w:val="20"/>
                <w:color w:val="auto"/>
              </w:rPr>
              <w:t>Exercisable at December 31, 2022</w:t>
            </w:r>
          </w:p>
        </w:tc>
        <w:tc>
          <w:tcPr>
            <w:tcW w:w="120" w:type="dxa"/>
            <w:vAlign w:val="bottom"/>
            <w:tcBorders>
              <w:top w:val="single" w:sz="8" w:color="E9E9E9"/>
            </w:tcBorders>
            <w:gridSpan w:val="2"/>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080" w:type="dxa"/>
            <w:vAlign w:val="bottom"/>
            <w:tcBorders>
              <w:top w:val="single" w:sz="8" w:color="auto"/>
            </w:tcBorders>
            <w:shd w:val="clear" w:color="auto" w:fill="E9E9E9"/>
          </w:tcPr>
          <w:p>
            <w:pPr>
              <w:jc w:val="right"/>
              <w:spacing w:after="0" w:line="213" w:lineRule="exact"/>
              <w:rPr>
                <w:sz w:val="20"/>
                <w:szCs w:val="20"/>
                <w:color w:val="auto"/>
              </w:rPr>
            </w:pPr>
            <w:r>
              <w:rPr>
                <w:rFonts w:ascii="Arial" w:cs="Arial" w:eastAsia="Arial" w:hAnsi="Arial"/>
                <w:sz w:val="20"/>
                <w:szCs w:val="20"/>
                <w:color w:val="auto"/>
              </w:rPr>
              <w:t>833</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1080" w:type="dxa"/>
            <w:vAlign w:val="bottom"/>
            <w:tcBorders>
              <w:top w:val="single" w:sz="8" w:color="E9E9E9"/>
            </w:tcBorders>
            <w:shd w:val="clear" w:color="auto" w:fill="E9E9E9"/>
          </w:tcPr>
          <w:p>
            <w:pPr>
              <w:jc w:val="right"/>
              <w:spacing w:after="0" w:line="213" w:lineRule="exact"/>
              <w:rPr>
                <w:sz w:val="20"/>
                <w:szCs w:val="20"/>
                <w:color w:val="auto"/>
              </w:rPr>
            </w:pPr>
            <w:r>
              <w:rPr>
                <w:rFonts w:ascii="Arial" w:cs="Arial" w:eastAsia="Arial" w:hAnsi="Arial"/>
                <w:sz w:val="20"/>
                <w:szCs w:val="20"/>
                <w:color w:val="auto"/>
              </w:rPr>
              <w:t>11.47</w:t>
            </w:r>
          </w:p>
        </w:tc>
        <w:tc>
          <w:tcPr>
            <w:tcW w:w="220" w:type="dxa"/>
            <w:vAlign w:val="bottom"/>
            <w:tcBorders>
              <w:top w:val="single" w:sz="8" w:color="E9E9E9"/>
            </w:tcBorders>
            <w:shd w:val="clear" w:color="auto" w:fill="E9E9E9"/>
          </w:tcPr>
          <w:p>
            <w:pPr>
              <w:spacing w:after="0"/>
              <w:rPr>
                <w:sz w:val="18"/>
                <w:szCs w:val="18"/>
                <w:color w:val="auto"/>
              </w:rPr>
            </w:pPr>
          </w:p>
        </w:tc>
        <w:tc>
          <w:tcPr>
            <w:tcW w:w="1300" w:type="dxa"/>
            <w:vAlign w:val="bottom"/>
            <w:tcBorders>
              <w:top w:val="single" w:sz="8" w:color="E9E9E9"/>
            </w:tcBorders>
            <w:shd w:val="clear" w:color="auto" w:fill="E9E9E9"/>
          </w:tcPr>
          <w:p>
            <w:pPr>
              <w:ind w:left="600"/>
              <w:spacing w:after="0" w:line="213" w:lineRule="exact"/>
              <w:rPr>
                <w:sz w:val="20"/>
                <w:szCs w:val="20"/>
                <w:color w:val="auto"/>
              </w:rPr>
            </w:pPr>
            <w:r>
              <w:rPr>
                <w:rFonts w:ascii="Arial" w:cs="Arial" w:eastAsia="Arial" w:hAnsi="Arial"/>
                <w:sz w:val="20"/>
                <w:szCs w:val="20"/>
                <w:color w:val="auto"/>
                <w:w w:val="82"/>
              </w:rPr>
              <w:t>3.6 years</w:t>
            </w:r>
          </w:p>
        </w:tc>
        <w:tc>
          <w:tcPr>
            <w:tcW w:w="60" w:type="dxa"/>
            <w:vAlign w:val="bottom"/>
            <w:tcBorders>
              <w:top w:val="single" w:sz="8" w:color="E9E9E9"/>
            </w:tcBorders>
            <w:shd w:val="clear" w:color="auto" w:fill="E9E9E9"/>
          </w:tcPr>
          <w:p>
            <w:pPr>
              <w:spacing w:after="0"/>
              <w:rPr>
                <w:sz w:val="18"/>
                <w:szCs w:val="18"/>
                <w:color w:val="auto"/>
              </w:rPr>
            </w:pPr>
          </w:p>
        </w:tc>
        <w:tc>
          <w:tcPr>
            <w:tcW w:w="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jc w:val="right"/>
              <w:spacing w:after="0" w:line="213" w:lineRule="exact"/>
              <w:rPr>
                <w:sz w:val="20"/>
                <w:szCs w:val="20"/>
                <w:color w:val="auto"/>
              </w:rPr>
            </w:pPr>
            <w:r>
              <w:rPr>
                <w:rFonts w:ascii="Arial" w:cs="Arial" w:eastAsia="Arial" w:hAnsi="Arial"/>
                <w:sz w:val="20"/>
                <w:szCs w:val="20"/>
                <w:color w:val="auto"/>
                <w:w w:val="71"/>
                <w:shd w:val="clear" w:color="auto" w:fill="E9E9E9"/>
              </w:rPr>
              <w:t>$</w:t>
            </w:r>
          </w:p>
        </w:tc>
        <w:tc>
          <w:tcPr>
            <w:tcW w:w="1100" w:type="dxa"/>
            <w:vAlign w:val="bottom"/>
            <w:tcBorders>
              <w:top w:val="single" w:sz="8" w:color="E9E9E9"/>
            </w:tcBorders>
            <w:shd w:val="clear" w:color="auto" w:fill="E9E9E9"/>
          </w:tcPr>
          <w:p>
            <w:pPr>
              <w:jc w:val="right"/>
              <w:spacing w:after="0" w:line="213" w:lineRule="exact"/>
              <w:rPr>
                <w:sz w:val="20"/>
                <w:szCs w:val="20"/>
                <w:color w:val="auto"/>
              </w:rPr>
            </w:pPr>
            <w:r>
              <w:rPr>
                <w:rFonts w:ascii="Arial" w:cs="Arial" w:eastAsia="Arial" w:hAnsi="Arial"/>
                <w:sz w:val="20"/>
                <w:szCs w:val="20"/>
                <w:color w:val="auto"/>
              </w:rPr>
              <w:t>923</w:t>
            </w:r>
          </w:p>
        </w:tc>
        <w:tc>
          <w:tcPr>
            <w:tcW w:w="10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8"/>
              </w:rPr>
              <w:t>Weighted</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0"/>
              <w:spacing w:after="0" w:line="183" w:lineRule="exact"/>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5"/>
                <w:szCs w:val="15"/>
                <w:color w:val="auto"/>
              </w:rPr>
            </w:pPr>
          </w:p>
        </w:tc>
        <w:tc>
          <w:tcPr>
            <w:tcW w:w="1360" w:type="dxa"/>
            <w:vAlign w:val="bottom"/>
            <w:gridSpan w:val="2"/>
          </w:tcPr>
          <w:p>
            <w:pPr>
              <w:jc w:val="center"/>
              <w:ind w:right="40"/>
              <w:spacing w:after="0" w:line="183" w:lineRule="exact"/>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83" w:lineRule="exact"/>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0"/>
              <w:spacing w:after="0" w:line="181" w:lineRule="exact"/>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1" w:lineRule="exact"/>
              <w:rPr>
                <w:sz w:val="20"/>
                <w:szCs w:val="20"/>
                <w:color w:val="auto"/>
              </w:rPr>
            </w:pPr>
            <w:r>
              <w:rPr>
                <w:rFonts w:ascii="Arial" w:cs="Arial" w:eastAsia="Arial" w:hAnsi="Arial"/>
                <w:sz w:val="16"/>
                <w:szCs w:val="16"/>
                <w:b w:val="1"/>
                <w:bCs w:val="1"/>
                <w:color w:val="auto"/>
                <w:w w:val="90"/>
              </w:rPr>
              <w:t>Remaining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0"/>
              <w:spacing w:after="0" w:line="183" w:lineRule="exact"/>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3" w:lineRule="exact"/>
              <w:rPr>
                <w:sz w:val="20"/>
                <w:szCs w:val="20"/>
                <w:color w:val="auto"/>
              </w:rPr>
            </w:pPr>
            <w:r>
              <w:rPr>
                <w:rFonts w:ascii="Arial" w:cs="Arial" w:eastAsia="Arial" w:hAnsi="Arial"/>
                <w:sz w:val="16"/>
                <w:szCs w:val="16"/>
                <w:b w:val="1"/>
                <w:bCs w:val="1"/>
                <w:color w:val="auto"/>
                <w:w w:val="92"/>
              </w:rPr>
              <w:t>Contractual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83" w:lineRule="exact"/>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82"/>
        </w:trPr>
        <w:tc>
          <w:tcPr>
            <w:tcW w:w="524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(Shares in thousands)</w:t>
            </w:r>
          </w:p>
        </w:tc>
        <w:tc>
          <w:tcPr>
            <w:tcW w:w="1300" w:type="dxa"/>
            <w:vAlign w:val="bottom"/>
            <w:gridSpan w:val="2"/>
          </w:tcPr>
          <w:p>
            <w:pPr>
              <w:jc w:val="right"/>
              <w:ind w:right="580"/>
              <w:spacing w:after="0" w:line="182" w:lineRule="exact"/>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5"/>
                <w:szCs w:val="15"/>
                <w:color w:val="auto"/>
              </w:rPr>
            </w:pPr>
          </w:p>
        </w:tc>
        <w:tc>
          <w:tcPr>
            <w:tcW w:w="1080" w:type="dxa"/>
            <w:vAlign w:val="bottom"/>
          </w:tcPr>
          <w:p>
            <w:pPr>
              <w:jc w:val="center"/>
              <w:ind w:right="30"/>
              <w:spacing w:after="0" w:line="182" w:lineRule="exact"/>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5"/>
                <w:szCs w:val="15"/>
                <w:color w:val="auto"/>
              </w:rPr>
            </w:pPr>
          </w:p>
        </w:tc>
        <w:tc>
          <w:tcPr>
            <w:tcW w:w="1360" w:type="dxa"/>
            <w:vAlign w:val="bottom"/>
            <w:gridSpan w:val="2"/>
          </w:tcPr>
          <w:p>
            <w:pPr>
              <w:jc w:val="center"/>
              <w:ind w:right="60"/>
              <w:spacing w:after="0" w:line="182" w:lineRule="exact"/>
              <w:rPr>
                <w:sz w:val="20"/>
                <w:szCs w:val="20"/>
                <w:color w:val="auto"/>
              </w:rPr>
            </w:pPr>
            <w:r>
              <w:rPr>
                <w:rFonts w:ascii="Arial" w:cs="Arial" w:eastAsia="Arial" w:hAnsi="Arial"/>
                <w:sz w:val="16"/>
                <w:szCs w:val="16"/>
                <w:b w:val="1"/>
                <w:bCs w:val="1"/>
                <w:color w:val="auto"/>
                <w:w w:val="97"/>
              </w:rPr>
              <w:t>Term</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14"/>
              <w:spacing w:after="0" w:line="182" w:lineRule="exact"/>
              <w:rPr>
                <w:sz w:val="20"/>
                <w:szCs w:val="20"/>
                <w:color w:val="auto"/>
              </w:rPr>
            </w:pPr>
            <w:r>
              <w:rPr>
                <w:rFonts w:ascii="Arial" w:cs="Arial" w:eastAsia="Arial" w:hAnsi="Arial"/>
                <w:sz w:val="16"/>
                <w:szCs w:val="16"/>
                <w:b w:val="1"/>
                <w:bCs w:val="1"/>
                <w:color w:val="auto"/>
                <w:w w:val="95"/>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20" w:type="dxa"/>
            <w:vAlign w:val="bottom"/>
            <w:tcBorders>
              <w:top w:val="single" w:sz="8" w:color="auto"/>
            </w:tcBorders>
            <w:shd w:val="clear" w:color="auto" w:fill="E9E9E9"/>
          </w:tcPr>
          <w:p>
            <w:pPr>
              <w:spacing w:after="0" w:line="217" w:lineRule="exact"/>
              <w:rPr>
                <w:sz w:val="20"/>
                <w:szCs w:val="20"/>
                <w:color w:val="auto"/>
              </w:rPr>
            </w:pPr>
            <w:r>
              <w:rPr>
                <w:rFonts w:ascii="Arial" w:cs="Arial" w:eastAsia="Arial" w:hAnsi="Arial"/>
                <w:sz w:val="20"/>
                <w:szCs w:val="20"/>
                <w:color w:val="auto"/>
              </w:rPr>
              <w:t>Outstanding at December 31, 2020</w:t>
            </w:r>
          </w:p>
        </w:tc>
        <w:tc>
          <w:tcPr>
            <w:tcW w:w="120" w:type="dxa"/>
            <w:vAlign w:val="bottom"/>
            <w:tcBorders>
              <w:top w:val="single" w:sz="8" w:color="E9E9E9"/>
            </w:tcBorders>
            <w:gridSpan w:val="2"/>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0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1,554</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11.17</w:t>
            </w:r>
          </w:p>
        </w:tc>
        <w:tc>
          <w:tcPr>
            <w:tcW w:w="220" w:type="dxa"/>
            <w:vAlign w:val="bottom"/>
            <w:tcBorders>
              <w:top w:val="single" w:sz="8" w:color="E9E9E9"/>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ind w:left="600"/>
              <w:spacing w:after="0" w:line="217" w:lineRule="exact"/>
              <w:rPr>
                <w:sz w:val="20"/>
                <w:szCs w:val="20"/>
                <w:color w:val="auto"/>
              </w:rPr>
            </w:pPr>
            <w:r>
              <w:rPr>
                <w:rFonts w:ascii="Arial" w:cs="Arial" w:eastAsia="Arial" w:hAnsi="Arial"/>
                <w:sz w:val="20"/>
                <w:szCs w:val="20"/>
                <w:color w:val="auto"/>
                <w:w w:val="82"/>
              </w:rPr>
              <w:t>5.8 years</w:t>
            </w:r>
          </w:p>
        </w:tc>
        <w:tc>
          <w:tcPr>
            <w:tcW w:w="60" w:type="dxa"/>
            <w:vAlign w:val="bottom"/>
            <w:tcBorders>
              <w:top w:val="single" w:sz="8" w:color="E9E9E9"/>
            </w:tcBorders>
            <w:shd w:val="clear" w:color="auto" w:fill="E9E9E9"/>
          </w:tcPr>
          <w:p>
            <w:pPr>
              <w:spacing w:after="0"/>
              <w:rPr>
                <w:sz w:val="18"/>
                <w:szCs w:val="18"/>
                <w:color w:val="auto"/>
              </w:rPr>
            </w:pPr>
          </w:p>
        </w:tc>
        <w:tc>
          <w:tcPr>
            <w:tcW w:w="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10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40" w:type="dxa"/>
            <w:vAlign w:val="bottom"/>
            <w:gridSpan w:val="4"/>
          </w:tcPr>
          <w:p>
            <w:pPr>
              <w:spacing w:after="0" w:line="228" w:lineRule="exact"/>
              <w:rPr>
                <w:sz w:val="20"/>
                <w:szCs w:val="20"/>
                <w:color w:val="auto"/>
              </w:rPr>
            </w:pPr>
            <w:r>
              <w:rPr>
                <w:rFonts w:ascii="Arial" w:cs="Arial" w:eastAsia="Arial" w:hAnsi="Arial"/>
                <w:sz w:val="20"/>
                <w:szCs w:val="20"/>
                <w:color w:val="auto"/>
              </w:rPr>
              <w:t>Forfeitures</w:t>
            </w:r>
          </w:p>
        </w:tc>
        <w:tc>
          <w:tcPr>
            <w:tcW w:w="130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(38)</w:t>
            </w:r>
          </w:p>
        </w:tc>
        <w:tc>
          <w:tcPr>
            <w:tcW w:w="12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Arial" w:cs="Arial" w:eastAsia="Arial" w:hAnsi="Arial"/>
                <w:sz w:val="20"/>
                <w:szCs w:val="20"/>
                <w:color w:val="auto"/>
              </w:rPr>
              <w:t>10.63</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Exercised</w:t>
            </w:r>
          </w:p>
        </w:tc>
        <w:tc>
          <w:tcPr>
            <w:tcW w:w="120" w:type="dxa"/>
            <w:vAlign w:val="bottom"/>
            <w:gridSpan w:val="2"/>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gridSpan w:val="2"/>
            <w:shd w:val="clear" w:color="auto" w:fill="E9E9E9"/>
          </w:tcPr>
          <w:p>
            <w:pPr>
              <w:jc w:val="right"/>
              <w:ind w:right="140"/>
              <w:spacing w:after="0" w:line="226" w:lineRule="exact"/>
              <w:rPr>
                <w:sz w:val="20"/>
                <w:szCs w:val="20"/>
                <w:color w:val="auto"/>
              </w:rPr>
            </w:pPr>
            <w:r>
              <w:rPr>
                <w:rFonts w:ascii="Arial" w:cs="Arial" w:eastAsia="Arial" w:hAnsi="Arial"/>
                <w:sz w:val="20"/>
                <w:szCs w:val="20"/>
                <w:color w:val="auto"/>
              </w:rPr>
              <w:t>(2)</w:t>
            </w:r>
          </w:p>
        </w:tc>
        <w:tc>
          <w:tcPr>
            <w:tcW w:w="12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6.66</w:t>
            </w:r>
          </w:p>
        </w:tc>
        <w:tc>
          <w:tcPr>
            <w:tcW w:w="22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40" w:type="dxa"/>
            <w:vAlign w:val="bottom"/>
            <w:tcBorders>
              <w:bottom w:val="single" w:sz="8" w:color="E9E9E9"/>
            </w:tcBorders>
            <w:gridSpan w:val="3"/>
          </w:tcPr>
          <w:p>
            <w:pPr>
              <w:spacing w:after="0" w:line="217" w:lineRule="exact"/>
              <w:rPr>
                <w:sz w:val="20"/>
                <w:szCs w:val="20"/>
                <w:color w:val="auto"/>
              </w:rPr>
            </w:pPr>
            <w:r>
              <w:rPr>
                <w:rFonts w:ascii="Arial" w:cs="Arial" w:eastAsia="Arial" w:hAnsi="Arial"/>
                <w:sz w:val="20"/>
                <w:szCs w:val="20"/>
                <w:color w:val="auto"/>
              </w:rPr>
              <w:t>Outstanding and expected to vest at December 31, 2021</w:t>
            </w:r>
          </w:p>
        </w:tc>
        <w:tc>
          <w:tcPr>
            <w:tcW w:w="1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1,514</w:t>
            </w:r>
          </w:p>
        </w:tc>
        <w:tc>
          <w:tcPr>
            <w:tcW w:w="220" w:type="dxa"/>
            <w:vAlign w:val="bottom"/>
            <w:tcBorders>
              <w:bottom w:val="single" w:sz="8" w:color="E9E9E9"/>
            </w:tcBorders>
          </w:tcPr>
          <w:p>
            <w:pPr>
              <w:spacing w:after="0"/>
              <w:rPr>
                <w:sz w:val="22"/>
                <w:szCs w:val="22"/>
                <w:color w:val="auto"/>
              </w:rPr>
            </w:pPr>
          </w:p>
        </w:tc>
        <w:tc>
          <w:tcPr>
            <w:tcW w:w="120" w:type="dxa"/>
            <w:vAlign w:val="bottom"/>
            <w:tcBorders>
              <w:bottom w:val="single" w:sz="8" w:color="E9E9E9"/>
            </w:tcBorders>
          </w:tcPr>
          <w:p>
            <w:pPr>
              <w:spacing w:after="0"/>
              <w:rPr>
                <w:sz w:val="22"/>
                <w:szCs w:val="22"/>
                <w:color w:val="auto"/>
              </w:rPr>
            </w:pPr>
          </w:p>
        </w:tc>
        <w:tc>
          <w:tcPr>
            <w:tcW w:w="1080" w:type="dxa"/>
            <w:vAlign w:val="bottom"/>
            <w:tcBorders>
              <w:bottom w:val="single" w:sz="8" w:color="E9E9E9"/>
            </w:tcBorders>
          </w:tcPr>
          <w:p>
            <w:pPr>
              <w:jc w:val="right"/>
              <w:spacing w:after="0" w:line="217" w:lineRule="exact"/>
              <w:rPr>
                <w:sz w:val="20"/>
                <w:szCs w:val="20"/>
                <w:color w:val="auto"/>
              </w:rPr>
            </w:pPr>
            <w:r>
              <w:rPr>
                <w:rFonts w:ascii="Arial" w:cs="Arial" w:eastAsia="Arial" w:hAnsi="Arial"/>
                <w:sz w:val="20"/>
                <w:szCs w:val="20"/>
                <w:color w:val="auto"/>
              </w:rPr>
              <w:t>11.19</w:t>
            </w:r>
          </w:p>
        </w:tc>
        <w:tc>
          <w:tcPr>
            <w:tcW w:w="220" w:type="dxa"/>
            <w:vAlign w:val="bottom"/>
            <w:tcBorders>
              <w:bottom w:val="single" w:sz="8" w:color="E9E9E9"/>
            </w:tcBorders>
          </w:tcPr>
          <w:p>
            <w:pPr>
              <w:spacing w:after="0"/>
              <w:rPr>
                <w:sz w:val="22"/>
                <w:szCs w:val="22"/>
                <w:color w:val="auto"/>
              </w:rPr>
            </w:pPr>
          </w:p>
        </w:tc>
        <w:tc>
          <w:tcPr>
            <w:tcW w:w="1360" w:type="dxa"/>
            <w:vAlign w:val="bottom"/>
            <w:tcBorders>
              <w:bottom w:val="single" w:sz="8" w:color="E9E9E9"/>
            </w:tcBorders>
            <w:gridSpan w:val="2"/>
          </w:tcPr>
          <w:p>
            <w:pPr>
              <w:ind w:left="600"/>
              <w:spacing w:after="0" w:line="217" w:lineRule="exact"/>
              <w:rPr>
                <w:sz w:val="20"/>
                <w:szCs w:val="20"/>
                <w:color w:val="auto"/>
              </w:rPr>
            </w:pPr>
            <w:r>
              <w:rPr>
                <w:rFonts w:ascii="Arial" w:cs="Arial" w:eastAsia="Arial" w:hAnsi="Arial"/>
                <w:sz w:val="20"/>
                <w:szCs w:val="20"/>
                <w:color w:val="auto"/>
                <w:w w:val="89"/>
              </w:rPr>
              <w:t>4.9 years</w:t>
            </w:r>
          </w:p>
        </w:tc>
        <w:tc>
          <w:tcPr>
            <w:tcW w:w="160" w:type="dxa"/>
            <w:vAlign w:val="bottom"/>
            <w:tcBorders>
              <w:bottom w:val="single" w:sz="8" w:color="E9E9E9"/>
            </w:tcBorders>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E9E9E9"/>
            </w:tcBorders>
            <w:gridSpan w:val="2"/>
          </w:tcPr>
          <w:p>
            <w:pPr>
              <w:jc w:val="right"/>
              <w:ind w:right="100"/>
              <w:spacing w:after="0" w:line="21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5"/>
        </w:trPr>
        <w:tc>
          <w:tcPr>
            <w:tcW w:w="5020" w:type="dxa"/>
            <w:vAlign w:val="bottom"/>
            <w:shd w:val="clear" w:color="auto" w:fill="E9E9E9"/>
          </w:tcPr>
          <w:p>
            <w:pPr>
              <w:spacing w:after="0" w:line="215" w:lineRule="exact"/>
              <w:rPr>
                <w:sz w:val="20"/>
                <w:szCs w:val="20"/>
                <w:color w:val="auto"/>
              </w:rPr>
            </w:pPr>
            <w:r>
              <w:rPr>
                <w:rFonts w:ascii="Arial" w:cs="Arial" w:eastAsia="Arial" w:hAnsi="Arial"/>
                <w:sz w:val="20"/>
                <w:szCs w:val="20"/>
                <w:color w:val="auto"/>
              </w:rPr>
              <w:t>Exercisable at December 31, 2021</w:t>
            </w:r>
          </w:p>
        </w:tc>
        <w:tc>
          <w:tcPr>
            <w:tcW w:w="120" w:type="dxa"/>
            <w:vAlign w:val="bottom"/>
            <w:gridSpan w:val="2"/>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080" w:type="dxa"/>
            <w:vAlign w:val="bottom"/>
            <w:shd w:val="clear" w:color="auto" w:fill="E9E9E9"/>
          </w:tcPr>
          <w:p>
            <w:pPr>
              <w:jc w:val="right"/>
              <w:spacing w:after="0" w:line="215" w:lineRule="exact"/>
              <w:rPr>
                <w:sz w:val="20"/>
                <w:szCs w:val="20"/>
                <w:color w:val="auto"/>
              </w:rPr>
            </w:pPr>
            <w:r>
              <w:rPr>
                <w:rFonts w:ascii="Arial" w:cs="Arial" w:eastAsia="Arial" w:hAnsi="Arial"/>
                <w:sz w:val="20"/>
                <w:szCs w:val="20"/>
                <w:color w:val="auto"/>
              </w:rPr>
              <w:t>603</w:t>
            </w:r>
          </w:p>
        </w:tc>
        <w:tc>
          <w:tcPr>
            <w:tcW w:w="22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80" w:type="dxa"/>
            <w:vAlign w:val="bottom"/>
            <w:shd w:val="clear" w:color="auto" w:fill="E9E9E9"/>
          </w:tcPr>
          <w:p>
            <w:pPr>
              <w:jc w:val="right"/>
              <w:spacing w:after="0" w:line="215" w:lineRule="exact"/>
              <w:rPr>
                <w:sz w:val="20"/>
                <w:szCs w:val="20"/>
                <w:color w:val="auto"/>
              </w:rPr>
            </w:pPr>
            <w:r>
              <w:rPr>
                <w:rFonts w:ascii="Arial" w:cs="Arial" w:eastAsia="Arial" w:hAnsi="Arial"/>
                <w:sz w:val="20"/>
                <w:szCs w:val="20"/>
                <w:color w:val="auto"/>
              </w:rPr>
              <w:t>11.39</w:t>
            </w:r>
          </w:p>
        </w:tc>
        <w:tc>
          <w:tcPr>
            <w:tcW w:w="220" w:type="dxa"/>
            <w:vAlign w:val="bottom"/>
            <w:shd w:val="clear" w:color="auto" w:fill="E9E9E9"/>
          </w:tcPr>
          <w:p>
            <w:pPr>
              <w:spacing w:after="0"/>
              <w:rPr>
                <w:sz w:val="18"/>
                <w:szCs w:val="18"/>
                <w:color w:val="auto"/>
              </w:rPr>
            </w:pPr>
          </w:p>
        </w:tc>
        <w:tc>
          <w:tcPr>
            <w:tcW w:w="1300" w:type="dxa"/>
            <w:vAlign w:val="bottom"/>
            <w:shd w:val="clear" w:color="auto" w:fill="E9E9E9"/>
          </w:tcPr>
          <w:p>
            <w:pPr>
              <w:ind w:left="600"/>
              <w:spacing w:after="0" w:line="215" w:lineRule="exact"/>
              <w:rPr>
                <w:sz w:val="20"/>
                <w:szCs w:val="20"/>
                <w:color w:val="auto"/>
              </w:rPr>
            </w:pPr>
            <w:r>
              <w:rPr>
                <w:rFonts w:ascii="Arial" w:cs="Arial" w:eastAsia="Arial" w:hAnsi="Arial"/>
                <w:sz w:val="20"/>
                <w:szCs w:val="20"/>
                <w:color w:val="auto"/>
                <w:w w:val="82"/>
              </w:rPr>
              <w:t>4.0 years</w:t>
            </w:r>
          </w:p>
        </w:tc>
        <w:tc>
          <w:tcPr>
            <w:tcW w:w="6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line="215" w:lineRule="exact"/>
              <w:rPr>
                <w:sz w:val="20"/>
                <w:szCs w:val="20"/>
                <w:color w:val="auto"/>
              </w:rPr>
            </w:pPr>
            <w:r>
              <w:rPr>
                <w:rFonts w:ascii="Arial" w:cs="Arial" w:eastAsia="Arial" w:hAnsi="Arial"/>
                <w:sz w:val="20"/>
                <w:szCs w:val="20"/>
                <w:color w:val="auto"/>
                <w:w w:val="71"/>
              </w:rPr>
              <w:t>$</w:t>
            </w:r>
          </w:p>
        </w:tc>
        <w:tc>
          <w:tcPr>
            <w:tcW w:w="1100" w:type="dxa"/>
            <w:vAlign w:val="bottom"/>
            <w:shd w:val="clear" w:color="auto" w:fill="E9E9E9"/>
          </w:tcPr>
          <w:p>
            <w:pPr>
              <w:jc w:val="right"/>
              <w:spacing w:after="0" w:line="215"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-495935</wp:posOffset>
            </wp:positionV>
            <wp:extent cx="69215" cy="143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9">
                      <a:extLst>
                        <a:ext uri="{28A0092B-C50C-407E-A947-70E740481C1C}"/>
                      </a:extLst>
                    </a:blip>
                    <a:srcRect/>
                    <a:stretch>
                      <a:fillRect/>
                    </a:stretch>
                  </pic:blipFill>
                  <pic:spPr bwMode="auto">
                    <a:xfrm>
                      <a:off x="0" y="0"/>
                      <a:ext cx="69215" cy="143510"/>
                    </a:xfrm>
                    <a:prstGeom prst="rect">
                      <a:avLst/>
                    </a:prstGeom>
                    <a:noFill/>
                  </pic:spPr>
                </pic:pic>
              </a:graphicData>
            </a:graphic>
          </wp:anchor>
        </w:drawing>
      </w:r>
    </w:p>
    <w:p>
      <w:pPr>
        <w:spacing w:after="0" w:line="294"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color w:val="auto"/>
        </w:rPr>
        <w:t>The Company received $1.2 million, $0.4 million, and zero of cash from employees exercising options in 2023, 2022 and 2021, respectively. The intrinsic value of options exercised during the years ended December 31, 2023, 2022 and 2021 was $0.3 million, $0.2 million, and zero,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Awards</w:t>
      </w:r>
    </w:p>
    <w:p>
      <w:pPr>
        <w:spacing w:after="0" w:line="248"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Information related to restricted stock awards under the 2021 Plan, 2017 Plan, 2007 Plan, and the 2020 Inducement Awards for 2023, 2022 and 2021 is shown in the table below. The fair value of restricted stock awards is based on the price of the stock in the open market on the date of the grant, and the fair value of performance-based restricted stock units is determined by using the Monte Carlo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F-20</w:t>
      </w:r>
    </w:p>
    <w:p>
      <w:pPr>
        <w:sectPr>
          <w:pgSz w:w="11880" w:h="15480" w:orient="portrait"/>
          <w:cols w:equalWidth="0" w:num="1">
            <w:col w:w="10680"/>
          </w:cols>
          <w:pgMar w:left="600" w:top="849" w:right="600" w:bottom="46" w:gutter="0" w:footer="0" w:header="0"/>
        </w:sectPr>
      </w:pPr>
    </w:p>
    <w:bookmarkStart w:id="80" w:name="page81"/>
    <w:bookmarkEnd w:id="80"/>
    <w:p>
      <w:pPr>
        <w:ind w:left="6" w:right="320"/>
        <w:spacing w:after="0" w:line="231" w:lineRule="auto"/>
        <w:rPr>
          <w:sz w:val="20"/>
          <w:szCs w:val="20"/>
          <w:color w:val="auto"/>
        </w:rPr>
      </w:pPr>
      <w:r>
        <w:rPr>
          <w:rFonts w:ascii="Arial" w:cs="Arial" w:eastAsia="Arial" w:hAnsi="Arial"/>
          <w:sz w:val="20"/>
          <w:szCs w:val="20"/>
          <w:color w:val="auto"/>
        </w:rPr>
        <w:t>valuation model. The fair value of the restricted stock awards is recorded as compensation expense on a straight-line basis over the vesting periods of the awards and forfeitures are accounted for when they occur.</w:t>
      </w:r>
    </w:p>
    <w:p>
      <w:pPr>
        <w:sectPr>
          <w:pgSz w:w="11880" w:h="15480" w:orient="portrait"/>
          <w:cols w:equalWidth="0" w:num="1">
            <w:col w:w="10686"/>
          </w:cols>
          <w:pgMar w:left="594" w:top="849" w:right="600" w:bottom="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529580" cy="151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0">
                      <a:extLst>
                        <a:ext uri="{28A0092B-C50C-407E-A947-70E740481C1C}"/>
                      </a:extLst>
                    </a:blip>
                    <a:srcRect/>
                    <a:stretch>
                      <a:fillRect/>
                    </a:stretch>
                  </pic:blipFill>
                  <pic:spPr bwMode="auto">
                    <a:xfrm>
                      <a:off x="0" y="0"/>
                      <a:ext cx="5529580" cy="15113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Nonvested at December 31, 2020</w:t>
      </w:r>
    </w:p>
    <w:p>
      <w:pPr>
        <w:spacing w:after="0" w:line="29" w:lineRule="exact"/>
        <w:rPr>
          <w:sz w:val="20"/>
          <w:szCs w:val="20"/>
          <w:color w:val="auto"/>
        </w:rPr>
      </w:pPr>
    </w:p>
    <w:p>
      <w:pPr>
        <w:ind w:left="6"/>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529580" cy="144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1">
                      <a:extLst>
                        <a:ext uri="{28A0092B-C50C-407E-A947-70E740481C1C}"/>
                      </a:extLst>
                    </a:blip>
                    <a:srcRect/>
                    <a:stretch>
                      <a:fillRect/>
                    </a:stretch>
                  </pic:blipFill>
                  <pic:spPr bwMode="auto">
                    <a:xfrm>
                      <a:off x="0" y="0"/>
                      <a:ext cx="5529580" cy="144780"/>
                    </a:xfrm>
                    <a:prstGeom prst="rect">
                      <a:avLst/>
                    </a:prstGeom>
                    <a:noFill/>
                  </pic:spPr>
                </pic:pic>
              </a:graphicData>
            </a:graphic>
          </wp:anchor>
        </w:drawing>
      </w:r>
    </w:p>
    <w:p>
      <w:pPr>
        <w:ind w:left="6"/>
        <w:spacing w:after="0" w:line="238" w:lineRule="auto"/>
        <w:rPr>
          <w:sz w:val="20"/>
          <w:szCs w:val="20"/>
          <w:color w:val="auto"/>
        </w:rPr>
      </w:pPr>
      <w:r>
        <w:rPr>
          <w:rFonts w:ascii="Arial" w:cs="Arial" w:eastAsia="Arial" w:hAnsi="Arial"/>
          <w:sz w:val="20"/>
          <w:szCs w:val="20"/>
          <w:color w:val="auto"/>
        </w:rPr>
        <w:t>Vested</w:t>
      </w:r>
    </w:p>
    <w:p>
      <w:pPr>
        <w:ind w:left="6"/>
        <w:spacing w:after="0" w:line="238" w:lineRule="auto"/>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529580" cy="151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2">
                      <a:extLst>
                        <a:ext uri="{28A0092B-C50C-407E-A947-70E740481C1C}"/>
                      </a:extLst>
                    </a:blip>
                    <a:srcRect/>
                    <a:stretch>
                      <a:fillRect/>
                    </a:stretch>
                  </pic:blipFill>
                  <pic:spPr bwMode="auto">
                    <a:xfrm>
                      <a:off x="0" y="0"/>
                      <a:ext cx="5529580" cy="15113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Nonvested at December 31, 2021</w:t>
      </w:r>
    </w:p>
    <w:p>
      <w:pPr>
        <w:spacing w:after="0" w:line="32" w:lineRule="exact"/>
        <w:rPr>
          <w:sz w:val="20"/>
          <w:szCs w:val="20"/>
          <w:color w:val="auto"/>
        </w:rPr>
      </w:pPr>
    </w:p>
    <w:p>
      <w:pPr>
        <w:ind w:left="6"/>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529580" cy="144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3">
                      <a:extLst>
                        <a:ext uri="{28A0092B-C50C-407E-A947-70E740481C1C}"/>
                      </a:extLst>
                    </a:blip>
                    <a:srcRect/>
                    <a:stretch>
                      <a:fillRect/>
                    </a:stretch>
                  </pic:blipFill>
                  <pic:spPr bwMode="auto">
                    <a:xfrm>
                      <a:off x="0" y="0"/>
                      <a:ext cx="5529580" cy="144780"/>
                    </a:xfrm>
                    <a:prstGeom prst="rect">
                      <a:avLst/>
                    </a:prstGeom>
                    <a:noFill/>
                  </pic:spPr>
                </pic:pic>
              </a:graphicData>
            </a:graphic>
          </wp:anchor>
        </w:drawing>
      </w:r>
    </w:p>
    <w:p>
      <w:pPr>
        <w:ind w:left="6"/>
        <w:spacing w:after="0" w:line="238" w:lineRule="auto"/>
        <w:rPr>
          <w:sz w:val="20"/>
          <w:szCs w:val="20"/>
          <w:color w:val="auto"/>
        </w:rPr>
      </w:pPr>
      <w:r>
        <w:rPr>
          <w:rFonts w:ascii="Arial" w:cs="Arial" w:eastAsia="Arial" w:hAnsi="Arial"/>
          <w:sz w:val="20"/>
          <w:szCs w:val="20"/>
          <w:color w:val="auto"/>
        </w:rPr>
        <w:t>Vested</w:t>
      </w:r>
    </w:p>
    <w:p>
      <w:pPr>
        <w:ind w:left="6"/>
        <w:spacing w:after="0" w:line="238" w:lineRule="auto"/>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529580" cy="151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4">
                      <a:extLst>
                        <a:ext uri="{28A0092B-C50C-407E-A947-70E740481C1C}"/>
                      </a:extLst>
                    </a:blip>
                    <a:srcRect/>
                    <a:stretch>
                      <a:fillRect/>
                    </a:stretch>
                  </pic:blipFill>
                  <pic:spPr bwMode="auto">
                    <a:xfrm>
                      <a:off x="0" y="0"/>
                      <a:ext cx="5529580" cy="15113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Nonvested at December 31, 2022</w:t>
      </w:r>
    </w:p>
    <w:p>
      <w:pPr>
        <w:spacing w:after="0" w:line="29" w:lineRule="exact"/>
        <w:rPr>
          <w:sz w:val="20"/>
          <w:szCs w:val="20"/>
          <w:color w:val="auto"/>
        </w:rPr>
      </w:pPr>
    </w:p>
    <w:p>
      <w:pPr>
        <w:ind w:left="6"/>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52958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5">
                      <a:extLst>
                        <a:ext uri="{28A0092B-C50C-407E-A947-70E740481C1C}"/>
                      </a:extLst>
                    </a:blip>
                    <a:srcRect/>
                    <a:stretch>
                      <a:fillRect/>
                    </a:stretch>
                  </pic:blipFill>
                  <pic:spPr bwMode="auto">
                    <a:xfrm>
                      <a:off x="0" y="0"/>
                      <a:ext cx="5529580" cy="145415"/>
                    </a:xfrm>
                    <a:prstGeom prst="rect">
                      <a:avLst/>
                    </a:prstGeom>
                    <a:noFill/>
                  </pic:spPr>
                </pic:pic>
              </a:graphicData>
            </a:graphic>
          </wp:anchor>
        </w:drawing>
      </w:r>
    </w:p>
    <w:p>
      <w:pPr>
        <w:ind w:left="6"/>
        <w:spacing w:after="0" w:line="238" w:lineRule="auto"/>
        <w:rPr>
          <w:sz w:val="20"/>
          <w:szCs w:val="20"/>
          <w:color w:val="auto"/>
        </w:rPr>
      </w:pPr>
      <w:r>
        <w:rPr>
          <w:rFonts w:ascii="Arial" w:cs="Arial" w:eastAsia="Arial" w:hAnsi="Arial"/>
          <w:sz w:val="20"/>
          <w:szCs w:val="20"/>
          <w:color w:val="auto"/>
        </w:rPr>
        <w:t>Vested</w:t>
      </w:r>
    </w:p>
    <w:p>
      <w:pPr>
        <w:ind w:left="6"/>
        <w:spacing w:after="0" w:line="238" w:lineRule="auto"/>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529580" cy="151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6">
                      <a:extLst>
                        <a:ext uri="{28A0092B-C50C-407E-A947-70E740481C1C}"/>
                      </a:extLst>
                    </a:blip>
                    <a:srcRect/>
                    <a:stretch>
                      <a:fillRect/>
                    </a:stretch>
                  </pic:blipFill>
                  <pic:spPr bwMode="auto">
                    <a:xfrm>
                      <a:off x="0" y="0"/>
                      <a:ext cx="5529580" cy="151130"/>
                    </a:xfrm>
                    <a:prstGeom prst="rect">
                      <a:avLst/>
                    </a:prstGeom>
                    <a:noFill/>
                  </pic:spPr>
                </pic:pic>
              </a:graphicData>
            </a:graphic>
          </wp:anchor>
        </w:drawing>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Nonvested at December 31, 2023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r>
      <w:tr>
        <w:trPr>
          <w:trHeight w:val="181"/>
        </w:trPr>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1"/>
              </w:rPr>
              <w:t>Average</w:t>
            </w:r>
          </w:p>
        </w:tc>
      </w:tr>
      <w:tr>
        <w:trPr>
          <w:trHeight w:val="183"/>
        </w:trPr>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20"/>
              <w:spacing w:after="0" w:line="183" w:lineRule="exact"/>
              <w:rPr>
                <w:sz w:val="20"/>
                <w:szCs w:val="20"/>
                <w:color w:val="auto"/>
              </w:rPr>
            </w:pPr>
            <w:r>
              <w:rPr>
                <w:rFonts w:ascii="Arial" w:cs="Arial" w:eastAsia="Arial" w:hAnsi="Arial"/>
                <w:sz w:val="16"/>
                <w:szCs w:val="16"/>
                <w:b w:val="1"/>
                <w:bCs w:val="1"/>
                <w:color w:val="auto"/>
                <w:w w:val="95"/>
              </w:rPr>
              <w:t>Grant Date</w:t>
            </w:r>
          </w:p>
        </w:tc>
      </w:tr>
      <w:tr>
        <w:trPr>
          <w:trHeight w:val="182"/>
        </w:trPr>
        <w:tc>
          <w:tcPr>
            <w:tcW w:w="100" w:type="dxa"/>
            <w:vAlign w:val="bottom"/>
          </w:tcPr>
          <w:p>
            <w:pPr>
              <w:spacing w:after="0"/>
              <w:rPr>
                <w:sz w:val="15"/>
                <w:szCs w:val="15"/>
                <w:color w:val="auto"/>
              </w:rPr>
            </w:pPr>
          </w:p>
        </w:tc>
        <w:tc>
          <w:tcPr>
            <w:tcW w:w="1880" w:type="dxa"/>
            <w:vAlign w:val="bottom"/>
            <w:gridSpan w:val="2"/>
          </w:tcPr>
          <w:p>
            <w:pPr>
              <w:jc w:val="right"/>
              <w:ind w:right="820"/>
              <w:spacing w:after="0" w:line="182" w:lineRule="exact"/>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5"/>
                <w:szCs w:val="15"/>
                <w:color w:val="auto"/>
              </w:rPr>
            </w:pPr>
          </w:p>
        </w:tc>
        <w:tc>
          <w:tcPr>
            <w:tcW w:w="164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6"/>
              </w:rPr>
              <w:t>Fair Value</w:t>
            </w:r>
          </w:p>
        </w:tc>
      </w:tr>
      <w:tr>
        <w:trPr>
          <w:trHeight w:val="218"/>
        </w:trPr>
        <w:tc>
          <w:tcPr>
            <w:tcW w:w="100" w:type="dxa"/>
            <w:vAlign w:val="bottom"/>
            <w:tcBorders>
              <w:top w:val="single" w:sz="8" w:color="E9E9E9"/>
            </w:tcBorders>
            <w:shd w:val="clear" w:color="auto" w:fill="E9E9E9"/>
          </w:tcPr>
          <w:p>
            <w:pPr>
              <w:spacing w:after="0"/>
              <w:rPr>
                <w:sz w:val="18"/>
                <w:szCs w:val="18"/>
                <w:color w:val="auto"/>
              </w:rPr>
            </w:pP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1,047</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6.00</w:t>
            </w:r>
          </w:p>
        </w:tc>
        <w:tc>
          <w:tcPr>
            <w:tcW w:w="100" w:type="dxa"/>
            <w:vAlign w:val="bottom"/>
            <w:tcBorders>
              <w:top w:val="single" w:sz="8" w:color="E9E9E9"/>
            </w:tcBorders>
            <w:shd w:val="clear" w:color="auto" w:fill="E9E9E9"/>
          </w:tcPr>
          <w:p>
            <w:pPr>
              <w:spacing w:after="0"/>
              <w:rPr>
                <w:sz w:val="18"/>
                <w:szCs w:val="18"/>
                <w:color w:val="auto"/>
              </w:rPr>
            </w:pPr>
          </w:p>
        </w:tc>
      </w:tr>
      <w:tr>
        <w:trPr>
          <w:trHeight w:val="225"/>
        </w:trPr>
        <w:tc>
          <w:tcPr>
            <w:tcW w:w="17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8.19</w:t>
            </w:r>
          </w:p>
        </w:tc>
      </w:tr>
      <w:tr>
        <w:trPr>
          <w:trHeight w:val="228"/>
        </w:trPr>
        <w:tc>
          <w:tcPr>
            <w:tcW w:w="100" w:type="dxa"/>
            <w:vAlign w:val="bottom"/>
            <w:shd w:val="clear" w:color="auto" w:fill="E9E9E9"/>
          </w:tcPr>
          <w:p>
            <w:pPr>
              <w:spacing w:after="0"/>
              <w:rPr>
                <w:sz w:val="19"/>
                <w:szCs w:val="19"/>
                <w:color w:val="auto"/>
              </w:rPr>
            </w:pPr>
          </w:p>
        </w:tc>
        <w:tc>
          <w:tcPr>
            <w:tcW w:w="166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(323)</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6.31</w:t>
            </w:r>
          </w:p>
        </w:tc>
        <w:tc>
          <w:tcPr>
            <w:tcW w:w="100" w:type="dxa"/>
            <w:vAlign w:val="bottom"/>
            <w:shd w:val="clear" w:color="auto" w:fill="E9E9E9"/>
          </w:tcPr>
          <w:p>
            <w:pPr>
              <w:spacing w:after="0"/>
              <w:rPr>
                <w:sz w:val="19"/>
                <w:szCs w:val="19"/>
                <w:color w:val="auto"/>
              </w:rPr>
            </w:pPr>
          </w:p>
        </w:tc>
      </w:tr>
      <w:tr>
        <w:trPr>
          <w:trHeight w:val="228"/>
        </w:trPr>
        <w:tc>
          <w:tcPr>
            <w:tcW w:w="1980" w:type="dxa"/>
            <w:vAlign w:val="bottom"/>
            <w:gridSpan w:val="3"/>
          </w:tcPr>
          <w:p>
            <w:pPr>
              <w:jc w:val="right"/>
              <w:ind w:right="160"/>
              <w:spacing w:after="0" w:line="228" w:lineRule="exact"/>
              <w:rPr>
                <w:sz w:val="20"/>
                <w:szCs w:val="20"/>
                <w:color w:val="auto"/>
              </w:rPr>
            </w:pPr>
            <w:r>
              <w:rPr>
                <w:rFonts w:ascii="Arial" w:cs="Arial" w:eastAsia="Arial" w:hAnsi="Arial"/>
                <w:sz w:val="20"/>
                <w:szCs w:val="20"/>
                <w:color w:val="auto"/>
              </w:rPr>
              <w:t>(264)</w:t>
            </w: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5.80</w:t>
            </w:r>
          </w:p>
        </w:tc>
      </w:tr>
      <w:tr>
        <w:trPr>
          <w:trHeight w:val="218"/>
        </w:trPr>
        <w:tc>
          <w:tcPr>
            <w:tcW w:w="100" w:type="dxa"/>
            <w:vAlign w:val="bottom"/>
            <w:shd w:val="clear" w:color="auto" w:fill="E9E9E9"/>
          </w:tcPr>
          <w:p>
            <w:pPr>
              <w:spacing w:after="0"/>
              <w:rPr>
                <w:sz w:val="18"/>
                <w:szCs w:val="18"/>
                <w:color w:val="auto"/>
              </w:rPr>
            </w:pP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1,033</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1540" w:type="dxa"/>
            <w:vAlign w:val="bottom"/>
            <w:tcBorders>
              <w:top w:val="single" w:sz="8" w:color="E9E9E9"/>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7.17</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176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755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5.74</w:t>
            </w:r>
          </w:p>
        </w:tc>
      </w:tr>
      <w:tr>
        <w:trPr>
          <w:trHeight w:val="228"/>
        </w:trPr>
        <w:tc>
          <w:tcPr>
            <w:tcW w:w="100" w:type="dxa"/>
            <w:vAlign w:val="bottom"/>
            <w:shd w:val="clear" w:color="auto" w:fill="E9E9E9"/>
          </w:tcPr>
          <w:p>
            <w:pPr>
              <w:spacing w:after="0"/>
              <w:rPr>
                <w:sz w:val="19"/>
                <w:szCs w:val="19"/>
                <w:color w:val="auto"/>
              </w:rPr>
            </w:pPr>
          </w:p>
        </w:tc>
        <w:tc>
          <w:tcPr>
            <w:tcW w:w="166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(355)</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6.80</w:t>
            </w:r>
          </w:p>
        </w:tc>
        <w:tc>
          <w:tcPr>
            <w:tcW w:w="100" w:type="dxa"/>
            <w:vAlign w:val="bottom"/>
            <w:shd w:val="clear" w:color="auto" w:fill="E9E9E9"/>
          </w:tcPr>
          <w:p>
            <w:pPr>
              <w:spacing w:after="0"/>
              <w:rPr>
                <w:sz w:val="19"/>
                <w:szCs w:val="19"/>
                <w:color w:val="auto"/>
              </w:rPr>
            </w:pPr>
          </w:p>
        </w:tc>
      </w:tr>
      <w:tr>
        <w:trPr>
          <w:trHeight w:val="228"/>
        </w:trPr>
        <w:tc>
          <w:tcPr>
            <w:tcW w:w="1980" w:type="dxa"/>
            <w:vAlign w:val="bottom"/>
            <w:gridSpan w:val="3"/>
          </w:tcPr>
          <w:p>
            <w:pPr>
              <w:jc w:val="right"/>
              <w:ind w:right="160"/>
              <w:spacing w:after="0" w:line="228" w:lineRule="exact"/>
              <w:rPr>
                <w:sz w:val="20"/>
                <w:szCs w:val="20"/>
                <w:color w:val="auto"/>
              </w:rPr>
            </w:pPr>
            <w:r>
              <w:rPr>
                <w:rFonts w:ascii="Arial" w:cs="Arial" w:eastAsia="Arial" w:hAnsi="Arial"/>
                <w:sz w:val="20"/>
                <w:szCs w:val="20"/>
                <w:color w:val="auto"/>
              </w:rPr>
              <w:t>(255)</w:t>
            </w: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6.41</w:t>
            </w:r>
          </w:p>
        </w:tc>
      </w:tr>
      <w:tr>
        <w:trPr>
          <w:trHeight w:val="218"/>
        </w:trPr>
        <w:tc>
          <w:tcPr>
            <w:tcW w:w="100" w:type="dxa"/>
            <w:vAlign w:val="bottom"/>
            <w:shd w:val="clear" w:color="auto" w:fill="E9E9E9"/>
          </w:tcPr>
          <w:p>
            <w:pPr>
              <w:spacing w:after="0"/>
              <w:rPr>
                <w:sz w:val="18"/>
                <w:szCs w:val="18"/>
                <w:color w:val="auto"/>
              </w:rPr>
            </w:pPr>
          </w:p>
        </w:tc>
        <w:tc>
          <w:tcPr>
            <w:tcW w:w="166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1,178</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1540" w:type="dxa"/>
            <w:vAlign w:val="bottom"/>
            <w:tcBorders>
              <w:top w:val="single" w:sz="8" w:color="E9E9E9"/>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6.53</w:t>
            </w:r>
          </w:p>
        </w:tc>
        <w:tc>
          <w:tcPr>
            <w:tcW w:w="100" w:type="dxa"/>
            <w:vAlign w:val="bottom"/>
            <w:tcBorders>
              <w:top w:val="single" w:sz="8" w:color="E9E9E9"/>
            </w:tcBorders>
            <w:shd w:val="clear" w:color="auto" w:fill="E9E9E9"/>
          </w:tcPr>
          <w:p>
            <w:pPr>
              <w:spacing w:after="0"/>
              <w:rPr>
                <w:sz w:val="18"/>
                <w:szCs w:val="18"/>
                <w:color w:val="auto"/>
              </w:rPr>
            </w:pPr>
          </w:p>
        </w:tc>
      </w:tr>
      <w:tr>
        <w:trPr>
          <w:trHeight w:val="225"/>
        </w:trPr>
        <w:tc>
          <w:tcPr>
            <w:tcW w:w="17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734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16.12</w:t>
            </w:r>
          </w:p>
        </w:tc>
      </w:tr>
      <w:tr>
        <w:trPr>
          <w:trHeight w:val="229"/>
        </w:trPr>
        <w:tc>
          <w:tcPr>
            <w:tcW w:w="100" w:type="dxa"/>
            <w:vAlign w:val="bottom"/>
            <w:shd w:val="clear" w:color="auto" w:fill="E9E9E9"/>
          </w:tcPr>
          <w:p>
            <w:pPr>
              <w:spacing w:after="0"/>
              <w:rPr>
                <w:sz w:val="19"/>
                <w:szCs w:val="19"/>
                <w:color w:val="auto"/>
              </w:rPr>
            </w:pPr>
          </w:p>
        </w:tc>
        <w:tc>
          <w:tcPr>
            <w:tcW w:w="1660" w:type="dxa"/>
            <w:vAlign w:val="bottom"/>
            <w:shd w:val="clear" w:color="auto" w:fill="E9E9E9"/>
          </w:tcPr>
          <w:p>
            <w:pPr>
              <w:jc w:val="right"/>
              <w:spacing w:after="0" w:line="229" w:lineRule="exact"/>
              <w:rPr>
                <w:sz w:val="20"/>
                <w:szCs w:val="20"/>
                <w:color w:val="auto"/>
              </w:rPr>
            </w:pPr>
            <w:r>
              <w:rPr>
                <w:rFonts w:ascii="Arial" w:cs="Arial" w:eastAsia="Arial" w:hAnsi="Arial"/>
                <w:sz w:val="20"/>
                <w:szCs w:val="20"/>
                <w:color w:val="auto"/>
              </w:rPr>
              <w:t>(417)</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9" w:lineRule="exact"/>
              <w:rPr>
                <w:sz w:val="20"/>
                <w:szCs w:val="20"/>
                <w:color w:val="auto"/>
              </w:rPr>
            </w:pPr>
            <w:r>
              <w:rPr>
                <w:rFonts w:ascii="Arial" w:cs="Arial" w:eastAsia="Arial" w:hAnsi="Arial"/>
                <w:sz w:val="20"/>
                <w:szCs w:val="20"/>
                <w:color w:val="auto"/>
              </w:rPr>
              <w:t>6.56</w:t>
            </w:r>
          </w:p>
        </w:tc>
        <w:tc>
          <w:tcPr>
            <w:tcW w:w="100" w:type="dxa"/>
            <w:vAlign w:val="bottom"/>
            <w:shd w:val="clear" w:color="auto" w:fill="E9E9E9"/>
          </w:tcPr>
          <w:p>
            <w:pPr>
              <w:spacing w:after="0"/>
              <w:rPr>
                <w:sz w:val="19"/>
                <w:szCs w:val="19"/>
                <w:color w:val="auto"/>
              </w:rPr>
            </w:pPr>
          </w:p>
        </w:tc>
      </w:tr>
      <w:tr>
        <w:trPr>
          <w:trHeight w:val="228"/>
        </w:trPr>
        <w:tc>
          <w:tcPr>
            <w:tcW w:w="1980" w:type="dxa"/>
            <w:vAlign w:val="bottom"/>
            <w:gridSpan w:val="3"/>
          </w:tcPr>
          <w:p>
            <w:pPr>
              <w:jc w:val="right"/>
              <w:ind w:right="160"/>
              <w:spacing w:after="0" w:line="228" w:lineRule="exact"/>
              <w:rPr>
                <w:sz w:val="20"/>
                <w:szCs w:val="20"/>
                <w:color w:val="auto"/>
              </w:rPr>
            </w:pPr>
            <w:r>
              <w:rPr>
                <w:rFonts w:ascii="Arial" w:cs="Arial" w:eastAsia="Arial" w:hAnsi="Arial"/>
                <w:sz w:val="20"/>
                <w:szCs w:val="20"/>
                <w:color w:val="auto"/>
              </w:rPr>
              <w:t>(174)</w:t>
            </w: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7.19</w:t>
            </w:r>
          </w:p>
        </w:tc>
      </w:tr>
      <w:tr>
        <w:trPr>
          <w:trHeight w:val="219"/>
        </w:trPr>
        <w:tc>
          <w:tcPr>
            <w:tcW w:w="100" w:type="dxa"/>
            <w:vAlign w:val="bottom"/>
            <w:shd w:val="clear" w:color="auto" w:fill="E9E9E9"/>
          </w:tcPr>
          <w:p>
            <w:pPr>
              <w:spacing w:after="0"/>
              <w:rPr>
                <w:sz w:val="19"/>
                <w:szCs w:val="19"/>
                <w:color w:val="auto"/>
              </w:rPr>
            </w:pPr>
          </w:p>
        </w:tc>
        <w:tc>
          <w:tcPr>
            <w:tcW w:w="166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1,321</w:t>
            </w:r>
          </w:p>
        </w:tc>
        <w:tc>
          <w:tcPr>
            <w:tcW w:w="22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E9E9E9"/>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Borders>
              <w:top w:val="single" w:sz="8" w:color="E9E9E9"/>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11.77</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6226" w:space="720"/>
            <w:col w:w="3740"/>
          </w:cols>
          <w:pgMar w:left="594" w:top="849" w:right="600" w:bottom="46" w:gutter="0" w:footer="0" w:header="0"/>
          <w:type w:val="continuous"/>
        </w:sectPr>
      </w:pPr>
    </w:p>
    <w:p>
      <w:pPr>
        <w:spacing w:after="0" w:line="47" w:lineRule="exact"/>
        <w:rPr>
          <w:sz w:val="20"/>
          <w:szCs w:val="20"/>
          <w:color w:val="auto"/>
        </w:rPr>
      </w:pPr>
    </w:p>
    <w:p>
      <w:pPr>
        <w:ind w:left="6" w:right="620"/>
        <w:spacing w:after="0" w:line="231" w:lineRule="auto"/>
        <w:rPr>
          <w:sz w:val="20"/>
          <w:szCs w:val="20"/>
          <w:color w:val="auto"/>
        </w:rPr>
      </w:pPr>
      <w:r>
        <w:rPr>
          <w:rFonts w:ascii="Arial" w:cs="Arial" w:eastAsia="Arial" w:hAnsi="Arial"/>
          <w:sz w:val="20"/>
          <w:szCs w:val="20"/>
          <w:color w:val="auto"/>
        </w:rPr>
        <w:t>The fair value of awards vested and released during the years ended December 31, 2023, 2022 and 2021 was $5.9 million, $2.3 million, and $2.6 million, respectively.</w:t>
      </w:r>
    </w:p>
    <w:p>
      <w:pPr>
        <w:spacing w:after="0" w:line="249" w:lineRule="exact"/>
        <w:rPr>
          <w:sz w:val="20"/>
          <w:szCs w:val="20"/>
          <w:color w:val="auto"/>
        </w:rPr>
      </w:pPr>
    </w:p>
    <w:p>
      <w:pPr>
        <w:ind w:left="6" w:right="260"/>
        <w:spacing w:after="0" w:line="249" w:lineRule="auto"/>
        <w:rPr>
          <w:sz w:val="20"/>
          <w:szCs w:val="20"/>
          <w:color w:val="auto"/>
        </w:rPr>
      </w:pPr>
      <w:r>
        <w:rPr>
          <w:rFonts w:ascii="Arial" w:cs="Arial" w:eastAsia="Arial" w:hAnsi="Arial"/>
          <w:sz w:val="19"/>
          <w:szCs w:val="19"/>
          <w:color w:val="auto"/>
        </w:rPr>
        <w:t>Unrecognized compensation expense related to nonvested shares of stock options, restricted stock and performance units was $10.4 million at December 31, 2023 and will be recognized over a weighted average vesting period of 1.1 years.</w:t>
      </w:r>
    </w:p>
    <w:p>
      <w:pPr>
        <w:spacing w:after="0" w:line="228"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Common Stock Repurchase</w:t>
      </w:r>
    </w:p>
    <w:p>
      <w:pPr>
        <w:spacing w:after="0" w:line="248" w:lineRule="exact"/>
        <w:rPr>
          <w:sz w:val="20"/>
          <w:szCs w:val="20"/>
          <w:color w:val="auto"/>
        </w:rPr>
      </w:pPr>
    </w:p>
    <w:p>
      <w:pPr>
        <w:ind w:left="6" w:right="20"/>
        <w:spacing w:after="0" w:line="249" w:lineRule="auto"/>
        <w:rPr>
          <w:sz w:val="20"/>
          <w:szCs w:val="20"/>
          <w:color w:val="auto"/>
        </w:rPr>
      </w:pPr>
      <w:r>
        <w:rPr>
          <w:rFonts w:ascii="Arial" w:cs="Arial" w:eastAsia="Arial" w:hAnsi="Arial"/>
          <w:sz w:val="19"/>
          <w:szCs w:val="19"/>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year ended December 31, 2022, the Company repurchased and retired approximately 1,032,000 shares of common stock at a cost of $7.0 million under the program. No repurchases occurred during the year ended December 31, 2023.</w:t>
      </w:r>
    </w:p>
    <w:p>
      <w:pPr>
        <w:spacing w:after="0" w:line="244" w:lineRule="exact"/>
        <w:rPr>
          <w:sz w:val="20"/>
          <w:szCs w:val="20"/>
          <w:color w:val="auto"/>
        </w:rPr>
      </w:pPr>
    </w:p>
    <w:p>
      <w:pPr>
        <w:ind w:left="6" w:right="60"/>
        <w:spacing w:after="0" w:line="235" w:lineRule="auto"/>
        <w:rPr>
          <w:sz w:val="20"/>
          <w:szCs w:val="20"/>
          <w:color w:val="auto"/>
        </w:rPr>
      </w:pPr>
      <w:r>
        <w:rPr>
          <w:rFonts w:ascii="Arial" w:cs="Arial" w:eastAsia="Arial" w:hAnsi="Arial"/>
          <w:sz w:val="20"/>
          <w:szCs w:val="20"/>
          <w:color w:val="auto"/>
        </w:rPr>
        <w:t>On August 3, 2021, the Company's Board of Directors authorized a share repurchase program under which CECO may purchase up to $5.0 million of its outstanding shares of Company stock. The authorization permitted the Company to repurchase shares in the open market, through accelerated share repurchases, block trades, 10b5-1 plans or through privately negotiated transactions in accordance with applicable laws, rules and regulations. The Company completed its purchases authorized under the plan in October 2021, repurchasing approximately 700,000 shares of common stock at a cost of $5.0 million under the program. All treasury shares were retired following the repurchase.</w:t>
      </w:r>
    </w:p>
    <w:p>
      <w:pPr>
        <w:spacing w:after="0" w:line="240"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Dividends</w:t>
      </w:r>
    </w:p>
    <w:p>
      <w:pPr>
        <w:spacing w:after="0" w:line="128" w:lineRule="exact"/>
        <w:rPr>
          <w:sz w:val="20"/>
          <w:szCs w:val="20"/>
          <w:color w:val="auto"/>
        </w:rPr>
      </w:pPr>
    </w:p>
    <w:p>
      <w:pPr>
        <w:ind w:left="6" w:right="80"/>
        <w:spacing w:after="0" w:line="250" w:lineRule="auto"/>
        <w:rPr>
          <w:sz w:val="20"/>
          <w:szCs w:val="20"/>
          <w:color w:val="auto"/>
        </w:rPr>
      </w:pPr>
      <w:r>
        <w:rPr>
          <w:rFonts w:ascii="Arial" w:cs="Arial" w:eastAsia="Arial" w:hAnsi="Arial"/>
          <w:sz w:val="19"/>
          <w:szCs w:val="19"/>
          <w:color w:val="auto"/>
        </w:rPr>
        <w:t>The Company's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financial covenants under the Credit Facility. The Company has not paid a cash dividend on its common stock in any of the years ended December 31, 2023, 2022 or 2021.</w:t>
      </w:r>
    </w:p>
    <w:p>
      <w:pPr>
        <w:spacing w:after="0" w:line="228" w:lineRule="exact"/>
        <w:rPr>
          <w:sz w:val="20"/>
          <w:szCs w:val="20"/>
          <w:color w:val="auto"/>
        </w:rPr>
      </w:pPr>
    </w:p>
    <w:p>
      <w:pPr>
        <w:ind w:left="486" w:hanging="486"/>
        <w:spacing w:after="0"/>
        <w:tabs>
          <w:tab w:leader="none" w:pos="486"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Employee Benefit Plans</w:t>
      </w:r>
    </w:p>
    <w:p>
      <w:pPr>
        <w:spacing w:after="0" w:line="246" w:lineRule="exact"/>
        <w:rPr>
          <w:sz w:val="20"/>
          <w:szCs w:val="20"/>
          <w:color w:val="auto"/>
        </w:rPr>
      </w:pPr>
    </w:p>
    <w:p>
      <w:pPr>
        <w:ind w:left="6" w:right="20"/>
        <w:spacing w:after="0" w:line="234" w:lineRule="auto"/>
        <w:rPr>
          <w:sz w:val="20"/>
          <w:szCs w:val="20"/>
          <w:color w:val="auto"/>
        </w:rPr>
      </w:pPr>
      <w:r>
        <w:rPr>
          <w:rFonts w:ascii="Arial" w:cs="Arial" w:eastAsia="Arial" w:hAnsi="Arial"/>
          <w:sz w:val="20"/>
          <w:szCs w:val="20"/>
          <w:color w:val="auto"/>
        </w:rPr>
        <w:t>The Company sponsors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F-21</w:t>
      </w:r>
    </w:p>
    <w:p>
      <w:pPr>
        <w:sectPr>
          <w:pgSz w:w="11880" w:h="15480" w:orient="portrait"/>
          <w:cols w:equalWidth="0" w:num="1">
            <w:col w:w="10686"/>
          </w:cols>
          <w:pgMar w:left="594" w:top="849" w:right="600" w:bottom="46"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color w:val="auto"/>
        </w:rPr>
        <w:t>The following tables set forth the plan changes in benefit obligations, plan assets and funded status on the measurement dates: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2"/>
        </w:trPr>
        <w:tc>
          <w:tcPr>
            <w:tcW w:w="4020" w:type="dxa"/>
            <w:vAlign w:val="bottom"/>
            <w:tcBorders>
              <w:bottom w:val="single" w:sz="8" w:color="E9E9E9"/>
            </w:tcBorders>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202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3"/>
              <w:spacing w:after="0" w:line="172"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4"/>
              <w:spacing w:after="0" w:line="172"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E9E9E9"/>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3"/>
              <w:spacing w:after="0" w:line="172"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E9E9E9"/>
            </w:tcBorders>
          </w:tcPr>
          <w:p>
            <w:pPr>
              <w:spacing w:after="0"/>
              <w:rPr>
                <w:sz w:val="14"/>
                <w:szCs w:val="14"/>
                <w:color w:val="auto"/>
              </w:rPr>
            </w:pPr>
          </w:p>
        </w:tc>
        <w:tc>
          <w:tcPr>
            <w:tcW w:w="140" w:type="dxa"/>
            <w:vAlign w:val="bottom"/>
            <w:tcBorders>
              <w:bottom w:val="single" w:sz="8" w:color="E9E9E9"/>
            </w:tcBorders>
          </w:tcPr>
          <w:p>
            <w:pPr>
              <w:spacing w:after="0"/>
              <w:rPr>
                <w:sz w:val="14"/>
                <w:szCs w:val="14"/>
                <w:color w:val="auto"/>
              </w:rPr>
            </w:pPr>
          </w:p>
        </w:tc>
      </w:tr>
      <w:tr>
        <w:trPr>
          <w:trHeight w:val="218"/>
        </w:trPr>
        <w:tc>
          <w:tcPr>
            <w:tcW w:w="402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Change in projected benefit obligation:</w:t>
            </w:r>
          </w:p>
        </w:tc>
        <w:tc>
          <w:tcPr>
            <w:tcW w:w="20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2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2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r>
      <w:tr>
        <w:trPr>
          <w:trHeight w:val="228"/>
        </w:trPr>
        <w:tc>
          <w:tcPr>
            <w:tcW w:w="4020" w:type="dxa"/>
            <w:vAlign w:val="bottom"/>
          </w:tcPr>
          <w:p>
            <w:pPr>
              <w:ind w:left="200"/>
              <w:spacing w:after="0" w:line="228" w:lineRule="exact"/>
              <w:rPr>
                <w:sz w:val="20"/>
                <w:szCs w:val="20"/>
                <w:color w:val="auto"/>
              </w:rPr>
            </w:pPr>
            <w:r>
              <w:rPr>
                <w:rFonts w:ascii="Arial" w:cs="Arial" w:eastAsia="Arial" w:hAnsi="Arial"/>
                <w:sz w:val="20"/>
                <w:szCs w:val="20"/>
                <w:color w:val="auto"/>
                <w:w w:val="89"/>
              </w:rPr>
              <w:t>Projected benefit obligation at beginning of year</w:t>
            </w:r>
          </w:p>
        </w:tc>
        <w:tc>
          <w:tcPr>
            <w:tcW w:w="21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27,350</w:t>
            </w:r>
          </w:p>
        </w:tc>
        <w:tc>
          <w:tcPr>
            <w:tcW w:w="260" w:type="dxa"/>
            <w:vAlign w:val="bottom"/>
          </w:tcPr>
          <w:p>
            <w:pPr>
              <w:spacing w:after="0"/>
              <w:rPr>
                <w:sz w:val="19"/>
                <w:szCs w:val="19"/>
                <w:color w:val="auto"/>
              </w:rPr>
            </w:pPr>
          </w:p>
        </w:tc>
        <w:tc>
          <w:tcPr>
            <w:tcW w:w="10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35,035</w:t>
            </w:r>
          </w:p>
        </w:tc>
        <w:tc>
          <w:tcPr>
            <w:tcW w:w="260" w:type="dxa"/>
            <w:vAlign w:val="bottom"/>
          </w:tcPr>
          <w:p>
            <w:pPr>
              <w:spacing w:after="0"/>
              <w:rPr>
                <w:sz w:val="19"/>
                <w:szCs w:val="19"/>
                <w:color w:val="auto"/>
              </w:rPr>
            </w:pPr>
          </w:p>
        </w:tc>
        <w:tc>
          <w:tcPr>
            <w:tcW w:w="10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1380" w:type="dxa"/>
            <w:vAlign w:val="bottom"/>
            <w:gridSpan w:val="3"/>
          </w:tcPr>
          <w:p>
            <w:pPr>
              <w:jc w:val="right"/>
              <w:ind w:right="160"/>
              <w:spacing w:after="0" w:line="228" w:lineRule="exact"/>
              <w:rPr>
                <w:sz w:val="20"/>
                <w:szCs w:val="20"/>
                <w:color w:val="auto"/>
              </w:rPr>
            </w:pPr>
            <w:r>
              <w:rPr>
                <w:rFonts w:ascii="Arial" w:cs="Arial" w:eastAsia="Arial" w:hAnsi="Arial"/>
                <w:sz w:val="20"/>
                <w:szCs w:val="20"/>
                <w:color w:val="auto"/>
              </w:rPr>
              <w:t>38,272</w:t>
            </w:r>
          </w:p>
        </w:tc>
      </w:tr>
      <w:tr>
        <w:trPr>
          <w:trHeight w:val="228"/>
        </w:trPr>
        <w:tc>
          <w:tcPr>
            <w:tcW w:w="402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Interest cost</w:t>
            </w:r>
          </w:p>
        </w:tc>
        <w:tc>
          <w:tcPr>
            <w:tcW w:w="20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1,274</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877</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775</w:t>
            </w:r>
          </w:p>
        </w:tc>
        <w:tc>
          <w:tcPr>
            <w:tcW w:w="2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r>
      <w:tr>
        <w:trPr>
          <w:trHeight w:val="228"/>
        </w:trPr>
        <w:tc>
          <w:tcPr>
            <w:tcW w:w="4020" w:type="dxa"/>
            <w:vAlign w:val="bottom"/>
          </w:tcPr>
          <w:p>
            <w:pPr>
              <w:ind w:left="200"/>
              <w:spacing w:after="0" w:line="228" w:lineRule="exact"/>
              <w:rPr>
                <w:sz w:val="20"/>
                <w:szCs w:val="20"/>
                <w:color w:val="auto"/>
              </w:rPr>
            </w:pPr>
            <w:r>
              <w:rPr>
                <w:rFonts w:ascii="Arial" w:cs="Arial" w:eastAsia="Arial" w:hAnsi="Arial"/>
                <w:sz w:val="20"/>
                <w:szCs w:val="20"/>
                <w:color w:val="auto"/>
              </w:rPr>
              <w:t>Actuarial loss (gain)</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183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(6,540)</w:t>
            </w:r>
          </w:p>
        </w:tc>
        <w:tc>
          <w:tcPr>
            <w:tcW w:w="100" w:type="dxa"/>
            <w:vAlign w:val="bottom"/>
          </w:tcPr>
          <w:p>
            <w:pPr>
              <w:spacing w:after="0"/>
              <w:rPr>
                <w:sz w:val="19"/>
                <w:szCs w:val="19"/>
                <w:color w:val="auto"/>
              </w:rPr>
            </w:pPr>
          </w:p>
        </w:tc>
        <w:tc>
          <w:tcPr>
            <w:tcW w:w="138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(1,936)</w:t>
            </w:r>
          </w:p>
        </w:tc>
      </w:tr>
      <w:tr>
        <w:trPr>
          <w:trHeight w:val="226"/>
        </w:trPr>
        <w:tc>
          <w:tcPr>
            <w:tcW w:w="4020" w:type="dxa"/>
            <w:vAlign w:val="bottom"/>
            <w:shd w:val="clear" w:color="auto" w:fill="E9E9E9"/>
          </w:tcPr>
          <w:p>
            <w:pPr>
              <w:ind w:left="200"/>
              <w:spacing w:after="0" w:line="226" w:lineRule="exact"/>
              <w:rPr>
                <w:sz w:val="20"/>
                <w:szCs w:val="20"/>
                <w:color w:val="auto"/>
              </w:rPr>
            </w:pPr>
            <w:r>
              <w:rPr>
                <w:rFonts w:ascii="Arial" w:cs="Arial" w:eastAsia="Arial" w:hAnsi="Arial"/>
                <w:sz w:val="20"/>
                <w:szCs w:val="20"/>
                <w:color w:val="auto"/>
              </w:rPr>
              <w:t>Benefits paid</w:t>
            </w:r>
          </w:p>
        </w:tc>
        <w:tc>
          <w:tcPr>
            <w:tcW w:w="20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22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(2,047)</w:t>
            </w:r>
          </w:p>
        </w:tc>
        <w:tc>
          <w:tcPr>
            <w:tcW w:w="26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22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(2,022)</w:t>
            </w:r>
          </w:p>
        </w:tc>
        <w:tc>
          <w:tcPr>
            <w:tcW w:w="26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22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(2,076)</w:t>
            </w:r>
          </w:p>
        </w:tc>
        <w:tc>
          <w:tcPr>
            <w:tcW w:w="20" w:type="dxa"/>
            <w:vAlign w:val="bottom"/>
            <w:tcBorders>
              <w:bottom w:val="single" w:sz="8" w:color="auto"/>
            </w:tcBorders>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r>
      <w:tr>
        <w:trPr>
          <w:trHeight w:val="218"/>
        </w:trPr>
        <w:tc>
          <w:tcPr>
            <w:tcW w:w="4020" w:type="dxa"/>
            <w:vAlign w:val="bottom"/>
          </w:tcPr>
          <w:p>
            <w:pPr>
              <w:spacing w:after="0" w:line="217" w:lineRule="exact"/>
              <w:rPr>
                <w:sz w:val="20"/>
                <w:szCs w:val="20"/>
                <w:color w:val="auto"/>
              </w:rPr>
            </w:pPr>
            <w:r>
              <w:rPr>
                <w:rFonts w:ascii="Arial" w:cs="Arial" w:eastAsia="Arial" w:hAnsi="Arial"/>
                <w:sz w:val="20"/>
                <w:szCs w:val="20"/>
                <w:color w:val="auto"/>
              </w:rPr>
              <w:t>Projected benefit obligation at end of year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line="217" w:lineRule="exact"/>
              <w:rPr>
                <w:sz w:val="20"/>
                <w:szCs w:val="20"/>
                <w:color w:val="auto"/>
              </w:rPr>
            </w:pPr>
            <w:r>
              <w:rPr>
                <w:rFonts w:ascii="Arial" w:cs="Arial" w:eastAsia="Arial" w:hAnsi="Arial"/>
                <w:sz w:val="20"/>
                <w:szCs w:val="20"/>
                <w:color w:val="auto"/>
              </w:rPr>
              <w:t>26,760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line="217" w:lineRule="exact"/>
              <w:rPr>
                <w:sz w:val="20"/>
                <w:szCs w:val="20"/>
                <w:color w:val="auto"/>
              </w:rPr>
            </w:pPr>
            <w:r>
              <w:rPr>
                <w:rFonts w:ascii="Arial" w:cs="Arial" w:eastAsia="Arial" w:hAnsi="Arial"/>
                <w:sz w:val="20"/>
                <w:szCs w:val="20"/>
                <w:color w:val="auto"/>
              </w:rPr>
              <w:t>27,350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60"/>
              <w:spacing w:after="0" w:line="217" w:lineRule="exact"/>
              <w:rPr>
                <w:sz w:val="20"/>
                <w:szCs w:val="20"/>
                <w:color w:val="auto"/>
              </w:rPr>
            </w:pPr>
            <w:r>
              <w:rPr>
                <w:rFonts w:ascii="Arial" w:cs="Arial" w:eastAsia="Arial" w:hAnsi="Arial"/>
                <w:sz w:val="20"/>
                <w:szCs w:val="20"/>
                <w:color w:val="auto"/>
              </w:rPr>
              <w:t>35,035</w:t>
            </w:r>
          </w:p>
        </w:tc>
      </w:tr>
      <w:tr>
        <w:trPr>
          <w:trHeight w:val="218"/>
        </w:trPr>
        <w:tc>
          <w:tcPr>
            <w:tcW w:w="402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Change in plan assets:</w:t>
            </w:r>
          </w:p>
        </w:tc>
        <w:tc>
          <w:tcPr>
            <w:tcW w:w="20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220" w:type="dxa"/>
            <w:vAlign w:val="bottom"/>
            <w:tcBorders>
              <w:top w:val="single" w:sz="8" w:color="auto"/>
            </w:tcBorders>
            <w:shd w:val="clear" w:color="auto" w:fill="E9E9E9"/>
          </w:tcPr>
          <w:p>
            <w:pPr>
              <w:spacing w:after="0"/>
              <w:rPr>
                <w:sz w:val="18"/>
                <w:szCs w:val="18"/>
                <w:color w:val="auto"/>
              </w:rPr>
            </w:pPr>
          </w:p>
        </w:tc>
        <w:tc>
          <w:tcPr>
            <w:tcW w:w="2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220" w:type="dxa"/>
            <w:vAlign w:val="bottom"/>
            <w:tcBorders>
              <w:top w:val="single" w:sz="8" w:color="auto"/>
            </w:tcBorders>
            <w:shd w:val="clear" w:color="auto" w:fill="E9E9E9"/>
          </w:tcPr>
          <w:p>
            <w:pPr>
              <w:spacing w:after="0"/>
              <w:rPr>
                <w:sz w:val="18"/>
                <w:szCs w:val="18"/>
                <w:color w:val="auto"/>
              </w:rPr>
            </w:pPr>
          </w:p>
        </w:tc>
        <w:tc>
          <w:tcPr>
            <w:tcW w:w="2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22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r>
      <w:tr>
        <w:trPr>
          <w:trHeight w:val="228"/>
        </w:trPr>
        <w:tc>
          <w:tcPr>
            <w:tcW w:w="4020" w:type="dxa"/>
            <w:vAlign w:val="bottom"/>
          </w:tcPr>
          <w:p>
            <w:pPr>
              <w:ind w:left="200"/>
              <w:spacing w:after="0" w:line="228" w:lineRule="exact"/>
              <w:rPr>
                <w:sz w:val="20"/>
                <w:szCs w:val="20"/>
                <w:color w:val="auto"/>
              </w:rPr>
            </w:pPr>
            <w:r>
              <w:rPr>
                <w:rFonts w:ascii="Arial" w:cs="Arial" w:eastAsia="Arial" w:hAnsi="Arial"/>
                <w:sz w:val="20"/>
                <w:szCs w:val="20"/>
                <w:color w:val="auto"/>
                <w:w w:val="95"/>
              </w:rPr>
              <w:t>Fair value of plan assets at beginning of year</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21,821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line="228" w:lineRule="exact"/>
              <w:rPr>
                <w:sz w:val="20"/>
                <w:szCs w:val="20"/>
                <w:color w:val="auto"/>
              </w:rPr>
            </w:pPr>
            <w:r>
              <w:rPr>
                <w:rFonts w:ascii="Arial" w:cs="Arial" w:eastAsia="Arial" w:hAnsi="Arial"/>
                <w:sz w:val="20"/>
                <w:szCs w:val="20"/>
                <w:color w:val="auto"/>
              </w:rPr>
              <w:t>29,474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160"/>
              <w:spacing w:after="0" w:line="228" w:lineRule="exact"/>
              <w:rPr>
                <w:sz w:val="20"/>
                <w:szCs w:val="20"/>
                <w:color w:val="auto"/>
              </w:rPr>
            </w:pPr>
            <w:r>
              <w:rPr>
                <w:rFonts w:ascii="Arial" w:cs="Arial" w:eastAsia="Arial" w:hAnsi="Arial"/>
                <w:sz w:val="20"/>
                <w:szCs w:val="20"/>
                <w:color w:val="auto"/>
              </w:rPr>
              <w:t>28,545</w:t>
            </w:r>
          </w:p>
        </w:tc>
      </w:tr>
      <w:tr>
        <w:trPr>
          <w:trHeight w:val="228"/>
        </w:trPr>
        <w:tc>
          <w:tcPr>
            <w:tcW w:w="402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Actual return on plan assets</w:t>
            </w:r>
          </w:p>
        </w:tc>
        <w:tc>
          <w:tcPr>
            <w:tcW w:w="20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2,872</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(5,631)</w:t>
            </w: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3,005</w:t>
            </w:r>
          </w:p>
        </w:tc>
        <w:tc>
          <w:tcPr>
            <w:tcW w:w="2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r>
      <w:tr>
        <w:trPr>
          <w:trHeight w:val="228"/>
        </w:trPr>
        <w:tc>
          <w:tcPr>
            <w:tcW w:w="4020" w:type="dxa"/>
            <w:vAlign w:val="bottom"/>
          </w:tcPr>
          <w:p>
            <w:pPr>
              <w:ind w:left="200"/>
              <w:spacing w:after="0" w:line="228" w:lineRule="exact"/>
              <w:rPr>
                <w:sz w:val="20"/>
                <w:szCs w:val="20"/>
                <w:color w:val="auto"/>
              </w:rPr>
            </w:pPr>
            <w:r>
              <w:rPr>
                <w:rFonts w:ascii="Arial" w:cs="Arial" w:eastAsia="Arial" w:hAnsi="Arial"/>
                <w:sz w:val="20"/>
                <w:szCs w:val="20"/>
                <w:color w:val="auto"/>
              </w:rPr>
              <w:t>Benefits paid</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(2,047)</w:t>
            </w:r>
          </w:p>
        </w:tc>
        <w:tc>
          <w:tcPr>
            <w:tcW w:w="100" w:type="dxa"/>
            <w:vAlign w:val="bottom"/>
          </w:tcPr>
          <w:p>
            <w:pPr>
              <w:spacing w:after="0"/>
              <w:rPr>
                <w:sz w:val="19"/>
                <w:szCs w:val="19"/>
                <w:color w:val="auto"/>
              </w:rPr>
            </w:pPr>
          </w:p>
        </w:tc>
        <w:tc>
          <w:tcPr>
            <w:tcW w:w="148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(2,022)</w:t>
            </w:r>
          </w:p>
        </w:tc>
        <w:tc>
          <w:tcPr>
            <w:tcW w:w="100" w:type="dxa"/>
            <w:vAlign w:val="bottom"/>
          </w:tcPr>
          <w:p>
            <w:pPr>
              <w:spacing w:after="0"/>
              <w:rPr>
                <w:sz w:val="19"/>
                <w:szCs w:val="19"/>
                <w:color w:val="auto"/>
              </w:rPr>
            </w:pPr>
          </w:p>
        </w:tc>
        <w:tc>
          <w:tcPr>
            <w:tcW w:w="138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(2,076)</w:t>
            </w:r>
          </w:p>
        </w:tc>
      </w:tr>
      <w:tr>
        <w:trPr>
          <w:trHeight w:val="218"/>
        </w:trPr>
        <w:tc>
          <w:tcPr>
            <w:tcW w:w="402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Fair value of plan assets at end of year</w:t>
            </w:r>
          </w:p>
        </w:tc>
        <w:tc>
          <w:tcPr>
            <w:tcW w:w="20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spacing w:after="0"/>
              <w:rPr>
                <w:sz w:val="18"/>
                <w:szCs w:val="18"/>
                <w:color w:val="auto"/>
              </w:rPr>
            </w:pP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22,646</w:t>
            </w:r>
          </w:p>
        </w:tc>
        <w:tc>
          <w:tcPr>
            <w:tcW w:w="2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spacing w:after="0"/>
              <w:rPr>
                <w:sz w:val="18"/>
                <w:szCs w:val="18"/>
                <w:color w:val="auto"/>
              </w:rPr>
            </w:pP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21,821</w:t>
            </w:r>
          </w:p>
        </w:tc>
        <w:tc>
          <w:tcPr>
            <w:tcW w:w="2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spacing w:after="0"/>
              <w:rPr>
                <w:sz w:val="18"/>
                <w:szCs w:val="18"/>
                <w:color w:val="auto"/>
              </w:rPr>
            </w:pPr>
          </w:p>
        </w:tc>
        <w:tc>
          <w:tcPr>
            <w:tcW w:w="12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29,474</w:t>
            </w:r>
          </w:p>
        </w:tc>
        <w:tc>
          <w:tcPr>
            <w:tcW w:w="20" w:type="dxa"/>
            <w:vAlign w:val="bottom"/>
            <w:tcBorders>
              <w:top w:val="single" w:sz="8" w:color="E9E9E9"/>
              <w:bottom w:val="single" w:sz="8" w:color="auto"/>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r>
      <w:tr>
        <w:trPr>
          <w:trHeight w:val="258"/>
        </w:trPr>
        <w:tc>
          <w:tcPr>
            <w:tcW w:w="4020" w:type="dxa"/>
            <w:vAlign w:val="bottom"/>
          </w:tcPr>
          <w:p>
            <w:pPr>
              <w:spacing w:after="0" w:line="217" w:lineRule="exact"/>
              <w:rPr>
                <w:sz w:val="20"/>
                <w:szCs w:val="20"/>
                <w:color w:val="auto"/>
              </w:rPr>
            </w:pPr>
            <w:r>
              <w:rPr>
                <w:rFonts w:ascii="Arial" w:cs="Arial" w:eastAsia="Arial" w:hAnsi="Arial"/>
                <w:sz w:val="20"/>
                <w:szCs w:val="20"/>
                <w:color w:val="auto"/>
              </w:rPr>
              <w:t>Funded status at end of year</w:t>
            </w:r>
          </w:p>
        </w:tc>
        <w:tc>
          <w:tcPr>
            <w:tcW w:w="212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200"/>
              <w:spacing w:after="0" w:line="217" w:lineRule="exact"/>
              <w:rPr>
                <w:sz w:val="20"/>
                <w:szCs w:val="20"/>
                <w:color w:val="auto"/>
              </w:rPr>
            </w:pPr>
            <w:r>
              <w:rPr>
                <w:rFonts w:ascii="Arial" w:cs="Arial" w:eastAsia="Arial" w:hAnsi="Arial"/>
                <w:sz w:val="20"/>
                <w:szCs w:val="20"/>
                <w:color w:val="auto"/>
              </w:rPr>
              <w:t>(4,114)</w:t>
            </w:r>
          </w:p>
        </w:tc>
        <w:tc>
          <w:tcPr>
            <w:tcW w:w="10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480" w:type="dxa"/>
            <w:vAlign w:val="bottom"/>
            <w:gridSpan w:val="2"/>
          </w:tcPr>
          <w:p>
            <w:pPr>
              <w:jc w:val="right"/>
              <w:ind w:right="200"/>
              <w:spacing w:after="0" w:line="217" w:lineRule="exact"/>
              <w:rPr>
                <w:sz w:val="20"/>
                <w:szCs w:val="20"/>
                <w:color w:val="auto"/>
              </w:rPr>
            </w:pPr>
            <w:r>
              <w:rPr>
                <w:rFonts w:ascii="Arial" w:cs="Arial" w:eastAsia="Arial" w:hAnsi="Arial"/>
                <w:sz w:val="20"/>
                <w:szCs w:val="20"/>
                <w:color w:val="auto"/>
              </w:rPr>
              <w:t>(5,529)</w:t>
            </w:r>
          </w:p>
        </w:tc>
        <w:tc>
          <w:tcPr>
            <w:tcW w:w="10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38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(5,561)</w:t>
            </w:r>
          </w:p>
        </w:tc>
      </w:tr>
      <w:tr>
        <w:trPr>
          <w:trHeight w:val="211"/>
        </w:trPr>
        <w:tc>
          <w:tcPr>
            <w:tcW w:w="4020" w:type="dxa"/>
            <w:vAlign w:val="bottom"/>
            <w:tcBorders>
              <w:top w:val="single" w:sz="8" w:color="E9E9E9"/>
            </w:tcBorders>
            <w:shd w:val="clear" w:color="auto" w:fill="E9E9E9"/>
          </w:tcPr>
          <w:p>
            <w:pPr>
              <w:spacing w:after="0" w:line="211" w:lineRule="exact"/>
              <w:rPr>
                <w:sz w:val="20"/>
                <w:szCs w:val="20"/>
                <w:color w:val="auto"/>
              </w:rPr>
            </w:pPr>
            <w:r>
              <w:rPr>
                <w:rFonts w:ascii="Arial" w:cs="Arial" w:eastAsia="Arial" w:hAnsi="Arial"/>
                <w:sz w:val="20"/>
                <w:szCs w:val="20"/>
                <w:color w:val="auto"/>
                <w:w w:val="89"/>
              </w:rPr>
              <w:t>Weighted-average assumptions used to determine</w:t>
            </w:r>
          </w:p>
        </w:tc>
        <w:tc>
          <w:tcPr>
            <w:tcW w:w="2020" w:type="dxa"/>
            <w:vAlign w:val="bottom"/>
            <w:tcBorders>
              <w:top w:val="single" w:sz="8" w:color="E9E9E9"/>
            </w:tcBorders>
            <w:shd w:val="clear" w:color="auto" w:fill="E9E9E9"/>
          </w:tcPr>
          <w:p>
            <w:pPr>
              <w:spacing w:after="0" w:line="211" w:lineRule="exact"/>
              <w:rPr>
                <w:sz w:val="20"/>
                <w:szCs w:val="20"/>
                <w:color w:val="auto"/>
              </w:rPr>
            </w:pPr>
            <w:r>
              <w:rPr>
                <w:rFonts w:ascii="Arial" w:cs="Arial" w:eastAsia="Arial" w:hAnsi="Arial"/>
                <w:sz w:val="20"/>
                <w:szCs w:val="20"/>
                <w:color w:val="auto"/>
              </w:rPr>
              <w:t>benefit obligations for</w:t>
            </w:r>
          </w:p>
        </w:tc>
        <w:tc>
          <w:tcPr>
            <w:tcW w:w="100" w:type="dxa"/>
            <w:vAlign w:val="bottom"/>
            <w:tcBorders>
              <w:top w:val="single" w:sz="8" w:color="auto"/>
            </w:tcBorders>
            <w:shd w:val="clear" w:color="auto" w:fill="E9E9E9"/>
          </w:tcPr>
          <w:p>
            <w:pPr>
              <w:spacing w:after="0"/>
              <w:rPr>
                <w:sz w:val="18"/>
                <w:szCs w:val="18"/>
                <w:color w:val="auto"/>
              </w:rPr>
            </w:pPr>
          </w:p>
        </w:tc>
        <w:tc>
          <w:tcPr>
            <w:tcW w:w="1220" w:type="dxa"/>
            <w:vAlign w:val="bottom"/>
            <w:tcBorders>
              <w:top w:val="single" w:sz="8" w:color="auto"/>
            </w:tcBorders>
            <w:shd w:val="clear" w:color="auto" w:fill="E9E9E9"/>
          </w:tcPr>
          <w:p>
            <w:pPr>
              <w:spacing w:after="0"/>
              <w:rPr>
                <w:sz w:val="18"/>
                <w:szCs w:val="18"/>
                <w:color w:val="auto"/>
              </w:rPr>
            </w:pPr>
          </w:p>
        </w:tc>
        <w:tc>
          <w:tcPr>
            <w:tcW w:w="2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220" w:type="dxa"/>
            <w:vAlign w:val="bottom"/>
            <w:tcBorders>
              <w:top w:val="single" w:sz="8" w:color="auto"/>
            </w:tcBorders>
            <w:shd w:val="clear" w:color="auto" w:fill="E9E9E9"/>
          </w:tcPr>
          <w:p>
            <w:pPr>
              <w:spacing w:after="0"/>
              <w:rPr>
                <w:sz w:val="18"/>
                <w:szCs w:val="18"/>
                <w:color w:val="auto"/>
              </w:rPr>
            </w:pPr>
          </w:p>
        </w:tc>
        <w:tc>
          <w:tcPr>
            <w:tcW w:w="26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22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r>
      <w:tr>
        <w:trPr>
          <w:trHeight w:val="229"/>
        </w:trPr>
        <w:tc>
          <w:tcPr>
            <w:tcW w:w="4020" w:type="dxa"/>
            <w:vAlign w:val="bottom"/>
            <w:shd w:val="clear" w:color="auto" w:fill="E9E9E9"/>
          </w:tcPr>
          <w:p>
            <w:pPr>
              <w:spacing w:after="0" w:line="229" w:lineRule="exact"/>
              <w:rPr>
                <w:sz w:val="20"/>
                <w:szCs w:val="20"/>
                <w:color w:val="auto"/>
              </w:rPr>
            </w:pPr>
            <w:r>
              <w:rPr>
                <w:rFonts w:ascii="Arial" w:cs="Arial" w:eastAsia="Arial" w:hAnsi="Arial"/>
                <w:sz w:val="20"/>
                <w:szCs w:val="20"/>
                <w:color w:val="auto"/>
              </w:rPr>
              <w:t>the year ended December 31:</w:t>
            </w:r>
          </w:p>
        </w:tc>
        <w:tc>
          <w:tcPr>
            <w:tcW w:w="20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r>
      <w:tr>
        <w:trPr>
          <w:trHeight w:val="227"/>
        </w:trPr>
        <w:tc>
          <w:tcPr>
            <w:tcW w:w="4020" w:type="dxa"/>
            <w:vAlign w:val="bottom"/>
          </w:tcPr>
          <w:p>
            <w:pPr>
              <w:spacing w:after="0" w:line="228" w:lineRule="exact"/>
              <w:rPr>
                <w:sz w:val="20"/>
                <w:szCs w:val="20"/>
                <w:color w:val="auto"/>
              </w:rPr>
            </w:pPr>
            <w:r>
              <w:rPr>
                <w:rFonts w:ascii="Arial" w:cs="Arial" w:eastAsia="Arial" w:hAnsi="Arial"/>
                <w:sz w:val="20"/>
                <w:szCs w:val="20"/>
                <w:color w:val="auto"/>
              </w:rPr>
              <w:t>Discount rate</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4.70%</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4.90%</w:t>
            </w:r>
          </w:p>
        </w:tc>
        <w:tc>
          <w:tcPr>
            <w:tcW w:w="100" w:type="dxa"/>
            <w:vAlign w:val="bottom"/>
          </w:tcPr>
          <w:p>
            <w:pPr>
              <w:spacing w:after="0"/>
              <w:rPr>
                <w:sz w:val="19"/>
                <w:szCs w:val="19"/>
                <w:color w:val="auto"/>
              </w:rPr>
            </w:pPr>
          </w:p>
        </w:tc>
        <w:tc>
          <w:tcPr>
            <w:tcW w:w="138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2.55%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6681470</wp:posOffset>
                </wp:positionH>
                <wp:positionV relativeFrom="paragraph">
                  <wp:posOffset>-2346960</wp:posOffset>
                </wp:positionV>
                <wp:extent cx="10541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1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1pt,-184.7999pt" to="534.4pt,-184.7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6681470</wp:posOffset>
                </wp:positionH>
                <wp:positionV relativeFrom="paragraph">
                  <wp:posOffset>-1496060</wp:posOffset>
                </wp:positionV>
                <wp:extent cx="10541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1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1pt,-117.7999pt" to="534.4pt,-117.7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6681470</wp:posOffset>
                </wp:positionH>
                <wp:positionV relativeFrom="paragraph">
                  <wp:posOffset>-608965</wp:posOffset>
                </wp:positionV>
                <wp:extent cx="10541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1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1pt,-47.9499pt" to="534.4pt,-47.9499pt" o:allowincell="f" strokecolor="#FFFFFF" strokeweight="0.4752pt"/>
            </w:pict>
          </mc:Fallback>
        </mc:AlternateContent>
      </w:r>
    </w:p>
    <w:p>
      <w:pPr>
        <w:spacing w:after="0" w:line="228" w:lineRule="exact"/>
        <w:rPr>
          <w:sz w:val="20"/>
          <w:szCs w:val="20"/>
          <w:color w:val="auto"/>
        </w:rPr>
      </w:pPr>
    </w:p>
    <w:p>
      <w:pPr>
        <w:ind w:right="500"/>
        <w:spacing w:after="0" w:line="232" w:lineRule="auto"/>
        <w:rPr>
          <w:sz w:val="20"/>
          <w:szCs w:val="20"/>
          <w:color w:val="auto"/>
        </w:rPr>
      </w:pPr>
      <w:r>
        <w:rPr>
          <w:rFonts w:ascii="Arial" w:cs="Arial" w:eastAsia="Arial" w:hAnsi="Arial"/>
          <w:sz w:val="20"/>
          <w:szCs w:val="20"/>
          <w:color w:val="auto"/>
        </w:rPr>
        <w:t>The funded status as of December 31, 2023, 2022 and 2021, was $4.1 million, $5.5 million, and $5.6 million, respectively and is recognized in the accompanying Consolidated Balance Sheets within other long-term liabilities.</w:t>
      </w:r>
    </w:p>
    <w:p>
      <w:pPr>
        <w:spacing w:after="0" w:line="249"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The details of net periodic benefit cost for pension benefits included in the accompanying Consolidated Statements of Income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99"/>
              </w:rPr>
              <w:t>December 31,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5780" w:type="dxa"/>
            <w:vAlign w:val="bottom"/>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5"/>
              <w:spacing w:after="0" w:line="172"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8"/>
              <w:spacing w:after="0" w:line="17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65"/>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r>
      <w:tr>
        <w:trPr>
          <w:trHeight w:val="217"/>
        </w:trPr>
        <w:tc>
          <w:tcPr>
            <w:tcW w:w="5780" w:type="dxa"/>
            <w:vAlign w:val="bottom"/>
          </w:tcPr>
          <w:p>
            <w:pPr>
              <w:spacing w:after="0" w:line="217" w:lineRule="exact"/>
              <w:rPr>
                <w:sz w:val="20"/>
                <w:szCs w:val="20"/>
                <w:color w:val="auto"/>
              </w:rPr>
            </w:pPr>
            <w:r>
              <w:rPr>
                <w:rFonts w:ascii="Arial" w:cs="Arial" w:eastAsia="Arial" w:hAnsi="Arial"/>
                <w:sz w:val="20"/>
                <w:szCs w:val="20"/>
                <w:color w:val="auto"/>
              </w:rPr>
              <w:t>Interest cost</w:t>
            </w:r>
          </w:p>
        </w:tc>
        <w:tc>
          <w:tcPr>
            <w:tcW w:w="22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21"/>
              <w:spacing w:after="0" w:line="217" w:lineRule="exact"/>
              <w:rPr>
                <w:sz w:val="20"/>
                <w:szCs w:val="20"/>
                <w:color w:val="auto"/>
              </w:rPr>
            </w:pPr>
            <w:r>
              <w:rPr>
                <w:rFonts w:ascii="Arial" w:cs="Arial" w:eastAsia="Arial" w:hAnsi="Arial"/>
                <w:sz w:val="20"/>
                <w:szCs w:val="20"/>
                <w:color w:val="auto"/>
              </w:rPr>
              <w:t>1,274</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420" w:type="dxa"/>
            <w:vAlign w:val="bottom"/>
            <w:gridSpan w:val="2"/>
          </w:tcPr>
          <w:p>
            <w:pPr>
              <w:jc w:val="right"/>
              <w:ind w:right="120"/>
              <w:spacing w:after="0" w:line="217" w:lineRule="exact"/>
              <w:rPr>
                <w:sz w:val="20"/>
                <w:szCs w:val="20"/>
                <w:color w:val="auto"/>
              </w:rPr>
            </w:pPr>
            <w:r>
              <w:rPr>
                <w:rFonts w:ascii="Arial" w:cs="Arial" w:eastAsia="Arial" w:hAnsi="Arial"/>
                <w:sz w:val="20"/>
                <w:szCs w:val="20"/>
                <w:color w:val="auto"/>
              </w:rPr>
              <w:t>877</w:t>
            </w:r>
          </w:p>
        </w:tc>
        <w:tc>
          <w:tcPr>
            <w:tcW w:w="20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775</w:t>
            </w:r>
          </w:p>
        </w:tc>
      </w:tr>
      <w:tr>
        <w:trPr>
          <w:trHeight w:val="226"/>
        </w:trPr>
        <w:tc>
          <w:tcPr>
            <w:tcW w:w="578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Expected return on plan assets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(1,142</w:t>
            </w:r>
          </w:p>
        </w:tc>
        <w:tc>
          <w:tcPr>
            <w:tcW w:w="220" w:type="dxa"/>
            <w:vAlign w:val="bottom"/>
            <w:shd w:val="clear" w:color="auto" w:fill="E9E9E9"/>
          </w:tcPr>
          <w:p>
            <w:pPr>
              <w:jc w:val="right"/>
              <w:ind w:right="41"/>
              <w:spacing w:after="0" w:line="226" w:lineRule="exact"/>
              <w:rPr>
                <w:sz w:val="20"/>
                <w:szCs w:val="20"/>
                <w:color w:val="auto"/>
              </w:rPr>
            </w:pPr>
            <w:r>
              <w:rPr>
                <w:rFonts w:ascii="Arial" w:cs="Arial" w:eastAsia="Arial" w:hAnsi="Arial"/>
                <w:sz w:val="20"/>
                <w:szCs w:val="20"/>
                <w:color w:val="auto"/>
                <w:w w:val="89"/>
                <w:shd w:val="clear" w:color="auto" w:fill="E9E9E9"/>
              </w:rPr>
              <w:t>)</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(1,560)</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(1,510)</w:t>
            </w:r>
          </w:p>
        </w:tc>
        <w:tc>
          <w:tcPr>
            <w:tcW w:w="100" w:type="dxa"/>
            <w:vAlign w:val="bottom"/>
            <w:shd w:val="clear" w:color="auto" w:fill="E9E9E9"/>
          </w:tcPr>
          <w:p>
            <w:pPr>
              <w:spacing w:after="0"/>
              <w:rPr>
                <w:sz w:val="19"/>
                <w:szCs w:val="19"/>
                <w:color w:val="auto"/>
              </w:rPr>
            </w:pPr>
          </w:p>
        </w:tc>
      </w:tr>
      <w:tr>
        <w:trPr>
          <w:trHeight w:val="228"/>
        </w:trPr>
        <w:tc>
          <w:tcPr>
            <w:tcW w:w="5780" w:type="dxa"/>
            <w:vAlign w:val="bottom"/>
          </w:tcPr>
          <w:p>
            <w:pPr>
              <w:spacing w:after="0" w:line="228" w:lineRule="exact"/>
              <w:rPr>
                <w:sz w:val="20"/>
                <w:szCs w:val="20"/>
                <w:color w:val="auto"/>
              </w:rPr>
            </w:pPr>
            <w:r>
              <w:rPr>
                <w:rFonts w:ascii="Arial" w:cs="Arial" w:eastAsia="Arial" w:hAnsi="Arial"/>
                <w:sz w:val="20"/>
                <w:szCs w:val="20"/>
                <w:color w:val="auto"/>
              </w:rPr>
              <w:t>Amortization of net loss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21"/>
              <w:spacing w:after="0" w:line="228" w:lineRule="exact"/>
              <w:rPr>
                <w:sz w:val="20"/>
                <w:szCs w:val="20"/>
                <w:color w:val="auto"/>
              </w:rPr>
            </w:pPr>
            <w:r>
              <w:rPr>
                <w:rFonts w:ascii="Arial" w:cs="Arial" w:eastAsia="Arial" w:hAnsi="Arial"/>
                <w:sz w:val="20"/>
                <w:szCs w:val="20"/>
                <w:color w:val="auto"/>
              </w:rPr>
              <w:t>297</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line="228" w:lineRule="exact"/>
              <w:rPr>
                <w:sz w:val="20"/>
                <w:szCs w:val="20"/>
                <w:color w:val="auto"/>
              </w:rPr>
            </w:pPr>
            <w:r>
              <w:rPr>
                <w:rFonts w:ascii="Arial" w:cs="Arial" w:eastAsia="Arial" w:hAnsi="Arial"/>
                <w:sz w:val="20"/>
                <w:szCs w:val="20"/>
                <w:color w:val="auto"/>
              </w:rPr>
              <w:t>263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411</w:t>
            </w:r>
          </w:p>
        </w:tc>
      </w:tr>
      <w:tr>
        <w:trPr>
          <w:trHeight w:val="219"/>
        </w:trPr>
        <w:tc>
          <w:tcPr>
            <w:tcW w:w="5780" w:type="dxa"/>
            <w:vAlign w:val="bottom"/>
            <w:tcBorders>
              <w:top w:val="single" w:sz="8" w:color="E9E9E9"/>
            </w:tcBorders>
            <w:shd w:val="clear" w:color="auto" w:fill="E9E9E9"/>
          </w:tcPr>
          <w:p>
            <w:pPr>
              <w:spacing w:after="0" w:line="218" w:lineRule="exact"/>
              <w:rPr>
                <w:sz w:val="20"/>
                <w:szCs w:val="20"/>
                <w:color w:val="auto"/>
              </w:rPr>
            </w:pPr>
            <w:r>
              <w:rPr>
                <w:rFonts w:ascii="Arial" w:cs="Arial" w:eastAsia="Arial" w:hAnsi="Arial"/>
                <w:sz w:val="20"/>
                <w:szCs w:val="20"/>
                <w:color w:val="auto"/>
              </w:rPr>
              <w:t>Net periodic benefit (expense) income</w:t>
            </w:r>
          </w:p>
        </w:tc>
        <w:tc>
          <w:tcPr>
            <w:tcW w:w="1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rPr>
              <w:t>429</w:t>
            </w:r>
          </w:p>
        </w:tc>
        <w:tc>
          <w:tcPr>
            <w:tcW w:w="22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rPr>
              <w:t>(420)</w:t>
            </w:r>
          </w:p>
        </w:tc>
        <w:tc>
          <w:tcPr>
            <w:tcW w:w="120" w:type="dxa"/>
            <w:vAlign w:val="bottom"/>
            <w:tcBorders>
              <w:top w:val="single" w:sz="8" w:color="E9E9E9"/>
            </w:tcBorders>
            <w:shd w:val="clear" w:color="auto" w:fill="E9E9E9"/>
          </w:tcPr>
          <w:p>
            <w:pPr>
              <w:spacing w:after="0"/>
              <w:rPr>
                <w:sz w:val="19"/>
                <w:szCs w:val="19"/>
                <w:color w:val="auto"/>
              </w:rPr>
            </w:pPr>
          </w:p>
        </w:tc>
        <w:tc>
          <w:tcPr>
            <w:tcW w:w="8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rPr>
              <w:t>(324)</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-737870</wp:posOffset>
                </wp:positionV>
                <wp:extent cx="6921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58.0999pt" to="534.4pt,-58.0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-615315</wp:posOffset>
                </wp:positionV>
                <wp:extent cx="6921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48.4499pt" to="534.4pt,-48.4499pt" o:allowincell="f" strokecolor="#FFFFFF" strokeweight="0.4751pt"/>
            </w:pict>
          </mc:Fallback>
        </mc:AlternateConten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Other changes in plan assets and benefit obligations recognized in other comprehensive income: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6"/>
                <w:szCs w:val="16"/>
                <w:b w:val="1"/>
                <w:bCs w:val="1"/>
                <w:color w:val="auto"/>
                <w:w w:val="99"/>
              </w:rPr>
              <w:t>December 31,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5780" w:type="dxa"/>
            <w:vAlign w:val="bottom"/>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6"/>
              <w:spacing w:after="0" w:line="172"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9"/>
              <w:spacing w:after="0" w:line="17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66"/>
              <w:spacing w:after="0" w:line="172"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7"/>
        </w:trPr>
        <w:tc>
          <w:tcPr>
            <w:tcW w:w="5780" w:type="dxa"/>
            <w:vAlign w:val="bottom"/>
          </w:tcPr>
          <w:p>
            <w:pPr>
              <w:spacing w:after="0" w:line="217" w:lineRule="exact"/>
              <w:rPr>
                <w:sz w:val="20"/>
                <w:szCs w:val="20"/>
                <w:color w:val="auto"/>
              </w:rPr>
            </w:pPr>
            <w:r>
              <w:rPr>
                <w:rFonts w:ascii="Arial" w:cs="Arial" w:eastAsia="Arial" w:hAnsi="Arial"/>
                <w:sz w:val="20"/>
                <w:szCs w:val="20"/>
                <w:color w:val="auto"/>
              </w:rPr>
              <w:t>Net (gain) loss</w:t>
            </w: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(1,548)</w:t>
            </w:r>
          </w:p>
        </w:tc>
        <w:tc>
          <w:tcPr>
            <w:tcW w:w="100" w:type="dxa"/>
            <w:vAlign w:val="bottom"/>
          </w:tcPr>
          <w:p>
            <w:pPr>
              <w:spacing w:after="0"/>
              <w:rPr>
                <w:sz w:val="18"/>
                <w:szCs w:val="18"/>
                <w:color w:val="auto"/>
              </w:rPr>
            </w:pPr>
          </w:p>
        </w:tc>
        <w:tc>
          <w:tcPr>
            <w:tcW w:w="120" w:type="dxa"/>
            <w:vAlign w:val="bottom"/>
            <w:gridSpan w:val="2"/>
          </w:tcPr>
          <w:p>
            <w:pPr>
              <w:jc w:val="right"/>
              <w:spacing w:after="0" w:line="217" w:lineRule="exact"/>
              <w:rPr>
                <w:sz w:val="20"/>
                <w:szCs w:val="20"/>
                <w:color w:val="auto"/>
              </w:rPr>
            </w:pPr>
            <w:r>
              <w:rPr>
                <w:rFonts w:ascii="Arial" w:cs="Arial" w:eastAsia="Arial" w:hAnsi="Arial"/>
                <w:sz w:val="20"/>
                <w:szCs w:val="20"/>
                <w:color w:val="auto"/>
                <w:w w:val="71"/>
              </w:rPr>
              <w:t>$</w:t>
            </w:r>
          </w:p>
        </w:tc>
        <w:tc>
          <w:tcPr>
            <w:tcW w:w="1420" w:type="dxa"/>
            <w:vAlign w:val="bottom"/>
            <w:gridSpan w:val="2"/>
          </w:tcPr>
          <w:p>
            <w:pPr>
              <w:jc w:val="right"/>
              <w:ind w:right="38"/>
              <w:spacing w:after="0" w:line="217" w:lineRule="exact"/>
              <w:rPr>
                <w:sz w:val="20"/>
                <w:szCs w:val="20"/>
                <w:color w:val="auto"/>
              </w:rPr>
            </w:pPr>
            <w:r>
              <w:rPr>
                <w:rFonts w:ascii="Arial" w:cs="Arial" w:eastAsia="Arial" w:hAnsi="Arial"/>
                <w:sz w:val="20"/>
                <w:szCs w:val="20"/>
                <w:color w:val="auto"/>
              </w:rPr>
              <w:t>651</w:t>
            </w:r>
          </w:p>
        </w:tc>
        <w:tc>
          <w:tcPr>
            <w:tcW w:w="20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3"/>
          </w:tcPr>
          <w:p>
            <w:pPr>
              <w:jc w:val="right"/>
              <w:ind w:right="40"/>
              <w:spacing w:after="0" w:line="217" w:lineRule="exact"/>
              <w:rPr>
                <w:sz w:val="20"/>
                <w:szCs w:val="20"/>
                <w:color w:val="auto"/>
              </w:rPr>
            </w:pPr>
            <w:r>
              <w:rPr>
                <w:rFonts w:ascii="Arial" w:cs="Arial" w:eastAsia="Arial" w:hAnsi="Arial"/>
                <w:sz w:val="20"/>
                <w:szCs w:val="20"/>
                <w:color w:val="auto"/>
              </w:rPr>
              <w:t>(3,432)</w:t>
            </w: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Amortization of net actuarial loss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(297</w:t>
            </w:r>
          </w:p>
        </w:tc>
        <w:tc>
          <w:tcPr>
            <w:tcW w:w="1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1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(263)</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(411)</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tcBorders>
              <w:bottom w:val="single" w:sz="8" w:color="auto"/>
            </w:tcBorders>
            <w:shd w:val="clear" w:color="auto" w:fill="E9E9E9"/>
          </w:tcPr>
          <w:p>
            <w:pPr>
              <w:spacing w:after="0"/>
              <w:rPr>
                <w:sz w:val="19"/>
                <w:szCs w:val="19"/>
                <w:color w:val="auto"/>
              </w:rPr>
            </w:pPr>
          </w:p>
        </w:tc>
      </w:tr>
      <w:tr>
        <w:trPr>
          <w:trHeight w:val="258"/>
        </w:trPr>
        <w:tc>
          <w:tcPr>
            <w:tcW w:w="5780" w:type="dxa"/>
            <w:vAlign w:val="bottom"/>
          </w:tcPr>
          <w:p>
            <w:pPr>
              <w:spacing w:after="0" w:line="217" w:lineRule="exact"/>
              <w:rPr>
                <w:sz w:val="20"/>
                <w:szCs w:val="20"/>
                <w:color w:val="auto"/>
              </w:rPr>
            </w:pPr>
            <w:r>
              <w:rPr>
                <w:rFonts w:ascii="Arial" w:cs="Arial" w:eastAsia="Arial" w:hAnsi="Arial"/>
                <w:sz w:val="20"/>
                <w:szCs w:val="20"/>
                <w:color w:val="auto"/>
              </w:rPr>
              <w:t>Total recognized in other comprehensive income (loss)</w:t>
            </w: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(1,845)</w:t>
            </w:r>
          </w:p>
        </w:tc>
        <w:tc>
          <w:tcPr>
            <w:tcW w:w="100" w:type="dxa"/>
            <w:vAlign w:val="bottom"/>
          </w:tcPr>
          <w:p>
            <w:pPr>
              <w:spacing w:after="0"/>
              <w:rPr>
                <w:sz w:val="22"/>
                <w:szCs w:val="22"/>
                <w:color w:val="auto"/>
              </w:rPr>
            </w:pPr>
          </w:p>
        </w:tc>
        <w:tc>
          <w:tcPr>
            <w:tcW w:w="120" w:type="dxa"/>
            <w:vAlign w:val="bottom"/>
            <w:gridSpan w:val="2"/>
          </w:tcPr>
          <w:p>
            <w:pPr>
              <w:jc w:val="right"/>
              <w:spacing w:after="0" w:line="217" w:lineRule="exact"/>
              <w:rPr>
                <w:sz w:val="20"/>
                <w:szCs w:val="20"/>
                <w:color w:val="auto"/>
              </w:rPr>
            </w:pPr>
            <w:r>
              <w:rPr>
                <w:rFonts w:ascii="Arial" w:cs="Arial" w:eastAsia="Arial" w:hAnsi="Arial"/>
                <w:sz w:val="20"/>
                <w:szCs w:val="20"/>
                <w:color w:val="auto"/>
                <w:w w:val="71"/>
              </w:rPr>
              <w:t>$</w:t>
            </w:r>
          </w:p>
        </w:tc>
        <w:tc>
          <w:tcPr>
            <w:tcW w:w="1420" w:type="dxa"/>
            <w:vAlign w:val="bottom"/>
            <w:gridSpan w:val="2"/>
          </w:tcPr>
          <w:p>
            <w:pPr>
              <w:jc w:val="right"/>
              <w:ind w:right="38"/>
              <w:spacing w:after="0" w:line="217" w:lineRule="exact"/>
              <w:rPr>
                <w:sz w:val="20"/>
                <w:szCs w:val="20"/>
                <w:color w:val="auto"/>
              </w:rPr>
            </w:pPr>
            <w:r>
              <w:rPr>
                <w:rFonts w:ascii="Arial" w:cs="Arial" w:eastAsia="Arial" w:hAnsi="Arial"/>
                <w:sz w:val="20"/>
                <w:szCs w:val="20"/>
                <w:color w:val="auto"/>
              </w:rPr>
              <w:t>388</w:t>
            </w:r>
          </w:p>
        </w:tc>
        <w:tc>
          <w:tcPr>
            <w:tcW w:w="20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3"/>
          </w:tcPr>
          <w:p>
            <w:pPr>
              <w:jc w:val="right"/>
              <w:ind w:right="40"/>
              <w:spacing w:after="0" w:line="217" w:lineRule="exact"/>
              <w:rPr>
                <w:sz w:val="20"/>
                <w:szCs w:val="20"/>
                <w:color w:val="auto"/>
              </w:rPr>
            </w:pPr>
            <w:r>
              <w:rPr>
                <w:rFonts w:ascii="Arial" w:cs="Arial" w:eastAsia="Arial" w:hAnsi="Arial"/>
                <w:sz w:val="20"/>
                <w:szCs w:val="20"/>
                <w:color w:val="auto"/>
              </w:rPr>
              <w:t>(3,843)</w:t>
            </w:r>
          </w:p>
        </w:tc>
      </w:tr>
      <w:tr>
        <w:trPr>
          <w:trHeight w:val="210"/>
        </w:trPr>
        <w:tc>
          <w:tcPr>
            <w:tcW w:w="5780" w:type="dxa"/>
            <w:vAlign w:val="bottom"/>
            <w:tcBorders>
              <w:top w:val="single" w:sz="8" w:color="E9E9E9"/>
            </w:tcBorders>
            <w:shd w:val="clear" w:color="auto" w:fill="E9E9E9"/>
          </w:tcPr>
          <w:p>
            <w:pPr>
              <w:spacing w:after="0" w:line="210" w:lineRule="exact"/>
              <w:rPr>
                <w:sz w:val="20"/>
                <w:szCs w:val="20"/>
                <w:color w:val="auto"/>
              </w:rPr>
            </w:pPr>
            <w:r>
              <w:rPr>
                <w:rFonts w:ascii="Arial" w:cs="Arial" w:eastAsia="Arial" w:hAnsi="Arial"/>
                <w:sz w:val="20"/>
                <w:szCs w:val="20"/>
                <w:color w:val="auto"/>
                <w:w w:val="93"/>
              </w:rPr>
              <w:t>Total recognized in net periodic benefit cost and other comprehensive</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32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r>
      <w:tr>
        <w:trPr>
          <w:trHeight w:val="230"/>
        </w:trPr>
        <w:tc>
          <w:tcPr>
            <w:tcW w:w="5780" w:type="dxa"/>
            <w:vAlign w:val="bottom"/>
            <w:shd w:val="clear" w:color="auto" w:fill="E9E9E9"/>
          </w:tcPr>
          <w:p>
            <w:pPr>
              <w:spacing w:after="0" w:line="229" w:lineRule="exact"/>
              <w:rPr>
                <w:sz w:val="20"/>
                <w:szCs w:val="20"/>
                <w:color w:val="auto"/>
              </w:rPr>
            </w:pPr>
            <w:r>
              <w:rPr>
                <w:rFonts w:ascii="Arial" w:cs="Arial" w:eastAsia="Arial" w:hAnsi="Arial"/>
                <w:sz w:val="20"/>
                <w:szCs w:val="20"/>
                <w:color w:val="auto"/>
              </w:rPr>
              <w:t>income (loss)</w:t>
            </w:r>
          </w:p>
        </w:tc>
        <w:tc>
          <w:tcPr>
            <w:tcW w:w="1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bottom w:val="single" w:sz="8" w:color="auto"/>
            </w:tcBorders>
            <w:shd w:val="clear" w:color="auto" w:fill="E9E9E9"/>
          </w:tcPr>
          <w:p>
            <w:pPr>
              <w:jc w:val="right"/>
              <w:spacing w:after="0" w:line="229" w:lineRule="exact"/>
              <w:rPr>
                <w:sz w:val="20"/>
                <w:szCs w:val="20"/>
                <w:color w:val="auto"/>
              </w:rPr>
            </w:pPr>
            <w:r>
              <w:rPr>
                <w:rFonts w:ascii="Arial" w:cs="Arial" w:eastAsia="Arial" w:hAnsi="Arial"/>
                <w:sz w:val="20"/>
                <w:szCs w:val="20"/>
                <w:color w:val="auto"/>
              </w:rPr>
              <w:t>(1,416</w:t>
            </w:r>
          </w:p>
        </w:tc>
        <w:tc>
          <w:tcPr>
            <w:tcW w:w="120" w:type="dxa"/>
            <w:vAlign w:val="bottom"/>
            <w:shd w:val="clear" w:color="auto" w:fill="E9E9E9"/>
          </w:tcPr>
          <w:p>
            <w:pPr>
              <w:jc w:val="right"/>
              <w:spacing w:after="0" w:line="229" w:lineRule="exact"/>
              <w:rPr>
                <w:sz w:val="20"/>
                <w:szCs w:val="20"/>
                <w:color w:val="auto"/>
              </w:rPr>
            </w:pPr>
            <w:r>
              <w:rPr>
                <w:rFonts w:ascii="Arial" w:cs="Arial" w:eastAsia="Arial" w:hAnsi="Arial"/>
                <w:sz w:val="20"/>
                <w:szCs w:val="20"/>
                <w:color w:val="auto"/>
                <w:w w:val="89"/>
                <w:shd w:val="clear" w:color="auto" w:fill="E9E9E9"/>
              </w:rPr>
              <w:t>)</w:t>
            </w:r>
          </w:p>
        </w:tc>
        <w:tc>
          <w:tcPr>
            <w:tcW w:w="1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bottom w:val="single" w:sz="8" w:color="auto"/>
            </w:tcBorders>
            <w:shd w:val="clear" w:color="auto" w:fill="E9E9E9"/>
          </w:tcPr>
          <w:p>
            <w:pPr>
              <w:jc w:val="right"/>
              <w:spacing w:after="0" w:line="229" w:lineRule="exact"/>
              <w:rPr>
                <w:sz w:val="20"/>
                <w:szCs w:val="20"/>
                <w:color w:val="auto"/>
              </w:rPr>
            </w:pPr>
            <w:r>
              <w:rPr>
                <w:rFonts w:ascii="Arial" w:cs="Arial" w:eastAsia="Arial" w:hAnsi="Arial"/>
                <w:sz w:val="20"/>
                <w:szCs w:val="20"/>
                <w:color w:val="auto"/>
              </w:rPr>
              <w:t>(32</w:t>
            </w:r>
          </w:p>
        </w:tc>
        <w:tc>
          <w:tcPr>
            <w:tcW w:w="1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74"/>
                <w:shd w:val="clear" w:color="auto" w:fill="E9E9E9"/>
              </w:rPr>
              <w:t>)</w:t>
            </w:r>
          </w:p>
        </w:tc>
        <w:tc>
          <w:tcPr>
            <w:tcW w:w="80" w:type="dxa"/>
            <w:vAlign w:val="bottom"/>
            <w:shd w:val="clear" w:color="auto" w:fill="E9E9E9"/>
          </w:tcPr>
          <w:p>
            <w:pPr>
              <w:spacing w:after="0"/>
              <w:rPr>
                <w:sz w:val="19"/>
                <w:szCs w:val="19"/>
                <w:color w:val="auto"/>
              </w:rPr>
            </w:pPr>
          </w:p>
        </w:tc>
        <w:tc>
          <w:tcPr>
            <w:tcW w:w="120" w:type="dxa"/>
            <w:vAlign w:val="bottom"/>
            <w:tcBorders>
              <w:bottom w:val="single" w:sz="8" w:color="auto"/>
            </w:tcBorders>
            <w:gridSpan w:val="2"/>
            <w:shd w:val="clear" w:color="auto" w:fill="E9E9E9"/>
          </w:tcPr>
          <w:p>
            <w:pPr>
              <w:jc w:val="right"/>
              <w:spacing w:after="0" w:line="229" w:lineRule="exact"/>
              <w:rPr>
                <w:sz w:val="20"/>
                <w:szCs w:val="20"/>
                <w:color w:val="auto"/>
              </w:rPr>
            </w:pPr>
            <w:r>
              <w:rPr>
                <w:rFonts w:ascii="Arial" w:cs="Arial" w:eastAsia="Arial" w:hAnsi="Arial"/>
                <w:sz w:val="20"/>
                <w:szCs w:val="20"/>
                <w:color w:val="auto"/>
                <w:w w:val="89"/>
                <w:shd w:val="clear" w:color="auto" w:fill="E9E9E9"/>
              </w:rPr>
              <w:t>$</w:t>
            </w:r>
          </w:p>
        </w:tc>
        <w:tc>
          <w:tcPr>
            <w:tcW w:w="1320" w:type="dxa"/>
            <w:vAlign w:val="bottom"/>
            <w:tcBorders>
              <w:bottom w:val="single" w:sz="8" w:color="auto"/>
            </w:tcBorders>
            <w:shd w:val="clear" w:color="auto" w:fill="E9E9E9"/>
          </w:tcPr>
          <w:p>
            <w:pPr>
              <w:jc w:val="right"/>
              <w:spacing w:after="0" w:line="229" w:lineRule="exact"/>
              <w:rPr>
                <w:sz w:val="20"/>
                <w:szCs w:val="20"/>
                <w:color w:val="auto"/>
              </w:rPr>
            </w:pPr>
            <w:r>
              <w:rPr>
                <w:rFonts w:ascii="Arial" w:cs="Arial" w:eastAsia="Arial" w:hAnsi="Arial"/>
                <w:sz w:val="20"/>
                <w:szCs w:val="20"/>
                <w:color w:val="auto"/>
              </w:rPr>
              <w:t>(4,167)</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9"/>
        </w:trPr>
        <w:tc>
          <w:tcPr>
            <w:tcW w:w="6000" w:type="dxa"/>
            <w:vAlign w:val="bottom"/>
            <w:gridSpan w:val="4"/>
          </w:tcPr>
          <w:p>
            <w:pPr>
              <w:spacing w:after="0"/>
              <w:rPr>
                <w:sz w:val="20"/>
                <w:szCs w:val="20"/>
                <w:color w:val="auto"/>
              </w:rPr>
            </w:pPr>
            <w:r>
              <w:rPr>
                <w:rFonts w:ascii="Arial" w:cs="Arial" w:eastAsia="Arial" w:hAnsi="Arial"/>
                <w:sz w:val="20"/>
                <w:szCs w:val="20"/>
                <w:color w:val="auto"/>
                <w:w w:val="88"/>
              </w:rPr>
              <w:t>Weighted-average assumptions used to determine net periodic benefit costs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6"/>
                <w:szCs w:val="16"/>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72"/>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89"/>
              </w:rPr>
              <w:t>2023</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84"/>
              </w:rPr>
              <w:t>2022</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217"/>
        </w:trPr>
        <w:tc>
          <w:tcPr>
            <w:tcW w:w="5780" w:type="dxa"/>
            <w:vAlign w:val="bottom"/>
          </w:tcPr>
          <w:p>
            <w:pPr>
              <w:ind w:left="400"/>
              <w:spacing w:after="0" w:line="217" w:lineRule="exact"/>
              <w:rPr>
                <w:sz w:val="20"/>
                <w:szCs w:val="20"/>
                <w:color w:val="auto"/>
              </w:rPr>
            </w:pPr>
            <w:r>
              <w:rPr>
                <w:rFonts w:ascii="Arial" w:cs="Arial" w:eastAsia="Arial" w:hAnsi="Arial"/>
                <w:sz w:val="20"/>
                <w:szCs w:val="20"/>
                <w:color w:val="auto"/>
              </w:rPr>
              <w:t>Discount Rate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line="217" w:lineRule="exact"/>
              <w:rPr>
                <w:sz w:val="20"/>
                <w:szCs w:val="20"/>
                <w:color w:val="auto"/>
              </w:rPr>
            </w:pPr>
            <w:r>
              <w:rPr>
                <w:rFonts w:ascii="Arial" w:cs="Arial" w:eastAsia="Arial" w:hAnsi="Arial"/>
                <w:sz w:val="20"/>
                <w:szCs w:val="20"/>
                <w:color w:val="auto"/>
                <w:w w:val="88"/>
              </w:rPr>
              <w:t>4.90%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line="217" w:lineRule="exact"/>
              <w:rPr>
                <w:sz w:val="20"/>
                <w:szCs w:val="20"/>
                <w:color w:val="auto"/>
              </w:rPr>
            </w:pPr>
            <w:r>
              <w:rPr>
                <w:rFonts w:ascii="Arial" w:cs="Arial" w:eastAsia="Arial" w:hAnsi="Arial"/>
                <w:sz w:val="20"/>
                <w:szCs w:val="20"/>
                <w:color w:val="auto"/>
                <w:w w:val="88"/>
              </w:rPr>
              <w:t>2.55%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line="217" w:lineRule="exact"/>
              <w:rPr>
                <w:sz w:val="20"/>
                <w:szCs w:val="20"/>
                <w:color w:val="auto"/>
              </w:rPr>
            </w:pPr>
            <w:r>
              <w:rPr>
                <w:rFonts w:ascii="Arial" w:cs="Arial" w:eastAsia="Arial" w:hAnsi="Arial"/>
                <w:sz w:val="20"/>
                <w:szCs w:val="20"/>
                <w:color w:val="auto"/>
                <w:w w:val="91"/>
              </w:rPr>
              <w:t>2.10%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5780" w:type="dxa"/>
            <w:vAlign w:val="bottom"/>
            <w:shd w:val="clear" w:color="auto" w:fill="E9E9E9"/>
          </w:tcPr>
          <w:p>
            <w:pPr>
              <w:ind w:left="400"/>
              <w:spacing w:after="0" w:line="226" w:lineRule="exact"/>
              <w:rPr>
                <w:sz w:val="20"/>
                <w:szCs w:val="20"/>
                <w:color w:val="auto"/>
              </w:rPr>
            </w:pPr>
            <w:r>
              <w:rPr>
                <w:rFonts w:ascii="Arial" w:cs="Arial" w:eastAsia="Arial" w:hAnsi="Arial"/>
                <w:sz w:val="20"/>
                <w:szCs w:val="20"/>
                <w:color w:val="auto"/>
              </w:rPr>
              <w:t>Expected return on assets</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jc w:val="center"/>
              <w:spacing w:after="0" w:line="226" w:lineRule="exact"/>
              <w:rPr>
                <w:sz w:val="20"/>
                <w:szCs w:val="20"/>
                <w:color w:val="auto"/>
              </w:rPr>
            </w:pPr>
            <w:r>
              <w:rPr>
                <w:rFonts w:ascii="Arial" w:cs="Arial" w:eastAsia="Arial" w:hAnsi="Arial"/>
                <w:sz w:val="20"/>
                <w:szCs w:val="20"/>
                <w:color w:val="auto"/>
                <w:w w:val="88"/>
              </w:rPr>
              <w:t>5.50%</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jc w:val="center"/>
              <w:spacing w:after="0" w:line="226" w:lineRule="exact"/>
              <w:rPr>
                <w:sz w:val="20"/>
                <w:szCs w:val="20"/>
                <w:color w:val="auto"/>
              </w:rPr>
            </w:pPr>
            <w:r>
              <w:rPr>
                <w:rFonts w:ascii="Arial" w:cs="Arial" w:eastAsia="Arial" w:hAnsi="Arial"/>
                <w:sz w:val="20"/>
                <w:szCs w:val="20"/>
                <w:color w:val="auto"/>
                <w:w w:val="88"/>
              </w:rPr>
              <w:t>5.50%</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center"/>
              <w:spacing w:after="0" w:line="226" w:lineRule="exact"/>
              <w:rPr>
                <w:sz w:val="20"/>
                <w:szCs w:val="20"/>
                <w:color w:val="auto"/>
              </w:rPr>
            </w:pPr>
            <w:r>
              <w:rPr>
                <w:rFonts w:ascii="Arial" w:cs="Arial" w:eastAsia="Arial" w:hAnsi="Arial"/>
                <w:sz w:val="20"/>
                <w:szCs w:val="20"/>
                <w:color w:val="auto"/>
                <w:w w:val="91"/>
              </w:rPr>
              <w:t>5.50%</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-1868170</wp:posOffset>
                </wp:positionV>
                <wp:extent cx="6921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47.0999pt" to="534.4pt,-147.0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-1745615</wp:posOffset>
                </wp:positionV>
                <wp:extent cx="6921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37.4499pt" to="534.4pt,-137.4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6717665</wp:posOffset>
                </wp:positionH>
                <wp:positionV relativeFrom="paragraph">
                  <wp:posOffset>-1449705</wp:posOffset>
                </wp:positionV>
                <wp:extent cx="6921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14.1499pt" to="534.4pt,-114.1499pt" o:allowincell="f" strokecolor="#FFFFFF" strokeweight="0.4751pt"/>
            </w:pict>
          </mc:Fallback>
        </mc:AlternateContent>
      </w:r>
    </w:p>
    <w:p>
      <w:pPr>
        <w:spacing w:after="0" w:line="227"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 future long range projections of investment returns for each asset category. The long-term rate of return also considers administrative expenses of the plan.</w:t>
      </w:r>
    </w:p>
    <w:p>
      <w:pPr>
        <w:spacing w:after="0" w:line="253" w:lineRule="exact"/>
        <w:rPr>
          <w:sz w:val="20"/>
          <w:szCs w:val="20"/>
          <w:color w:val="auto"/>
        </w:rPr>
      </w:pPr>
    </w:p>
    <w:p>
      <w:pPr>
        <w:ind w:right="800"/>
        <w:spacing w:after="0" w:line="232" w:lineRule="auto"/>
        <w:rPr>
          <w:sz w:val="20"/>
          <w:szCs w:val="20"/>
          <w:color w:val="auto"/>
        </w:rPr>
      </w:pPr>
      <w:r>
        <w:rPr>
          <w:rFonts w:ascii="Arial" w:cs="Arial" w:eastAsia="Arial" w:hAnsi="Arial"/>
          <w:sz w:val="20"/>
          <w:szCs w:val="20"/>
          <w:color w:val="auto"/>
        </w:rPr>
        <w:t>Benefits under the plan is not based on wages and, therefore, future wage adjustments have no effect on the projected benefit obligation.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F-22</w:t>
      </w:r>
    </w:p>
    <w:p>
      <w:pPr>
        <w:sectPr>
          <w:pgSz w:w="11880" w:h="15480" w:orient="portrait"/>
          <w:cols w:equalWidth="0" w:num="1">
            <w:col w:w="10680"/>
          </w:cols>
          <w:pgMar w:left="600" w:top="849" w:right="600" w:bottom="46" w:gutter="0" w:footer="0" w:header="0"/>
        </w:sectPr>
      </w:pPr>
    </w:p>
    <w:bookmarkStart w:id="82" w:name="page83"/>
    <w:bookmarkEnd w:id="82"/>
    <w:p>
      <w:pPr>
        <w:ind w:right="340"/>
        <w:spacing w:after="0" w:line="233" w:lineRule="auto"/>
        <w:rPr>
          <w:sz w:val="20"/>
          <w:szCs w:val="20"/>
          <w:color w:val="auto"/>
        </w:rPr>
      </w:pPr>
      <w:r>
        <w:rPr>
          <w:rFonts w:ascii="Arial" w:cs="Arial" w:eastAsia="Arial" w:hAnsi="Arial"/>
          <w:sz w:val="20"/>
          <w:szCs w:val="20"/>
          <w:color w:val="auto"/>
        </w:rPr>
        <w:t>During 2023, 2022 and 2021, the Company updated the mortality tables (RP-2021 Total Mortality Table, RP-2020 Total Mortality Table, and RP-2019 Total Mortality Table for each respective year) in the underlying assumptions used to determine the benefit obligation.</w:t>
      </w:r>
    </w:p>
    <w:p>
      <w:pPr>
        <w:spacing w:after="0" w:line="250" w:lineRule="exact"/>
        <w:rPr>
          <w:sz w:val="20"/>
          <w:szCs w:val="20"/>
          <w:color w:val="auto"/>
        </w:rPr>
      </w:pPr>
    </w:p>
    <w:p>
      <w:pPr>
        <w:ind w:right="120"/>
        <w:spacing w:after="0" w:line="235" w:lineRule="auto"/>
        <w:rPr>
          <w:sz w:val="20"/>
          <w:szCs w:val="20"/>
          <w:color w:val="auto"/>
        </w:rPr>
      </w:pPr>
      <w:r>
        <w:rPr>
          <w:rFonts w:ascii="Arial" w:cs="Arial" w:eastAsia="Arial" w:hAnsi="Arial"/>
          <w:sz w:val="20"/>
          <w:szCs w:val="20"/>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The Company's defined benefit pension plan asset allocation by asset category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Target</w:t>
            </w:r>
          </w:p>
        </w:tc>
        <w:tc>
          <w:tcPr>
            <w:tcW w:w="1060" w:type="dxa"/>
            <w:vAlign w:val="bottom"/>
          </w:tcPr>
          <w:p>
            <w:pPr>
              <w:spacing w:after="0"/>
              <w:rPr>
                <w:sz w:val="16"/>
                <w:szCs w:val="16"/>
                <w:color w:val="auto"/>
              </w:rPr>
            </w:pPr>
          </w:p>
        </w:tc>
        <w:tc>
          <w:tcPr>
            <w:tcW w:w="2100" w:type="dxa"/>
            <w:vAlign w:val="bottom"/>
            <w:gridSpan w:val="4"/>
          </w:tcPr>
          <w:p>
            <w:pPr>
              <w:jc w:val="center"/>
              <w:ind w:right="961"/>
              <w:spacing w:after="0"/>
              <w:rPr>
                <w:sz w:val="20"/>
                <w:szCs w:val="20"/>
                <w:color w:val="auto"/>
              </w:rPr>
            </w:pPr>
            <w:r>
              <w:rPr>
                <w:rFonts w:ascii="Arial" w:cs="Arial" w:eastAsia="Arial" w:hAnsi="Arial"/>
                <w:sz w:val="16"/>
                <w:szCs w:val="16"/>
                <w:b w:val="1"/>
                <w:bCs w:val="1"/>
                <w:color w:val="auto"/>
                <w:w w:val="86"/>
              </w:rPr>
              <w:t>Percentage of</w:t>
            </w:r>
          </w:p>
        </w:tc>
      </w:tr>
      <w:tr>
        <w:trPr>
          <w:trHeight w:val="182"/>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0"/>
              </w:rPr>
              <w:t>Allocation</w:t>
            </w:r>
          </w:p>
        </w:tc>
        <w:tc>
          <w:tcPr>
            <w:tcW w:w="10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ind w:right="941"/>
              <w:spacing w:after="0" w:line="182" w:lineRule="exact"/>
              <w:rPr>
                <w:sz w:val="20"/>
                <w:szCs w:val="20"/>
                <w:color w:val="auto"/>
              </w:rPr>
            </w:pPr>
            <w:r>
              <w:rPr>
                <w:rFonts w:ascii="Arial" w:cs="Arial" w:eastAsia="Arial" w:hAnsi="Arial"/>
                <w:sz w:val="16"/>
                <w:szCs w:val="16"/>
                <w:b w:val="1"/>
                <w:bCs w:val="1"/>
                <w:color w:val="auto"/>
                <w:w w:val="85"/>
              </w:rPr>
              <w:t>Plan Assets</w:t>
            </w:r>
          </w:p>
        </w:tc>
      </w:tr>
      <w:tr>
        <w:trPr>
          <w:trHeight w:val="172"/>
        </w:trPr>
        <w:tc>
          <w:tcPr>
            <w:tcW w:w="5780" w:type="dxa"/>
            <w:vAlign w:val="bottom"/>
          </w:tcPr>
          <w:p>
            <w:pPr>
              <w:spacing w:after="0"/>
              <w:rPr>
                <w:sz w:val="14"/>
                <w:szCs w:val="14"/>
                <w:color w:val="auto"/>
              </w:rPr>
            </w:pPr>
          </w:p>
        </w:tc>
        <w:tc>
          <w:tcPr>
            <w:tcW w:w="1640" w:type="dxa"/>
            <w:vAlign w:val="bottom"/>
            <w:gridSpan w:val="2"/>
          </w:tcPr>
          <w:p>
            <w:pPr>
              <w:jc w:val="center"/>
              <w:ind w:left="31"/>
              <w:spacing w:after="0" w:line="172" w:lineRule="exact"/>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4"/>
                <w:szCs w:val="14"/>
                <w:color w:val="auto"/>
              </w:rPr>
            </w:pPr>
          </w:p>
        </w:tc>
        <w:tc>
          <w:tcPr>
            <w:tcW w:w="1060" w:type="dxa"/>
            <w:vAlign w:val="bottom"/>
          </w:tcPr>
          <w:p>
            <w:pPr>
              <w:jc w:val="center"/>
              <w:ind w:left="385"/>
              <w:spacing w:after="0" w:line="172" w:lineRule="exact"/>
              <w:rPr>
                <w:sz w:val="20"/>
                <w:szCs w:val="20"/>
                <w:color w:val="auto"/>
              </w:rPr>
            </w:pPr>
            <w:r>
              <w:rPr>
                <w:rFonts w:ascii="Arial" w:cs="Arial" w:eastAsia="Arial" w:hAnsi="Arial"/>
                <w:sz w:val="16"/>
                <w:szCs w:val="16"/>
                <w:b w:val="1"/>
                <w:bCs w:val="1"/>
                <w:color w:val="auto"/>
                <w:w w:val="84"/>
              </w:rPr>
              <w:t>2023</w:t>
            </w:r>
          </w:p>
        </w:tc>
        <w:tc>
          <w:tcPr>
            <w:tcW w:w="2100" w:type="dxa"/>
            <w:vAlign w:val="bottom"/>
            <w:gridSpan w:val="4"/>
          </w:tcPr>
          <w:p>
            <w:pPr>
              <w:jc w:val="center"/>
              <w:ind w:left="496"/>
              <w:spacing w:after="0" w:line="172" w:lineRule="exact"/>
              <w:rPr>
                <w:sz w:val="20"/>
                <w:szCs w:val="20"/>
                <w:color w:val="auto"/>
              </w:rPr>
            </w:pPr>
            <w:r>
              <w:rPr>
                <w:rFonts w:ascii="Arial" w:cs="Arial" w:eastAsia="Arial" w:hAnsi="Arial"/>
                <w:sz w:val="16"/>
                <w:szCs w:val="16"/>
                <w:b w:val="1"/>
                <w:bCs w:val="1"/>
                <w:color w:val="auto"/>
                <w:w w:val="89"/>
              </w:rPr>
              <w:t>2022</w:t>
            </w:r>
          </w:p>
        </w:tc>
      </w:tr>
      <w:tr>
        <w:trPr>
          <w:trHeight w:val="218"/>
        </w:trPr>
        <w:tc>
          <w:tcPr>
            <w:tcW w:w="578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Asset Category:</w:t>
            </w:r>
          </w:p>
        </w:tc>
        <w:tc>
          <w:tcPr>
            <w:tcW w:w="100" w:type="dxa"/>
            <w:vAlign w:val="bottom"/>
            <w:tcBorders>
              <w:top w:val="single" w:sz="8" w:color="E9E9E9"/>
            </w:tcBorders>
            <w:shd w:val="clear" w:color="auto" w:fill="E9E9E9"/>
          </w:tcPr>
          <w:p>
            <w:pPr>
              <w:spacing w:after="0"/>
              <w:rPr>
                <w:sz w:val="18"/>
                <w:szCs w:val="18"/>
                <w:color w:val="auto"/>
              </w:rPr>
            </w:pPr>
          </w:p>
        </w:tc>
        <w:tc>
          <w:tcPr>
            <w:tcW w:w="154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060" w:type="dxa"/>
            <w:vAlign w:val="bottom"/>
            <w:tcBorders>
              <w:top w:val="single" w:sz="8" w:color="auto"/>
            </w:tcBorders>
            <w:shd w:val="clear" w:color="auto" w:fill="E9E9E9"/>
          </w:tcPr>
          <w:p>
            <w:pPr>
              <w:spacing w:after="0"/>
              <w:rPr>
                <w:sz w:val="18"/>
                <w:szCs w:val="18"/>
                <w:color w:val="auto"/>
              </w:rPr>
            </w:pPr>
          </w:p>
        </w:tc>
        <w:tc>
          <w:tcPr>
            <w:tcW w:w="480" w:type="dxa"/>
            <w:vAlign w:val="bottom"/>
            <w:tcBorders>
              <w:top w:val="single" w:sz="8" w:color="auto"/>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520" w:type="dxa"/>
            <w:vAlign w:val="bottom"/>
            <w:tcBorders>
              <w:top w:val="single" w:sz="8" w:color="auto"/>
            </w:tcBorders>
            <w:shd w:val="clear" w:color="auto" w:fill="E9E9E9"/>
          </w:tcPr>
          <w:p>
            <w:pPr>
              <w:spacing w:after="0"/>
              <w:rPr>
                <w:sz w:val="18"/>
                <w:szCs w:val="18"/>
                <w:color w:val="auto"/>
              </w:rPr>
            </w:pPr>
          </w:p>
        </w:tc>
      </w:tr>
      <w:tr>
        <w:trPr>
          <w:trHeight w:val="225"/>
        </w:trPr>
        <w:tc>
          <w:tcPr>
            <w:tcW w:w="5780" w:type="dxa"/>
            <w:vAlign w:val="bottom"/>
          </w:tcPr>
          <w:p>
            <w:pPr>
              <w:spacing w:after="0" w:line="225" w:lineRule="exact"/>
              <w:rPr>
                <w:sz w:val="20"/>
                <w:szCs w:val="20"/>
                <w:color w:val="auto"/>
              </w:rPr>
            </w:pPr>
            <w:r>
              <w:rPr>
                <w:rFonts w:ascii="Arial" w:cs="Arial" w:eastAsia="Arial" w:hAnsi="Arial"/>
                <w:sz w:val="20"/>
                <w:szCs w:val="20"/>
                <w:color w:val="auto"/>
              </w:rPr>
              <w:t>Cash and cash equivalents</w:t>
            </w:r>
          </w:p>
        </w:tc>
        <w:tc>
          <w:tcPr>
            <w:tcW w:w="1640" w:type="dxa"/>
            <w:vAlign w:val="bottom"/>
            <w:gridSpan w:val="2"/>
          </w:tcPr>
          <w:p>
            <w:pPr>
              <w:jc w:val="center"/>
              <w:ind w:left="11"/>
              <w:spacing w:after="0" w:line="225" w:lineRule="exact"/>
              <w:rPr>
                <w:sz w:val="20"/>
                <w:szCs w:val="20"/>
                <w:color w:val="auto"/>
              </w:rPr>
            </w:pPr>
            <w:r>
              <w:rPr>
                <w:rFonts w:ascii="Arial" w:cs="Arial" w:eastAsia="Arial" w:hAnsi="Arial"/>
                <w:sz w:val="20"/>
                <w:szCs w:val="20"/>
                <w:color w:val="auto"/>
                <w:w w:val="89"/>
              </w:rPr>
              <w:t>0%</w:t>
            </w:r>
          </w:p>
        </w:tc>
        <w:tc>
          <w:tcPr>
            <w:tcW w:w="100" w:type="dxa"/>
            <w:vAlign w:val="bottom"/>
          </w:tcPr>
          <w:p>
            <w:pPr>
              <w:spacing w:after="0"/>
              <w:rPr>
                <w:sz w:val="19"/>
                <w:szCs w:val="19"/>
                <w:color w:val="auto"/>
              </w:rPr>
            </w:pPr>
          </w:p>
        </w:tc>
        <w:tc>
          <w:tcPr>
            <w:tcW w:w="1060" w:type="dxa"/>
            <w:vAlign w:val="bottom"/>
          </w:tcPr>
          <w:p>
            <w:pPr>
              <w:jc w:val="center"/>
              <w:ind w:left="385"/>
              <w:spacing w:after="0" w:line="225" w:lineRule="exact"/>
              <w:rPr>
                <w:sz w:val="20"/>
                <w:szCs w:val="20"/>
                <w:color w:val="auto"/>
              </w:rPr>
            </w:pPr>
            <w:r>
              <w:rPr>
                <w:rFonts w:ascii="Arial" w:cs="Arial" w:eastAsia="Arial" w:hAnsi="Arial"/>
                <w:sz w:val="20"/>
                <w:szCs w:val="20"/>
                <w:color w:val="auto"/>
                <w:w w:val="89"/>
              </w:rPr>
              <w:t>1%</w:t>
            </w:r>
          </w:p>
        </w:tc>
        <w:tc>
          <w:tcPr>
            <w:tcW w:w="2100" w:type="dxa"/>
            <w:vAlign w:val="bottom"/>
            <w:gridSpan w:val="4"/>
          </w:tcPr>
          <w:p>
            <w:pPr>
              <w:jc w:val="center"/>
              <w:ind w:left="516"/>
              <w:spacing w:after="0" w:line="225" w:lineRule="exact"/>
              <w:rPr>
                <w:sz w:val="20"/>
                <w:szCs w:val="20"/>
                <w:color w:val="auto"/>
              </w:rPr>
            </w:pPr>
            <w:r>
              <w:rPr>
                <w:rFonts w:ascii="Arial" w:cs="Arial" w:eastAsia="Arial" w:hAnsi="Arial"/>
                <w:sz w:val="20"/>
                <w:szCs w:val="20"/>
                <w:color w:val="auto"/>
                <w:w w:val="89"/>
              </w:rPr>
              <w:t>2%</w:t>
            </w: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Equity securities</w:t>
            </w:r>
          </w:p>
        </w:tc>
        <w:tc>
          <w:tcPr>
            <w:tcW w:w="100" w:type="dxa"/>
            <w:vAlign w:val="bottom"/>
            <w:shd w:val="clear" w:color="auto" w:fill="E9E9E9"/>
          </w:tcPr>
          <w:p>
            <w:pPr>
              <w:spacing w:after="0"/>
              <w:rPr>
                <w:sz w:val="19"/>
                <w:szCs w:val="19"/>
                <w:color w:val="auto"/>
              </w:rPr>
            </w:pPr>
          </w:p>
        </w:tc>
        <w:tc>
          <w:tcPr>
            <w:tcW w:w="1540" w:type="dxa"/>
            <w:vAlign w:val="bottom"/>
            <w:shd w:val="clear" w:color="auto" w:fill="E9E9E9"/>
          </w:tcPr>
          <w:p>
            <w:pPr>
              <w:jc w:val="center"/>
              <w:spacing w:after="0" w:line="228" w:lineRule="exact"/>
              <w:rPr>
                <w:sz w:val="20"/>
                <w:szCs w:val="20"/>
                <w:color w:val="auto"/>
              </w:rPr>
            </w:pPr>
            <w:r>
              <w:rPr>
                <w:rFonts w:ascii="Arial" w:cs="Arial" w:eastAsia="Arial" w:hAnsi="Arial"/>
                <w:sz w:val="20"/>
                <w:szCs w:val="20"/>
                <w:color w:val="auto"/>
                <w:w w:val="89"/>
              </w:rPr>
              <w:t>70%</w:t>
            </w:r>
          </w:p>
        </w:tc>
        <w:tc>
          <w:tcPr>
            <w:tcW w:w="100" w:type="dxa"/>
            <w:vAlign w:val="bottom"/>
            <w:shd w:val="clear" w:color="auto" w:fill="E9E9E9"/>
          </w:tcPr>
          <w:p>
            <w:pPr>
              <w:spacing w:after="0"/>
              <w:rPr>
                <w:sz w:val="19"/>
                <w:szCs w:val="19"/>
                <w:color w:val="auto"/>
              </w:rPr>
            </w:pPr>
          </w:p>
        </w:tc>
        <w:tc>
          <w:tcPr>
            <w:tcW w:w="1060" w:type="dxa"/>
            <w:vAlign w:val="bottom"/>
            <w:shd w:val="clear" w:color="auto" w:fill="E9E9E9"/>
          </w:tcPr>
          <w:p>
            <w:pPr>
              <w:jc w:val="center"/>
              <w:ind w:left="385"/>
              <w:spacing w:after="0" w:line="228" w:lineRule="exact"/>
              <w:rPr>
                <w:sz w:val="20"/>
                <w:szCs w:val="20"/>
                <w:color w:val="auto"/>
              </w:rPr>
            </w:pPr>
            <w:r>
              <w:rPr>
                <w:rFonts w:ascii="Arial" w:cs="Arial" w:eastAsia="Arial" w:hAnsi="Arial"/>
                <w:sz w:val="20"/>
                <w:szCs w:val="20"/>
                <w:color w:val="auto"/>
                <w:w w:val="94"/>
              </w:rPr>
              <w:t>76%</w:t>
            </w:r>
          </w:p>
        </w:tc>
        <w:tc>
          <w:tcPr>
            <w:tcW w:w="4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540" w:type="dxa"/>
            <w:vAlign w:val="bottom"/>
            <w:gridSpan w:val="2"/>
            <w:shd w:val="clear" w:color="auto" w:fill="E9E9E9"/>
          </w:tcPr>
          <w:p>
            <w:pPr>
              <w:jc w:val="center"/>
              <w:spacing w:after="0" w:line="228" w:lineRule="exact"/>
              <w:rPr>
                <w:sz w:val="20"/>
                <w:szCs w:val="20"/>
                <w:color w:val="auto"/>
              </w:rPr>
            </w:pPr>
            <w:r>
              <w:rPr>
                <w:rFonts w:ascii="Arial" w:cs="Arial" w:eastAsia="Arial" w:hAnsi="Arial"/>
                <w:sz w:val="20"/>
                <w:szCs w:val="20"/>
                <w:color w:val="auto"/>
                <w:w w:val="89"/>
              </w:rPr>
              <w:t>73%</w:t>
            </w:r>
          </w:p>
        </w:tc>
      </w:tr>
      <w:tr>
        <w:trPr>
          <w:trHeight w:val="228"/>
        </w:trPr>
        <w:tc>
          <w:tcPr>
            <w:tcW w:w="5780" w:type="dxa"/>
            <w:vAlign w:val="bottom"/>
            <w:tcBorders>
              <w:bottom w:val="single" w:sz="8" w:color="E9E9E9"/>
            </w:tcBorders>
          </w:tcPr>
          <w:p>
            <w:pPr>
              <w:spacing w:after="0" w:line="228" w:lineRule="exact"/>
              <w:rPr>
                <w:sz w:val="20"/>
                <w:szCs w:val="20"/>
                <w:color w:val="auto"/>
              </w:rPr>
            </w:pPr>
            <w:r>
              <w:rPr>
                <w:rFonts w:ascii="Arial" w:cs="Arial" w:eastAsia="Arial" w:hAnsi="Arial"/>
                <w:sz w:val="20"/>
                <w:szCs w:val="20"/>
                <w:color w:val="auto"/>
              </w:rPr>
              <w:t>Debt securities</w:t>
            </w:r>
          </w:p>
        </w:tc>
        <w:tc>
          <w:tcPr>
            <w:tcW w:w="100" w:type="dxa"/>
            <w:vAlign w:val="bottom"/>
            <w:tcBorders>
              <w:bottom w:val="single" w:sz="8" w:color="E9E9E9"/>
            </w:tcBorders>
          </w:tcPr>
          <w:p>
            <w:pPr>
              <w:spacing w:after="0"/>
              <w:rPr>
                <w:sz w:val="19"/>
                <w:szCs w:val="19"/>
                <w:color w:val="auto"/>
              </w:rPr>
            </w:pPr>
          </w:p>
        </w:tc>
        <w:tc>
          <w:tcPr>
            <w:tcW w:w="154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30%</w:t>
            </w:r>
          </w:p>
        </w:tc>
        <w:tc>
          <w:tcPr>
            <w:tcW w:w="100" w:type="dxa"/>
            <w:vAlign w:val="bottom"/>
            <w:tcBorders>
              <w:bottom w:val="single" w:sz="8" w:color="E9E9E9"/>
            </w:tcBorders>
          </w:tcPr>
          <w:p>
            <w:pPr>
              <w:spacing w:after="0"/>
              <w:rPr>
                <w:sz w:val="19"/>
                <w:szCs w:val="19"/>
                <w:color w:val="auto"/>
              </w:rPr>
            </w:pPr>
          </w:p>
        </w:tc>
        <w:tc>
          <w:tcPr>
            <w:tcW w:w="1060" w:type="dxa"/>
            <w:vAlign w:val="bottom"/>
            <w:tcBorders>
              <w:bottom w:val="single" w:sz="8" w:color="auto"/>
            </w:tcBorders>
          </w:tcPr>
          <w:p>
            <w:pPr>
              <w:jc w:val="center"/>
              <w:ind w:left="385"/>
              <w:spacing w:after="0" w:line="228" w:lineRule="exact"/>
              <w:rPr>
                <w:sz w:val="20"/>
                <w:szCs w:val="20"/>
                <w:color w:val="auto"/>
              </w:rPr>
            </w:pPr>
            <w:r>
              <w:rPr>
                <w:rFonts w:ascii="Arial" w:cs="Arial" w:eastAsia="Arial" w:hAnsi="Arial"/>
                <w:sz w:val="20"/>
                <w:szCs w:val="20"/>
                <w:color w:val="auto"/>
                <w:w w:val="94"/>
              </w:rPr>
              <w:t>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E9E9E9"/>
            </w:tcBorders>
            <w:gridSpan w:val="2"/>
          </w:tcPr>
          <w:p>
            <w:pPr>
              <w:spacing w:after="0"/>
              <w:rPr>
                <w:sz w:val="19"/>
                <w:szCs w:val="19"/>
                <w:color w:val="auto"/>
              </w:rPr>
            </w:pPr>
          </w:p>
        </w:tc>
        <w:tc>
          <w:tcPr>
            <w:tcW w:w="152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25%</w:t>
            </w:r>
          </w:p>
        </w:tc>
      </w:tr>
      <w:tr>
        <w:trPr>
          <w:trHeight w:val="219"/>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Total</w:t>
            </w:r>
          </w:p>
        </w:tc>
        <w:tc>
          <w:tcPr>
            <w:tcW w:w="100" w:type="dxa"/>
            <w:vAlign w:val="bottom"/>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center"/>
              <w:spacing w:after="0" w:line="217" w:lineRule="exact"/>
              <w:rPr>
                <w:sz w:val="20"/>
                <w:szCs w:val="20"/>
                <w:color w:val="auto"/>
              </w:rPr>
            </w:pPr>
            <w:r>
              <w:rPr>
                <w:rFonts w:ascii="Arial" w:cs="Arial" w:eastAsia="Arial" w:hAnsi="Arial"/>
                <w:sz w:val="20"/>
                <w:szCs w:val="20"/>
                <w:color w:val="auto"/>
                <w:w w:val="89"/>
              </w:rPr>
              <w:t>100%</w:t>
            </w:r>
          </w:p>
        </w:tc>
        <w:tc>
          <w:tcPr>
            <w:tcW w:w="100" w:type="dxa"/>
            <w:vAlign w:val="bottom"/>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center"/>
              <w:ind w:left="385"/>
              <w:spacing w:after="0" w:line="217" w:lineRule="exact"/>
              <w:rPr>
                <w:sz w:val="20"/>
                <w:szCs w:val="20"/>
                <w:color w:val="auto"/>
              </w:rPr>
            </w:pPr>
            <w:r>
              <w:rPr>
                <w:rFonts w:ascii="Arial" w:cs="Arial" w:eastAsia="Arial" w:hAnsi="Arial"/>
                <w:sz w:val="20"/>
                <w:szCs w:val="20"/>
                <w:color w:val="auto"/>
                <w:w w:val="89"/>
              </w:rPr>
              <w:t>100%</w:t>
            </w:r>
          </w:p>
        </w:tc>
        <w:tc>
          <w:tcPr>
            <w:tcW w:w="48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540" w:type="dxa"/>
            <w:vAlign w:val="bottom"/>
            <w:tcBorders>
              <w:bottom w:val="single" w:sz="8" w:color="auto"/>
            </w:tcBorders>
            <w:gridSpan w:val="2"/>
            <w:shd w:val="clear" w:color="auto" w:fill="E9E9E9"/>
          </w:tcPr>
          <w:p>
            <w:pPr>
              <w:jc w:val="center"/>
              <w:spacing w:after="0" w:line="217" w:lineRule="exact"/>
              <w:rPr>
                <w:sz w:val="20"/>
                <w:szCs w:val="20"/>
                <w:color w:val="auto"/>
              </w:rPr>
            </w:pPr>
            <w:r>
              <w:rPr>
                <w:rFonts w:ascii="Arial" w:cs="Arial" w:eastAsia="Arial" w:hAnsi="Arial"/>
                <w:sz w:val="20"/>
                <w:szCs w:val="20"/>
                <w:color w:val="auto"/>
                <w:w w:val="89"/>
              </w:rPr>
              <w:t>100%</w:t>
            </w: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340"/>
        <w:spacing w:after="0" w:line="232" w:lineRule="auto"/>
        <w:rPr>
          <w:sz w:val="20"/>
          <w:szCs w:val="20"/>
          <w:color w:val="auto"/>
        </w:rPr>
      </w:pPr>
      <w:r>
        <w:rPr>
          <w:rFonts w:ascii="Arial" w:cs="Arial" w:eastAsia="Arial" w:hAnsi="Arial"/>
          <w:sz w:val="20"/>
          <w:szCs w:val="20"/>
          <w:color w:val="auto"/>
        </w:rPr>
        <w:t>Estimated pension plan cash obligations are $2.1 million annually for 2024 through 2028, and a total of $10.0 million for the years 2029 through 2033.</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Measurements of Pension Plan Assets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description of the valuation methodologies used for pension assets measured at fair value:</w:t>
      </w:r>
    </w:p>
    <w:p>
      <w:pPr>
        <w:spacing w:after="0" w:line="248" w:lineRule="exact"/>
        <w:rPr>
          <w:sz w:val="20"/>
          <w:szCs w:val="20"/>
          <w:color w:val="auto"/>
        </w:rPr>
      </w:pPr>
    </w:p>
    <w:p>
      <w:pPr>
        <w:ind w:right="440"/>
        <w:spacing w:after="0" w:line="232" w:lineRule="auto"/>
        <w:rPr>
          <w:sz w:val="20"/>
          <w:szCs w:val="20"/>
          <w:color w:val="auto"/>
        </w:rPr>
      </w:pPr>
      <w:r>
        <w:rPr>
          <w:rFonts w:ascii="Arial" w:cs="Arial" w:eastAsia="Arial" w:hAnsi="Arial"/>
          <w:sz w:val="20"/>
          <w:szCs w:val="20"/>
          <w:u w:val="single" w:color="auto"/>
          <w:color w:val="auto"/>
        </w:rPr>
        <w:t>Cash and cash equivalents</w:t>
      </w:r>
      <w:r>
        <w:rPr>
          <w:rFonts w:ascii="Arial" w:cs="Arial" w:eastAsia="Arial" w:hAnsi="Arial"/>
          <w:sz w:val="20"/>
          <w:szCs w:val="20"/>
          <w:color w:val="auto"/>
        </w:rPr>
        <w:t>: Cash and cash equivalents consist primarily of cash on deposit in money market funds. Cash and cash equivalents are stated at cost, which approximates fair value.</w:t>
      </w:r>
    </w:p>
    <w:p>
      <w:pPr>
        <w:spacing w:after="0" w:line="249" w:lineRule="exact"/>
        <w:rPr>
          <w:sz w:val="20"/>
          <w:szCs w:val="20"/>
          <w:color w:val="auto"/>
        </w:rPr>
      </w:pPr>
    </w:p>
    <w:p>
      <w:pPr>
        <w:spacing w:after="0" w:line="233" w:lineRule="auto"/>
        <w:rPr>
          <w:sz w:val="20"/>
          <w:szCs w:val="20"/>
          <w:color w:val="auto"/>
        </w:rPr>
      </w:pPr>
      <w:r>
        <w:rPr>
          <w:rFonts w:ascii="Arial" w:cs="Arial" w:eastAsia="Arial" w:hAnsi="Arial"/>
          <w:sz w:val="20"/>
          <w:szCs w:val="20"/>
          <w:u w:val="single" w:color="auto"/>
          <w:color w:val="auto"/>
        </w:rPr>
        <w:t>Equity securities</w:t>
      </w:r>
      <w:r>
        <w:rPr>
          <w:rFonts w:ascii="Arial" w:cs="Arial" w:eastAsia="Arial" w:hAnsi="Arial"/>
          <w:sz w:val="20"/>
          <w:szCs w:val="20"/>
          <w:color w:val="auto"/>
        </w:rPr>
        <w:t>: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250" w:lineRule="exact"/>
        <w:rPr>
          <w:sz w:val="20"/>
          <w:szCs w:val="20"/>
          <w:color w:val="auto"/>
        </w:rPr>
      </w:pPr>
    </w:p>
    <w:p>
      <w:pPr>
        <w:ind w:right="100"/>
        <w:spacing w:after="0" w:line="249" w:lineRule="auto"/>
        <w:rPr>
          <w:sz w:val="20"/>
          <w:szCs w:val="20"/>
          <w:color w:val="auto"/>
        </w:rPr>
      </w:pPr>
      <w:r>
        <w:rPr>
          <w:rFonts w:ascii="Arial" w:cs="Arial" w:eastAsia="Arial" w:hAnsi="Arial"/>
          <w:sz w:val="19"/>
          <w:szCs w:val="19"/>
          <w:u w:val="single" w:color="auto"/>
          <w:color w:val="auto"/>
        </w:rPr>
        <w:t>Debt securities</w:t>
      </w:r>
      <w:r>
        <w:rPr>
          <w:rFonts w:ascii="Arial" w:cs="Arial" w:eastAsia="Arial" w:hAnsi="Arial"/>
          <w:sz w:val="19"/>
          <w:szCs w:val="19"/>
          <w:color w:val="auto"/>
        </w:rPr>
        <w:t>: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pacing w:after="0" w:line="245" w:lineRule="exact"/>
        <w:rPr>
          <w:sz w:val="20"/>
          <w:szCs w:val="20"/>
          <w:color w:val="auto"/>
        </w:rPr>
      </w:pPr>
    </w:p>
    <w:p>
      <w:pPr>
        <w:ind w:right="160"/>
        <w:spacing w:after="0" w:line="249" w:lineRule="auto"/>
        <w:rPr>
          <w:sz w:val="20"/>
          <w:szCs w:val="20"/>
          <w:color w:val="auto"/>
        </w:rPr>
      </w:pPr>
      <w:r>
        <w:rPr>
          <w:rFonts w:ascii="Arial" w:cs="Arial" w:eastAsia="Arial" w:hAnsi="Arial"/>
          <w:sz w:val="19"/>
          <w:szCs w:val="19"/>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41" w:lineRule="exact"/>
        <w:rPr>
          <w:sz w:val="20"/>
          <w:szCs w:val="20"/>
          <w:color w:val="auto"/>
        </w:rPr>
      </w:pPr>
    </w:p>
    <w:p>
      <w:pPr>
        <w:ind w:right="240"/>
        <w:spacing w:after="0" w:line="249" w:lineRule="auto"/>
        <w:rPr>
          <w:sz w:val="20"/>
          <w:szCs w:val="20"/>
          <w:color w:val="auto"/>
        </w:rPr>
      </w:pPr>
      <w:r>
        <w:rPr>
          <w:rFonts w:ascii="Arial" w:cs="Arial" w:eastAsia="Arial" w:hAnsi="Arial"/>
          <w:sz w:val="19"/>
          <w:szCs w:val="19"/>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The levels assigned to the defined benefit plan assets as of December 31, 2023, are summarized in the tables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65"/>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26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260"/>
              <w:spacing w:after="0"/>
              <w:rPr>
                <w:sz w:val="20"/>
                <w:szCs w:val="20"/>
                <w:color w:val="auto"/>
              </w:rPr>
            </w:pPr>
            <w:r>
              <w:rPr>
                <w:rFonts w:ascii="Arial" w:cs="Arial" w:eastAsia="Arial" w:hAnsi="Arial"/>
                <w:sz w:val="16"/>
                <w:szCs w:val="16"/>
                <w:b w:val="1"/>
                <w:bCs w:val="1"/>
                <w:color w:val="auto"/>
                <w:w w:val="99"/>
              </w:rPr>
              <w:t>Level 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r>
      <w:tr>
        <w:trPr>
          <w:trHeight w:val="218"/>
        </w:trPr>
        <w:tc>
          <w:tcPr>
            <w:tcW w:w="49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Pension assets, at fair value:</w:t>
            </w: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10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840" w:type="dxa"/>
            <w:vAlign w:val="bottom"/>
            <w:tcBorders>
              <w:top w:val="single" w:sz="8" w:color="auto"/>
            </w:tcBorders>
            <w:shd w:val="clear" w:color="auto" w:fill="E9E9E9"/>
          </w:tcPr>
          <w:p>
            <w:pPr>
              <w:spacing w:after="0"/>
              <w:rPr>
                <w:sz w:val="18"/>
                <w:szCs w:val="18"/>
                <w:color w:val="auto"/>
              </w:rPr>
            </w:pPr>
          </w:p>
        </w:tc>
        <w:tc>
          <w:tcPr>
            <w:tcW w:w="28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820" w:type="dxa"/>
            <w:vAlign w:val="bottom"/>
            <w:tcBorders>
              <w:top w:val="single" w:sz="8" w:color="auto"/>
            </w:tcBorders>
            <w:shd w:val="clear" w:color="auto" w:fill="E9E9E9"/>
          </w:tcPr>
          <w:p>
            <w:pPr>
              <w:spacing w:after="0"/>
              <w:rPr>
                <w:sz w:val="18"/>
                <w:szCs w:val="18"/>
                <w:color w:val="auto"/>
              </w:rPr>
            </w:pPr>
          </w:p>
        </w:tc>
        <w:tc>
          <w:tcPr>
            <w:tcW w:w="280" w:type="dxa"/>
            <w:vAlign w:val="bottom"/>
            <w:tcBorders>
              <w:top w:val="single" w:sz="8" w:color="auto"/>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10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4960" w:type="dxa"/>
            <w:vAlign w:val="bottom"/>
          </w:tcPr>
          <w:p>
            <w:pPr>
              <w:ind w:left="200"/>
              <w:spacing w:after="0" w:line="228" w:lineRule="exact"/>
              <w:rPr>
                <w:sz w:val="20"/>
                <w:szCs w:val="20"/>
                <w:color w:val="auto"/>
              </w:rPr>
            </w:pPr>
            <w:r>
              <w:rPr>
                <w:rFonts w:ascii="Arial" w:cs="Arial" w:eastAsia="Arial" w:hAnsi="Arial"/>
                <w:sz w:val="20"/>
                <w:szCs w:val="20"/>
                <w:color w:val="auto"/>
              </w:rPr>
              <w:t>Cash and cash equivalents</w:t>
            </w:r>
          </w:p>
        </w:tc>
        <w:tc>
          <w:tcPr>
            <w:tcW w:w="2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8" w:lineRule="exact"/>
              <w:rPr>
                <w:sz w:val="20"/>
                <w:szCs w:val="20"/>
                <w:color w:val="auto"/>
              </w:rPr>
            </w:pPr>
            <w:r>
              <w:rPr>
                <w:rFonts w:ascii="Arial" w:cs="Arial" w:eastAsia="Arial" w:hAnsi="Arial"/>
                <w:sz w:val="20"/>
                <w:szCs w:val="20"/>
                <w:color w:val="auto"/>
              </w:rPr>
              <w:t>311</w:t>
            </w:r>
          </w:p>
        </w:tc>
        <w:tc>
          <w:tcPr>
            <w:tcW w:w="32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w:t>
            </w:r>
          </w:p>
        </w:tc>
        <w:tc>
          <w:tcPr>
            <w:tcW w:w="840" w:type="dxa"/>
            <w:vAlign w:val="bottom"/>
          </w:tcPr>
          <w:p>
            <w:pPr>
              <w:spacing w:after="0"/>
              <w:rPr>
                <w:sz w:val="19"/>
                <w:szCs w:val="19"/>
                <w:color w:val="auto"/>
              </w:rPr>
            </w:pPr>
          </w:p>
        </w:tc>
        <w:tc>
          <w:tcPr>
            <w:tcW w:w="280" w:type="dxa"/>
            <w:vAlign w:val="bottom"/>
          </w:tcPr>
          <w:p>
            <w:pPr>
              <w:ind w:left="80"/>
              <w:spacing w:after="0" w:line="228" w:lineRule="exact"/>
              <w:rPr>
                <w:sz w:val="20"/>
                <w:szCs w:val="20"/>
                <w:color w:val="auto"/>
              </w:rPr>
            </w:pPr>
            <w:r>
              <w:rPr>
                <w:rFonts w:ascii="Arial" w:cs="Arial" w:eastAsia="Arial" w:hAnsi="Arial"/>
                <w:sz w:val="20"/>
                <w:szCs w:val="20"/>
                <w:color w:val="auto"/>
                <w:w w:val="89"/>
              </w:rPr>
              <w:t>—</w:t>
            </w:r>
          </w:p>
        </w:tc>
        <w:tc>
          <w:tcPr>
            <w:tcW w:w="32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spacing w:after="0"/>
              <w:rPr>
                <w:sz w:val="19"/>
                <w:szCs w:val="19"/>
                <w:color w:val="auto"/>
              </w:rPr>
            </w:pPr>
          </w:p>
        </w:tc>
        <w:tc>
          <w:tcPr>
            <w:tcW w:w="400" w:type="dxa"/>
            <w:vAlign w:val="bottom"/>
            <w:gridSpan w:val="2"/>
          </w:tcPr>
          <w:p>
            <w:pPr>
              <w:ind w:left="80"/>
              <w:spacing w:after="0" w:line="228" w:lineRule="exact"/>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311</w:t>
            </w:r>
          </w:p>
        </w:tc>
      </w:tr>
      <w:tr>
        <w:trPr>
          <w:trHeight w:val="228"/>
        </w:trPr>
        <w:tc>
          <w:tcPr>
            <w:tcW w:w="496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Equity securities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17,233</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280" w:type="dxa"/>
            <w:vAlign w:val="bottom"/>
            <w:shd w:val="clear" w:color="auto" w:fill="E9E9E9"/>
          </w:tcPr>
          <w:p>
            <w:pPr>
              <w:ind w:left="80"/>
              <w:spacing w:after="0" w:line="228" w:lineRule="exact"/>
              <w:rPr>
                <w:sz w:val="20"/>
                <w:szCs w:val="20"/>
                <w:color w:val="auto"/>
              </w:rPr>
            </w:pPr>
            <w:r>
              <w:rPr>
                <w:rFonts w:ascii="Arial" w:cs="Arial" w:eastAsia="Arial" w:hAnsi="Arial"/>
                <w:sz w:val="20"/>
                <w:szCs w:val="20"/>
                <w:color w:val="auto"/>
                <w:w w:val="89"/>
              </w:rPr>
              <w:t>—</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820" w:type="dxa"/>
            <w:vAlign w:val="bottom"/>
            <w:shd w:val="clear" w:color="auto" w:fill="E9E9E9"/>
          </w:tcPr>
          <w:p>
            <w:pPr>
              <w:spacing w:after="0"/>
              <w:rPr>
                <w:sz w:val="19"/>
                <w:szCs w:val="19"/>
                <w:color w:val="auto"/>
              </w:rPr>
            </w:pPr>
          </w:p>
        </w:tc>
        <w:tc>
          <w:tcPr>
            <w:tcW w:w="280" w:type="dxa"/>
            <w:vAlign w:val="bottom"/>
            <w:shd w:val="clear" w:color="auto" w:fill="E9E9E9"/>
          </w:tcPr>
          <w:p>
            <w:pPr>
              <w:ind w:left="80"/>
              <w:spacing w:after="0" w:line="228" w:lineRule="exact"/>
              <w:rPr>
                <w:sz w:val="20"/>
                <w:szCs w:val="20"/>
                <w:color w:val="auto"/>
              </w:rPr>
            </w:pPr>
            <w:r>
              <w:rPr>
                <w:rFonts w:ascii="Arial" w:cs="Arial" w:eastAsia="Arial" w:hAnsi="Arial"/>
                <w:sz w:val="20"/>
                <w:szCs w:val="20"/>
                <w:color w:val="auto"/>
                <w:w w:val="89"/>
              </w:rPr>
              <w:t>—</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17,233</w:t>
            </w:r>
          </w:p>
        </w:tc>
        <w:tc>
          <w:tcPr>
            <w:tcW w:w="100" w:type="dxa"/>
            <w:vAlign w:val="bottom"/>
            <w:shd w:val="clear" w:color="auto" w:fill="E9E9E9"/>
          </w:tcPr>
          <w:p>
            <w:pPr>
              <w:spacing w:after="0"/>
              <w:rPr>
                <w:sz w:val="19"/>
                <w:szCs w:val="19"/>
                <w:color w:val="auto"/>
              </w:rPr>
            </w:pPr>
          </w:p>
        </w:tc>
      </w:tr>
      <w:tr>
        <w:trPr>
          <w:trHeight w:val="228"/>
        </w:trPr>
        <w:tc>
          <w:tcPr>
            <w:tcW w:w="4960" w:type="dxa"/>
            <w:vAlign w:val="bottom"/>
            <w:tcBorders>
              <w:bottom w:val="single" w:sz="8" w:color="E9E9E9"/>
            </w:tcBorders>
          </w:tcPr>
          <w:p>
            <w:pPr>
              <w:ind w:left="200"/>
              <w:spacing w:after="0" w:line="228" w:lineRule="exact"/>
              <w:rPr>
                <w:sz w:val="20"/>
                <w:szCs w:val="20"/>
                <w:color w:val="auto"/>
              </w:rPr>
            </w:pPr>
            <w:r>
              <w:rPr>
                <w:rFonts w:ascii="Arial" w:cs="Arial" w:eastAsia="Arial" w:hAnsi="Arial"/>
                <w:sz w:val="20"/>
                <w:szCs w:val="20"/>
                <w:color w:val="auto"/>
              </w:rPr>
              <w:t>Debt securities</w:t>
            </w:r>
          </w:p>
        </w:tc>
        <w:tc>
          <w:tcPr>
            <w:tcW w:w="10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5,102</w:t>
            </w:r>
          </w:p>
        </w:tc>
        <w:tc>
          <w:tcPr>
            <w:tcW w:w="20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line="228" w:lineRule="exact"/>
              <w:rPr>
                <w:sz w:val="20"/>
                <w:szCs w:val="20"/>
                <w:color w:val="auto"/>
              </w:rPr>
            </w:pPr>
            <w:r>
              <w:rPr>
                <w:rFonts w:ascii="Arial" w:cs="Arial" w:eastAsia="Arial" w:hAnsi="Arial"/>
                <w:sz w:val="20"/>
                <w:szCs w:val="20"/>
                <w:color w:val="auto"/>
                <w:w w:val="89"/>
              </w:rPr>
              <w:t>—</w:t>
            </w:r>
          </w:p>
        </w:tc>
        <w:tc>
          <w:tcPr>
            <w:tcW w:w="20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line="228" w:lineRule="exact"/>
              <w:rPr>
                <w:sz w:val="20"/>
                <w:szCs w:val="20"/>
                <w:color w:val="auto"/>
              </w:rPr>
            </w:pPr>
            <w:r>
              <w:rPr>
                <w:rFonts w:ascii="Arial" w:cs="Arial" w:eastAsia="Arial" w:hAnsi="Arial"/>
                <w:sz w:val="20"/>
                <w:szCs w:val="20"/>
                <w:color w:val="auto"/>
                <w:w w:val="89"/>
              </w:rPr>
              <w:t>—</w:t>
            </w:r>
          </w:p>
        </w:tc>
        <w:tc>
          <w:tcPr>
            <w:tcW w:w="120" w:type="dxa"/>
            <w:vAlign w:val="bottom"/>
            <w:tcBorders>
              <w:bottom w:val="single" w:sz="8" w:color="E9E9E9"/>
            </w:tcBorders>
          </w:tcPr>
          <w:p>
            <w:pPr>
              <w:spacing w:after="0"/>
              <w:rPr>
                <w:sz w:val="19"/>
                <w:szCs w:val="19"/>
                <w:color w:val="auto"/>
              </w:rPr>
            </w:pPr>
          </w:p>
        </w:tc>
        <w:tc>
          <w:tcPr>
            <w:tcW w:w="10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5,102</w:t>
            </w:r>
          </w:p>
        </w:tc>
        <w:tc>
          <w:tcPr>
            <w:tcW w:w="100" w:type="dxa"/>
            <w:vAlign w:val="bottom"/>
            <w:tcBorders>
              <w:bottom w:val="single" w:sz="8" w:color="E9E9E9"/>
            </w:tcBorders>
          </w:tcPr>
          <w:p>
            <w:pPr>
              <w:spacing w:after="0"/>
              <w:rPr>
                <w:sz w:val="19"/>
                <w:szCs w:val="19"/>
                <w:color w:val="auto"/>
              </w:rPr>
            </w:pPr>
          </w:p>
        </w:tc>
      </w:tr>
      <w:tr>
        <w:trPr>
          <w:trHeight w:val="219"/>
        </w:trPr>
        <w:tc>
          <w:tcPr>
            <w:tcW w:w="4960" w:type="dxa"/>
            <w:vAlign w:val="bottom"/>
            <w:shd w:val="clear" w:color="auto" w:fill="E9E9E9"/>
          </w:tcPr>
          <w:p>
            <w:pPr>
              <w:ind w:left="400"/>
              <w:spacing w:after="0" w:line="217" w:lineRule="exact"/>
              <w:rPr>
                <w:sz w:val="20"/>
                <w:szCs w:val="20"/>
                <w:color w:val="auto"/>
              </w:rPr>
            </w:pPr>
            <w:r>
              <w:rPr>
                <w:rFonts w:ascii="Arial" w:cs="Arial" w:eastAsia="Arial" w:hAnsi="Arial"/>
                <w:sz w:val="20"/>
                <w:szCs w:val="20"/>
                <w:color w:val="auto"/>
              </w:rPr>
              <w:t>Total assets</w:t>
            </w: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22,646</w:t>
            </w:r>
          </w:p>
        </w:tc>
        <w:tc>
          <w:tcPr>
            <w:tcW w:w="2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ind w:left="80"/>
              <w:spacing w:after="0" w:line="217" w:lineRule="exact"/>
              <w:rPr>
                <w:sz w:val="20"/>
                <w:szCs w:val="20"/>
                <w:color w:val="auto"/>
              </w:rPr>
            </w:pPr>
            <w:r>
              <w:rPr>
                <w:rFonts w:ascii="Arial" w:cs="Arial" w:eastAsia="Arial" w:hAnsi="Arial"/>
                <w:sz w:val="20"/>
                <w:szCs w:val="20"/>
                <w:color w:val="auto"/>
                <w:w w:val="89"/>
              </w:rPr>
              <w:t>—</w:t>
            </w:r>
          </w:p>
        </w:tc>
        <w:tc>
          <w:tcPr>
            <w:tcW w:w="2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ind w:left="80"/>
              <w:spacing w:after="0" w:line="217" w:lineRule="exact"/>
              <w:rPr>
                <w:sz w:val="20"/>
                <w:szCs w:val="20"/>
                <w:color w:val="auto"/>
              </w:rPr>
            </w:pPr>
            <w:r>
              <w:rPr>
                <w:rFonts w:ascii="Arial" w:cs="Arial" w:eastAsia="Arial" w:hAnsi="Arial"/>
                <w:sz w:val="20"/>
                <w:szCs w:val="20"/>
                <w:color w:val="auto"/>
                <w:w w:val="89"/>
              </w:rPr>
              <w:t>—</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22,646</w:t>
            </w:r>
          </w:p>
        </w:tc>
        <w:tc>
          <w:tcPr>
            <w:tcW w:w="100" w:type="dxa"/>
            <w:vAlign w:val="bottom"/>
            <w:shd w:val="clear" w:color="auto" w:fill="E9E9E9"/>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ectPr>
          <w:pgSz w:w="11880" w:h="15480" w:orient="portrait"/>
          <w:cols w:equalWidth="0" w:num="1">
            <w:col w:w="10680"/>
          </w:cols>
          <w:pgMar w:left="600" w:top="849" w:right="600" w:bottom="46"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The levels assigned to the defined benefit plan assets as of December 31, 2022, are summarized in the tables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20"/>
                <w:szCs w:val="20"/>
                <w:color w:val="auto"/>
              </w:rPr>
            </w:pPr>
            <w:r>
              <w:rPr>
                <w:rFonts w:ascii="Arial" w:cs="Arial" w:eastAsia="Arial" w:hAnsi="Arial"/>
                <w:sz w:val="16"/>
                <w:szCs w:val="16"/>
                <w:b w:val="1"/>
                <w:bCs w:val="1"/>
                <w:color w:val="auto"/>
              </w:rPr>
              <w:t>(table only in thousands)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ind w:left="180"/>
              <w:spacing w:after="0"/>
              <w:rPr>
                <w:sz w:val="20"/>
                <w:szCs w:val="20"/>
                <w:color w:val="auto"/>
              </w:rPr>
            </w:pPr>
            <w:r>
              <w:rPr>
                <w:rFonts w:ascii="Arial" w:cs="Arial" w:eastAsia="Arial" w:hAnsi="Arial"/>
                <w:sz w:val="16"/>
                <w:szCs w:val="16"/>
                <w:b w:val="1"/>
                <w:bCs w:val="1"/>
                <w:color w:val="auto"/>
                <w:w w:val="95"/>
              </w:rPr>
              <w:t>Level 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r>
      <w:tr>
        <w:trPr>
          <w:trHeight w:val="218"/>
        </w:trPr>
        <w:tc>
          <w:tcPr>
            <w:tcW w:w="546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Pension assets, at fair value:</w:t>
            </w: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8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98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720" w:type="dxa"/>
            <w:vAlign w:val="bottom"/>
            <w:tcBorders>
              <w:top w:val="single" w:sz="8" w:color="auto"/>
            </w:tcBorders>
            <w:shd w:val="clear" w:color="auto" w:fill="E9E9E9"/>
          </w:tcPr>
          <w:p>
            <w:pPr>
              <w:spacing w:after="0"/>
              <w:rPr>
                <w:sz w:val="18"/>
                <w:szCs w:val="18"/>
                <w:color w:val="auto"/>
              </w:rPr>
            </w:pPr>
          </w:p>
        </w:tc>
        <w:tc>
          <w:tcPr>
            <w:tcW w:w="26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8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5460" w:type="dxa"/>
            <w:vAlign w:val="bottom"/>
          </w:tcPr>
          <w:p>
            <w:pPr>
              <w:ind w:left="200"/>
              <w:spacing w:after="0" w:line="228" w:lineRule="exact"/>
              <w:rPr>
                <w:sz w:val="20"/>
                <w:szCs w:val="20"/>
                <w:color w:val="auto"/>
              </w:rPr>
            </w:pPr>
            <w:r>
              <w:rPr>
                <w:rFonts w:ascii="Arial" w:cs="Arial" w:eastAsia="Arial" w:hAnsi="Arial"/>
                <w:sz w:val="20"/>
                <w:szCs w:val="20"/>
                <w:color w:val="auto"/>
              </w:rPr>
              <w:t>Cash and cash equivalents</w:t>
            </w:r>
          </w:p>
        </w:tc>
        <w:tc>
          <w:tcPr>
            <w:tcW w:w="22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354</w:t>
            </w:r>
          </w:p>
        </w:tc>
        <w:tc>
          <w:tcPr>
            <w:tcW w:w="22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w:t>
            </w:r>
          </w:p>
        </w:tc>
        <w:tc>
          <w:tcPr>
            <w:tcW w:w="980" w:type="dxa"/>
            <w:vAlign w:val="bottom"/>
          </w:tcPr>
          <w:p>
            <w:pPr>
              <w:ind w:left="780"/>
              <w:spacing w:after="0" w:line="228" w:lineRule="exact"/>
              <w:rPr>
                <w:sz w:val="20"/>
                <w:szCs w:val="20"/>
                <w:color w:val="auto"/>
              </w:rPr>
            </w:pPr>
            <w:r>
              <w:rPr>
                <w:rFonts w:ascii="Arial" w:cs="Arial" w:eastAsia="Arial" w:hAnsi="Arial"/>
                <w:sz w:val="20"/>
                <w:szCs w:val="20"/>
                <w:color w:val="auto"/>
                <w:w w:val="89"/>
              </w:rPr>
              <w:t>—</w:t>
            </w:r>
          </w:p>
        </w:tc>
        <w:tc>
          <w:tcPr>
            <w:tcW w:w="34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w:t>
            </w:r>
          </w:p>
        </w:tc>
        <w:tc>
          <w:tcPr>
            <w:tcW w:w="720" w:type="dxa"/>
            <w:vAlign w:val="bottom"/>
          </w:tcPr>
          <w:p>
            <w:pPr>
              <w:spacing w:after="0"/>
              <w:rPr>
                <w:sz w:val="19"/>
                <w:szCs w:val="19"/>
                <w:color w:val="auto"/>
              </w:rPr>
            </w:pPr>
          </w:p>
        </w:tc>
        <w:tc>
          <w:tcPr>
            <w:tcW w:w="580" w:type="dxa"/>
            <w:vAlign w:val="bottom"/>
            <w:gridSpan w:val="3"/>
          </w:tcPr>
          <w:p>
            <w:pPr>
              <w:ind w:left="60"/>
              <w:spacing w:after="0" w:line="228" w:lineRule="exact"/>
              <w:rPr>
                <w:sz w:val="20"/>
                <w:szCs w:val="20"/>
                <w:color w:val="auto"/>
              </w:rPr>
            </w:pPr>
            <w:r>
              <w:rPr>
                <w:rFonts w:ascii="Arial" w:cs="Arial" w:eastAsia="Arial" w:hAnsi="Arial"/>
                <w:sz w:val="20"/>
                <w:szCs w:val="20"/>
                <w:color w:val="auto"/>
              </w:rPr>
              <w:t>—   $</w:t>
            </w:r>
          </w:p>
        </w:tc>
        <w:tc>
          <w:tcPr>
            <w:tcW w:w="10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354</w:t>
            </w:r>
          </w:p>
        </w:tc>
      </w:tr>
      <w:tr>
        <w:trPr>
          <w:trHeight w:val="228"/>
        </w:trPr>
        <w:tc>
          <w:tcPr>
            <w:tcW w:w="546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Equity securities</w:t>
            </w: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9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15,984</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980" w:type="dxa"/>
            <w:vAlign w:val="bottom"/>
            <w:shd w:val="clear" w:color="auto" w:fill="E9E9E9"/>
          </w:tcPr>
          <w:p>
            <w:pPr>
              <w:ind w:left="780"/>
              <w:spacing w:after="0" w:line="228" w:lineRule="exact"/>
              <w:rPr>
                <w:sz w:val="20"/>
                <w:szCs w:val="20"/>
                <w:color w:val="auto"/>
              </w:rPr>
            </w:pPr>
            <w:r>
              <w:rPr>
                <w:rFonts w:ascii="Arial" w:cs="Arial" w:eastAsia="Arial" w:hAnsi="Arial"/>
                <w:sz w:val="20"/>
                <w:szCs w:val="20"/>
                <w:color w:val="auto"/>
                <w:w w:val="89"/>
              </w:rPr>
              <w:t>—</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720" w:type="dxa"/>
            <w:vAlign w:val="bottom"/>
            <w:shd w:val="clear" w:color="auto" w:fill="E9E9E9"/>
          </w:tcPr>
          <w:p>
            <w:pPr>
              <w:spacing w:after="0"/>
              <w:rPr>
                <w:sz w:val="19"/>
                <w:szCs w:val="19"/>
                <w:color w:val="auto"/>
              </w:rPr>
            </w:pPr>
          </w:p>
        </w:tc>
        <w:tc>
          <w:tcPr>
            <w:tcW w:w="260" w:type="dxa"/>
            <w:vAlign w:val="bottom"/>
            <w:shd w:val="clear" w:color="auto" w:fill="E9E9E9"/>
          </w:tcPr>
          <w:p>
            <w:pPr>
              <w:ind w:left="60"/>
              <w:spacing w:after="0" w:line="228" w:lineRule="exact"/>
              <w:rPr>
                <w:sz w:val="20"/>
                <w:szCs w:val="20"/>
                <w:color w:val="auto"/>
              </w:rPr>
            </w:pPr>
            <w:r>
              <w:rPr>
                <w:rFonts w:ascii="Arial" w:cs="Arial" w:eastAsia="Arial" w:hAnsi="Arial"/>
                <w:sz w:val="20"/>
                <w:szCs w:val="20"/>
                <w:color w:val="auto"/>
                <w:w w:val="89"/>
              </w:rPr>
              <w:t>—</w:t>
            </w:r>
          </w:p>
        </w:tc>
        <w:tc>
          <w:tcPr>
            <w:tcW w:w="2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9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15,984</w:t>
            </w:r>
          </w:p>
        </w:tc>
        <w:tc>
          <w:tcPr>
            <w:tcW w:w="100" w:type="dxa"/>
            <w:vAlign w:val="bottom"/>
            <w:shd w:val="clear" w:color="auto" w:fill="E9E9E9"/>
          </w:tcPr>
          <w:p>
            <w:pPr>
              <w:spacing w:after="0"/>
              <w:rPr>
                <w:sz w:val="19"/>
                <w:szCs w:val="19"/>
                <w:color w:val="auto"/>
              </w:rPr>
            </w:pPr>
          </w:p>
        </w:tc>
      </w:tr>
      <w:tr>
        <w:trPr>
          <w:trHeight w:val="228"/>
        </w:trPr>
        <w:tc>
          <w:tcPr>
            <w:tcW w:w="5460" w:type="dxa"/>
            <w:vAlign w:val="bottom"/>
          </w:tcPr>
          <w:p>
            <w:pPr>
              <w:ind w:left="200"/>
              <w:spacing w:after="0" w:line="228" w:lineRule="exact"/>
              <w:rPr>
                <w:sz w:val="20"/>
                <w:szCs w:val="20"/>
                <w:color w:val="auto"/>
              </w:rPr>
            </w:pPr>
            <w:r>
              <w:rPr>
                <w:rFonts w:ascii="Arial" w:cs="Arial" w:eastAsia="Arial" w:hAnsi="Arial"/>
                <w:sz w:val="20"/>
                <w:szCs w:val="20"/>
                <w:color w:val="auto"/>
              </w:rPr>
              <w:t>Debt securities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5,483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ind w:left="780"/>
              <w:spacing w:after="0" w:line="228" w:lineRule="exact"/>
              <w:rPr>
                <w:sz w:val="20"/>
                <w:szCs w:val="20"/>
                <w:color w:val="auto"/>
              </w:rPr>
            </w:pPr>
            <w:r>
              <w:rPr>
                <w:rFonts w:ascii="Arial" w:cs="Arial" w:eastAsia="Arial" w:hAnsi="Arial"/>
                <w:sz w:val="20"/>
                <w:szCs w:val="20"/>
                <w:color w:val="auto"/>
                <w:w w:val="8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ind w:left="60"/>
              <w:spacing w:after="0" w:line="228" w:lineRule="exact"/>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5,483</w:t>
            </w:r>
          </w:p>
        </w:tc>
      </w:tr>
      <w:tr>
        <w:trPr>
          <w:trHeight w:val="219"/>
        </w:trPr>
        <w:tc>
          <w:tcPr>
            <w:tcW w:w="5460" w:type="dxa"/>
            <w:vAlign w:val="bottom"/>
            <w:tcBorders>
              <w:top w:val="single" w:sz="8" w:color="E9E9E9"/>
            </w:tcBorders>
            <w:shd w:val="clear" w:color="auto" w:fill="E9E9E9"/>
          </w:tcPr>
          <w:p>
            <w:pPr>
              <w:ind w:left="400"/>
              <w:spacing w:after="0" w:line="217" w:lineRule="exact"/>
              <w:rPr>
                <w:sz w:val="20"/>
                <w:szCs w:val="20"/>
                <w:color w:val="auto"/>
              </w:rPr>
            </w:pPr>
            <w:r>
              <w:rPr>
                <w:rFonts w:ascii="Arial" w:cs="Arial" w:eastAsia="Arial" w:hAnsi="Arial"/>
                <w:sz w:val="20"/>
                <w:szCs w:val="20"/>
                <w:color w:val="auto"/>
              </w:rPr>
              <w:t>Total assets</w:t>
            </w:r>
          </w:p>
        </w:tc>
        <w:tc>
          <w:tcPr>
            <w:tcW w:w="8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98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21,821</w:t>
            </w:r>
          </w:p>
        </w:tc>
        <w:tc>
          <w:tcPr>
            <w:tcW w:w="100" w:type="dxa"/>
            <w:vAlign w:val="bottom"/>
            <w:tcBorders>
              <w:top w:val="single" w:sz="8" w:color="E9E9E9"/>
            </w:tcBorders>
            <w:shd w:val="clear" w:color="auto" w:fill="E9E9E9"/>
          </w:tcPr>
          <w:p>
            <w:pPr>
              <w:spacing w:after="0"/>
              <w:rPr>
                <w:sz w:val="19"/>
                <w:szCs w:val="19"/>
                <w:color w:val="auto"/>
              </w:rPr>
            </w:pPr>
          </w:p>
        </w:tc>
        <w:tc>
          <w:tcPr>
            <w:tcW w:w="1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980" w:type="dxa"/>
            <w:vAlign w:val="bottom"/>
            <w:tcBorders>
              <w:top w:val="single" w:sz="8" w:color="auto"/>
              <w:bottom w:val="single" w:sz="8" w:color="auto"/>
            </w:tcBorders>
            <w:shd w:val="clear" w:color="auto" w:fill="E9E9E9"/>
          </w:tcPr>
          <w:p>
            <w:pPr>
              <w:ind w:left="780"/>
              <w:spacing w:after="0" w:line="217" w:lineRule="exact"/>
              <w:rPr>
                <w:sz w:val="20"/>
                <w:szCs w:val="20"/>
                <w:color w:val="auto"/>
              </w:rPr>
            </w:pPr>
            <w:r>
              <w:rPr>
                <w:rFonts w:ascii="Arial" w:cs="Arial" w:eastAsia="Arial" w:hAnsi="Arial"/>
                <w:sz w:val="20"/>
                <w:szCs w:val="20"/>
                <w:color w:val="auto"/>
                <w:w w:val="89"/>
              </w:rPr>
              <w:t>—</w:t>
            </w:r>
          </w:p>
        </w:tc>
        <w:tc>
          <w:tcPr>
            <w:tcW w:w="2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720" w:type="dxa"/>
            <w:vAlign w:val="bottom"/>
            <w:tcBorders>
              <w:top w:val="single" w:sz="8" w:color="auto"/>
              <w:bottom w:val="single" w:sz="8" w:color="auto"/>
            </w:tcBorders>
            <w:shd w:val="clear" w:color="auto" w:fill="E9E9E9"/>
          </w:tcPr>
          <w:p>
            <w:pPr>
              <w:spacing w:after="0"/>
              <w:rPr>
                <w:sz w:val="19"/>
                <w:szCs w:val="19"/>
                <w:color w:val="auto"/>
              </w:rPr>
            </w:pPr>
          </w:p>
        </w:tc>
        <w:tc>
          <w:tcPr>
            <w:tcW w:w="260" w:type="dxa"/>
            <w:vAlign w:val="bottom"/>
            <w:tcBorders>
              <w:top w:val="single" w:sz="8" w:color="auto"/>
              <w:bottom w:val="single" w:sz="8" w:color="auto"/>
            </w:tcBorders>
            <w:shd w:val="clear" w:color="auto" w:fill="E9E9E9"/>
          </w:tcPr>
          <w:p>
            <w:pPr>
              <w:ind w:left="60"/>
              <w:spacing w:after="0" w:line="217" w:lineRule="exact"/>
              <w:rPr>
                <w:sz w:val="20"/>
                <w:szCs w:val="20"/>
                <w:color w:val="auto"/>
              </w:rPr>
            </w:pPr>
            <w:r>
              <w:rPr>
                <w:rFonts w:ascii="Arial" w:cs="Arial" w:eastAsia="Arial" w:hAnsi="Arial"/>
                <w:sz w:val="20"/>
                <w:szCs w:val="20"/>
                <w:color w:val="auto"/>
                <w:w w:val="89"/>
              </w:rPr>
              <w:t>—</w:t>
            </w:r>
          </w:p>
        </w:tc>
        <w:tc>
          <w:tcPr>
            <w:tcW w:w="2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98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21,821</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5"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263" w:lineRule="exact"/>
        <w:rPr>
          <w:sz w:val="20"/>
          <w:szCs w:val="20"/>
          <w:color w:val="auto"/>
        </w:rPr>
      </w:pPr>
    </w:p>
    <w:p>
      <w:pPr>
        <w:ind w:left="960" w:right="440" w:hanging="481"/>
        <w:spacing w:after="0" w:line="232" w:lineRule="auto"/>
        <w:tabs>
          <w:tab w:leader="none" w:pos="9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Assets contributed to the multiemployer plan by one employer may be used to provide benefits to employees of other participating employers.</w:t>
      </w:r>
    </w:p>
    <w:p>
      <w:pPr>
        <w:spacing w:after="0" w:line="261" w:lineRule="exact"/>
        <w:rPr>
          <w:rFonts w:ascii="Arial" w:cs="Arial" w:eastAsia="Arial" w:hAnsi="Arial"/>
          <w:sz w:val="20"/>
          <w:szCs w:val="20"/>
          <w:color w:val="auto"/>
        </w:rPr>
      </w:pPr>
    </w:p>
    <w:p>
      <w:pPr>
        <w:ind w:left="960" w:right="620" w:hanging="481"/>
        <w:spacing w:after="0" w:line="232" w:lineRule="auto"/>
        <w:tabs>
          <w:tab w:leader="none" w:pos="9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a participating employer stops contributing to the plan, the unfunded obligations of the plan may be borne by the remaining participating employers.</w:t>
      </w:r>
    </w:p>
    <w:p>
      <w:pPr>
        <w:spacing w:after="0" w:line="263" w:lineRule="exact"/>
        <w:rPr>
          <w:rFonts w:ascii="Arial" w:cs="Arial" w:eastAsia="Arial" w:hAnsi="Arial"/>
          <w:sz w:val="20"/>
          <w:szCs w:val="20"/>
          <w:color w:val="auto"/>
        </w:rPr>
      </w:pPr>
    </w:p>
    <w:p>
      <w:pPr>
        <w:ind w:left="960" w:right="400" w:hanging="481"/>
        <w:spacing w:after="0" w:line="249" w:lineRule="auto"/>
        <w:tabs>
          <w:tab w:leader="none" w:pos="9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If the Company chooses to stop participating in some of its multiemployer plans, CECO may be required to pay those plans an amount based on the underfunded status of the plan, referred to as a withdrawal liability.</w:t>
      </w:r>
    </w:p>
    <w:p>
      <w:pPr>
        <w:spacing w:after="0" w:line="240"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Company’s participation in these plans for the year ended December 31, 2023, is outlined in the table below. The “EIN/Pen sion Plan Number” column provides the Employer Identification Number and the three-digit plan number, if applicable. Unless otherwise noted, the most recent Pension Protection Act zone status available in 2023 is for the plan’s year-end at December 31, 2022.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6"/>
              </w:rPr>
              <w:t>Pension</w:t>
            </w: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8"/>
              </w:rPr>
              <w:t>Protection</w:t>
            </w: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4"/>
              </w:rPr>
              <w:t>Expiration</w:t>
            </w:r>
          </w:p>
        </w:tc>
      </w:tr>
      <w:tr>
        <w:trPr>
          <w:trHeight w:val="181"/>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0"/>
              </w:rPr>
              <w:t>Act Zone</w:t>
            </w: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88"/>
              </w:rPr>
              <w:t>of Collective</w:t>
            </w:r>
          </w:p>
        </w:tc>
      </w:tr>
      <w:tr>
        <w:trPr>
          <w:trHeight w:val="183"/>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20"/>
              <w:spacing w:after="0" w:line="183" w:lineRule="exact"/>
              <w:rPr>
                <w:sz w:val="20"/>
                <w:szCs w:val="20"/>
                <w:color w:val="auto"/>
              </w:rPr>
            </w:pPr>
            <w:r>
              <w:rPr>
                <w:rFonts w:ascii="Arial" w:cs="Arial" w:eastAsia="Arial" w:hAnsi="Arial"/>
                <w:sz w:val="16"/>
                <w:szCs w:val="16"/>
                <w:b w:val="1"/>
                <w:bCs w:val="1"/>
                <w:color w:val="auto"/>
                <w:w w:val="92"/>
              </w:rPr>
              <w:t>EIN/Pension</w:t>
            </w: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5"/>
              </w:rPr>
              <w:t>Status</w:t>
            </w:r>
          </w:p>
        </w:tc>
        <w:tc>
          <w:tcPr>
            <w:tcW w:w="100" w:type="dxa"/>
            <w:vAlign w:val="bottom"/>
          </w:tcPr>
          <w:p>
            <w:pPr>
              <w:spacing w:after="0"/>
              <w:rPr>
                <w:sz w:val="15"/>
                <w:szCs w:val="15"/>
                <w:color w:val="auto"/>
              </w:rPr>
            </w:pPr>
          </w:p>
        </w:tc>
        <w:tc>
          <w:tcPr>
            <w:tcW w:w="2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4"/>
              </w:rPr>
              <w:t>FIF/RP Status</w:t>
            </w:r>
          </w:p>
        </w:tc>
        <w:tc>
          <w:tcPr>
            <w:tcW w:w="12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8"/>
              </w:rPr>
              <w:t>Surcharge</w:t>
            </w:r>
          </w:p>
        </w:tc>
        <w:tc>
          <w:tcPr>
            <w:tcW w:w="100" w:type="dxa"/>
            <w:vAlign w:val="bottom"/>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0"/>
              </w:rPr>
              <w:t>Bargaining</w:t>
            </w:r>
          </w:p>
        </w:tc>
      </w:tr>
      <w:tr>
        <w:trPr>
          <w:trHeight w:val="182"/>
        </w:trPr>
        <w:tc>
          <w:tcPr>
            <w:tcW w:w="3700" w:type="dxa"/>
            <w:vAlign w:val="bottom"/>
          </w:tcPr>
          <w:p>
            <w:pPr>
              <w:spacing w:after="0" w:line="182" w:lineRule="exact"/>
              <w:rPr>
                <w:sz w:val="20"/>
                <w:szCs w:val="20"/>
                <w:color w:val="auto"/>
              </w:rPr>
            </w:pPr>
            <w:r>
              <w:rPr>
                <w:rFonts w:ascii="Arial" w:cs="Arial" w:eastAsia="Arial" w:hAnsi="Arial"/>
                <w:sz w:val="16"/>
                <w:szCs w:val="16"/>
                <w:b w:val="1"/>
                <w:bCs w:val="1"/>
                <w:color w:val="auto"/>
              </w:rPr>
              <w:t>Pension Fund</w:t>
            </w:r>
          </w:p>
        </w:tc>
        <w:tc>
          <w:tcPr>
            <w:tcW w:w="120" w:type="dxa"/>
            <w:vAlign w:val="bottom"/>
          </w:tcPr>
          <w:p>
            <w:pPr>
              <w:spacing w:after="0"/>
              <w:rPr>
                <w:sz w:val="15"/>
                <w:szCs w:val="15"/>
                <w:color w:val="auto"/>
              </w:rPr>
            </w:pPr>
          </w:p>
        </w:tc>
        <w:tc>
          <w:tcPr>
            <w:tcW w:w="142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1"/>
              </w:rPr>
              <w:t>Plan Number</w:t>
            </w:r>
          </w:p>
        </w:tc>
        <w:tc>
          <w:tcPr>
            <w:tcW w:w="9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5"/>
                <w:szCs w:val="15"/>
                <w:color w:val="auto"/>
              </w:rPr>
            </w:pPr>
          </w:p>
        </w:tc>
        <w:tc>
          <w:tcPr>
            <w:tcW w:w="21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0"/>
              </w:rPr>
              <w:t>Pending/Implemented</w:t>
            </w:r>
          </w:p>
        </w:tc>
        <w:tc>
          <w:tcPr>
            <w:tcW w:w="12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8"/>
              </w:rPr>
              <w:t>Imposed</w:t>
            </w:r>
          </w:p>
        </w:tc>
        <w:tc>
          <w:tcPr>
            <w:tcW w:w="10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8"/>
              </w:rPr>
              <w:t>Agreement</w:t>
            </w:r>
          </w:p>
        </w:tc>
      </w:tr>
      <w:tr>
        <w:trPr>
          <w:trHeight w:val="217"/>
        </w:trPr>
        <w:tc>
          <w:tcPr>
            <w:tcW w:w="3700" w:type="dxa"/>
            <w:vAlign w:val="bottom"/>
            <w:tcBorders>
              <w:top w:val="single" w:sz="8" w:color="auto"/>
            </w:tcBorders>
            <w:shd w:val="clear" w:color="auto" w:fill="E9E9E9"/>
          </w:tcPr>
          <w:p>
            <w:pPr>
              <w:spacing w:after="0" w:line="217" w:lineRule="exact"/>
              <w:rPr>
                <w:sz w:val="20"/>
                <w:szCs w:val="20"/>
                <w:color w:val="auto"/>
              </w:rPr>
            </w:pPr>
            <w:r>
              <w:rPr>
                <w:rFonts w:ascii="Arial" w:cs="Arial" w:eastAsia="Arial" w:hAnsi="Arial"/>
                <w:sz w:val="20"/>
                <w:szCs w:val="20"/>
                <w:color w:val="auto"/>
                <w:w w:val="92"/>
                <w:shd w:val="clear" w:color="auto" w:fill="E9E9E9"/>
              </w:rPr>
              <w:t>Sheet Metal Workers’ National Pension Fund</w:t>
            </w:r>
          </w:p>
        </w:tc>
        <w:tc>
          <w:tcPr>
            <w:tcW w:w="120" w:type="dxa"/>
            <w:vAlign w:val="bottom"/>
            <w:tcBorders>
              <w:top w:val="single" w:sz="8" w:color="E9E9E9"/>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jc w:val="center"/>
              <w:spacing w:after="0" w:line="217" w:lineRule="exact"/>
              <w:rPr>
                <w:sz w:val="20"/>
                <w:szCs w:val="20"/>
                <w:color w:val="auto"/>
              </w:rPr>
            </w:pPr>
            <w:r>
              <w:rPr>
                <w:rFonts w:ascii="Arial" w:cs="Arial" w:eastAsia="Arial" w:hAnsi="Arial"/>
                <w:sz w:val="20"/>
                <w:szCs w:val="20"/>
                <w:color w:val="auto"/>
                <w:w w:val="89"/>
                <w:shd w:val="clear" w:color="auto" w:fill="E9E9E9"/>
              </w:rPr>
              <w:t>52-6112463/001</w:t>
            </w:r>
          </w:p>
        </w:tc>
        <w:tc>
          <w:tcPr>
            <w:tcW w:w="120" w:type="dxa"/>
            <w:vAlign w:val="bottom"/>
            <w:tcBorders>
              <w:top w:val="single" w:sz="8" w:color="E9E9E9"/>
            </w:tcBorders>
            <w:shd w:val="clear" w:color="auto" w:fill="E9E9E9"/>
          </w:tcPr>
          <w:p>
            <w:pPr>
              <w:spacing w:after="0"/>
              <w:rPr>
                <w:sz w:val="18"/>
                <w:szCs w:val="18"/>
                <w:color w:val="auto"/>
              </w:rPr>
            </w:pPr>
          </w:p>
        </w:tc>
        <w:tc>
          <w:tcPr>
            <w:tcW w:w="980" w:type="dxa"/>
            <w:vAlign w:val="bottom"/>
            <w:tcBorders>
              <w:top w:val="single" w:sz="8" w:color="auto"/>
            </w:tcBorders>
            <w:shd w:val="clear" w:color="auto" w:fill="E9E9E9"/>
          </w:tcPr>
          <w:p>
            <w:pPr>
              <w:jc w:val="center"/>
              <w:spacing w:after="0" w:line="217" w:lineRule="exact"/>
              <w:rPr>
                <w:sz w:val="20"/>
                <w:szCs w:val="20"/>
                <w:color w:val="auto"/>
              </w:rPr>
            </w:pPr>
            <w:r>
              <w:rPr>
                <w:rFonts w:ascii="Arial" w:cs="Arial" w:eastAsia="Arial" w:hAnsi="Arial"/>
                <w:sz w:val="20"/>
                <w:szCs w:val="20"/>
                <w:color w:val="auto"/>
                <w:w w:val="86"/>
              </w:rPr>
              <w:t>Green</w:t>
            </w:r>
          </w:p>
        </w:tc>
        <w:tc>
          <w:tcPr>
            <w:tcW w:w="100" w:type="dxa"/>
            <w:vAlign w:val="bottom"/>
            <w:tcBorders>
              <w:top w:val="single" w:sz="8" w:color="E9E9E9"/>
            </w:tcBorders>
            <w:shd w:val="clear" w:color="auto" w:fill="E9E9E9"/>
          </w:tcPr>
          <w:p>
            <w:pPr>
              <w:spacing w:after="0"/>
              <w:rPr>
                <w:sz w:val="18"/>
                <w:szCs w:val="18"/>
                <w:color w:val="auto"/>
              </w:rPr>
            </w:pPr>
          </w:p>
        </w:tc>
        <w:tc>
          <w:tcPr>
            <w:tcW w:w="2180" w:type="dxa"/>
            <w:vAlign w:val="bottom"/>
            <w:tcBorders>
              <w:top w:val="single" w:sz="8" w:color="auto"/>
            </w:tcBorders>
            <w:shd w:val="clear" w:color="auto" w:fill="E9E9E9"/>
          </w:tcPr>
          <w:p>
            <w:pPr>
              <w:ind w:left="120"/>
              <w:spacing w:after="0" w:line="217" w:lineRule="exact"/>
              <w:rPr>
                <w:sz w:val="20"/>
                <w:szCs w:val="20"/>
                <w:color w:val="auto"/>
              </w:rPr>
            </w:pPr>
            <w:r>
              <w:rPr>
                <w:rFonts w:ascii="Arial" w:cs="Arial" w:eastAsia="Arial" w:hAnsi="Arial"/>
                <w:sz w:val="20"/>
                <w:szCs w:val="20"/>
                <w:color w:val="auto"/>
                <w:w w:val="97"/>
              </w:rPr>
              <w:t>FIF: Yes - Implemented</w:t>
            </w:r>
          </w:p>
        </w:tc>
        <w:tc>
          <w:tcPr>
            <w:tcW w:w="120" w:type="dxa"/>
            <w:vAlign w:val="bottom"/>
            <w:tcBorders>
              <w:top w:val="single" w:sz="8" w:color="E9E9E9"/>
            </w:tcBorders>
            <w:shd w:val="clear" w:color="auto" w:fill="E9E9E9"/>
          </w:tcPr>
          <w:p>
            <w:pPr>
              <w:spacing w:after="0"/>
              <w:rPr>
                <w:sz w:val="18"/>
                <w:szCs w:val="18"/>
                <w:color w:val="auto"/>
              </w:rPr>
            </w:pPr>
          </w:p>
        </w:tc>
        <w:tc>
          <w:tcPr>
            <w:tcW w:w="760" w:type="dxa"/>
            <w:vAlign w:val="bottom"/>
            <w:tcBorders>
              <w:top w:val="single" w:sz="8" w:color="auto"/>
            </w:tcBorders>
            <w:shd w:val="clear" w:color="auto" w:fill="E9E9E9"/>
          </w:tcPr>
          <w:p>
            <w:pPr>
              <w:jc w:val="center"/>
              <w:spacing w:after="0" w:line="217" w:lineRule="exact"/>
              <w:rPr>
                <w:sz w:val="20"/>
                <w:szCs w:val="20"/>
                <w:color w:val="auto"/>
              </w:rPr>
            </w:pPr>
            <w:r>
              <w:rPr>
                <w:rFonts w:ascii="Arial" w:cs="Arial" w:eastAsia="Arial" w:hAnsi="Arial"/>
                <w:sz w:val="20"/>
                <w:szCs w:val="20"/>
                <w:color w:val="auto"/>
                <w:w w:val="93"/>
              </w:rPr>
              <w:t>No</w:t>
            </w:r>
          </w:p>
        </w:tc>
        <w:tc>
          <w:tcPr>
            <w:tcW w:w="100" w:type="dxa"/>
            <w:vAlign w:val="bottom"/>
            <w:tcBorders>
              <w:top w:val="single" w:sz="8" w:color="E9E9E9"/>
            </w:tcBorders>
            <w:shd w:val="clear" w:color="auto" w:fill="E9E9E9"/>
          </w:tcPr>
          <w:p>
            <w:pPr>
              <w:spacing w:after="0"/>
              <w:rPr>
                <w:sz w:val="18"/>
                <w:szCs w:val="18"/>
                <w:color w:val="auto"/>
              </w:rPr>
            </w:pPr>
          </w:p>
        </w:tc>
        <w:tc>
          <w:tcPr>
            <w:tcW w:w="1200" w:type="dxa"/>
            <w:vAlign w:val="bottom"/>
            <w:tcBorders>
              <w:top w:val="single" w:sz="8" w:color="auto"/>
            </w:tcBorders>
            <w:shd w:val="clear" w:color="auto" w:fill="E9E9E9"/>
          </w:tcPr>
          <w:p>
            <w:pPr>
              <w:jc w:val="center"/>
              <w:spacing w:after="0" w:line="217" w:lineRule="exact"/>
              <w:rPr>
                <w:sz w:val="20"/>
                <w:szCs w:val="20"/>
                <w:color w:val="auto"/>
              </w:rPr>
            </w:pPr>
            <w:r>
              <w:rPr>
                <w:rFonts w:ascii="Arial" w:cs="Arial" w:eastAsia="Arial" w:hAnsi="Arial"/>
                <w:sz w:val="20"/>
                <w:szCs w:val="20"/>
                <w:color w:val="auto"/>
                <w:w w:val="91"/>
              </w:rPr>
              <w:t>Various</w:t>
            </w:r>
          </w:p>
        </w:tc>
      </w:tr>
      <w:tr>
        <w:trPr>
          <w:trHeight w:val="229"/>
        </w:trPr>
        <w:tc>
          <w:tcPr>
            <w:tcW w:w="37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9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180" w:type="dxa"/>
            <w:vAlign w:val="bottom"/>
            <w:shd w:val="clear" w:color="auto" w:fill="E9E9E9"/>
          </w:tcPr>
          <w:p>
            <w:pPr>
              <w:jc w:val="center"/>
              <w:spacing w:after="0" w:line="229" w:lineRule="exact"/>
              <w:rPr>
                <w:sz w:val="20"/>
                <w:szCs w:val="20"/>
                <w:color w:val="auto"/>
              </w:rPr>
            </w:pPr>
            <w:r>
              <w:rPr>
                <w:rFonts w:ascii="Arial" w:cs="Arial" w:eastAsia="Arial" w:hAnsi="Arial"/>
                <w:sz w:val="20"/>
                <w:szCs w:val="20"/>
                <w:color w:val="auto"/>
                <w:w w:val="89"/>
              </w:rPr>
              <w:t>RP: Yes - Implemented</w:t>
            </w:r>
          </w:p>
        </w:tc>
        <w:tc>
          <w:tcPr>
            <w:tcW w:w="120" w:type="dxa"/>
            <w:vAlign w:val="bottom"/>
            <w:shd w:val="clear" w:color="auto" w:fill="E9E9E9"/>
          </w:tcPr>
          <w:p>
            <w:pPr>
              <w:spacing w:after="0"/>
              <w:rPr>
                <w:sz w:val="19"/>
                <w:szCs w:val="19"/>
                <w:color w:val="auto"/>
              </w:rPr>
            </w:pPr>
          </w:p>
        </w:tc>
        <w:tc>
          <w:tcPr>
            <w:tcW w:w="7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r>
      <w:tr>
        <w:trPr>
          <w:trHeight w:val="225"/>
        </w:trPr>
        <w:tc>
          <w:tcPr>
            <w:tcW w:w="3700" w:type="dxa"/>
            <w:vAlign w:val="bottom"/>
          </w:tcPr>
          <w:p>
            <w:pPr>
              <w:spacing w:after="0" w:line="225" w:lineRule="exact"/>
              <w:rPr>
                <w:sz w:val="20"/>
                <w:szCs w:val="20"/>
                <w:color w:val="auto"/>
              </w:rPr>
            </w:pPr>
            <w:r>
              <w:rPr>
                <w:rFonts w:ascii="Arial" w:cs="Arial" w:eastAsia="Arial" w:hAnsi="Arial"/>
                <w:sz w:val="20"/>
                <w:szCs w:val="20"/>
                <w:color w:val="auto"/>
                <w:w w:val="91"/>
              </w:rPr>
              <w:t>Sheet Metal Workers Local 224 Pension Plan</w:t>
            </w:r>
          </w:p>
        </w:tc>
        <w:tc>
          <w:tcPr>
            <w:tcW w:w="1420" w:type="dxa"/>
            <w:vAlign w:val="bottom"/>
            <w:gridSpan w:val="2"/>
          </w:tcPr>
          <w:p>
            <w:pPr>
              <w:jc w:val="center"/>
              <w:ind w:left="21"/>
              <w:spacing w:after="0" w:line="225" w:lineRule="exact"/>
              <w:rPr>
                <w:sz w:val="20"/>
                <w:szCs w:val="20"/>
                <w:color w:val="auto"/>
              </w:rPr>
            </w:pPr>
            <w:r>
              <w:rPr>
                <w:rFonts w:ascii="Arial" w:cs="Arial" w:eastAsia="Arial" w:hAnsi="Arial"/>
                <w:sz w:val="20"/>
                <w:szCs w:val="20"/>
                <w:color w:val="auto"/>
                <w:w w:val="89"/>
              </w:rPr>
              <w:t>31-6171353/001</w:t>
            </w:r>
          </w:p>
        </w:tc>
        <w:tc>
          <w:tcPr>
            <w:tcW w:w="120" w:type="dxa"/>
            <w:vAlign w:val="bottom"/>
          </w:tcPr>
          <w:p>
            <w:pPr>
              <w:spacing w:after="0"/>
              <w:rPr>
                <w:sz w:val="19"/>
                <w:szCs w:val="19"/>
                <w:color w:val="auto"/>
              </w:rPr>
            </w:pPr>
          </w:p>
        </w:tc>
        <w:tc>
          <w:tcPr>
            <w:tcW w:w="980" w:type="dxa"/>
            <w:vAlign w:val="bottom"/>
          </w:tcPr>
          <w:p>
            <w:pPr>
              <w:jc w:val="center"/>
              <w:spacing w:after="0" w:line="225" w:lineRule="exact"/>
              <w:rPr>
                <w:sz w:val="20"/>
                <w:szCs w:val="20"/>
                <w:color w:val="auto"/>
              </w:rPr>
            </w:pPr>
            <w:r>
              <w:rPr>
                <w:rFonts w:ascii="Arial" w:cs="Arial" w:eastAsia="Arial" w:hAnsi="Arial"/>
                <w:sz w:val="20"/>
                <w:szCs w:val="20"/>
                <w:color w:val="auto"/>
                <w:w w:val="98"/>
              </w:rPr>
              <w:t>Yellow</w:t>
            </w:r>
          </w:p>
        </w:tc>
        <w:tc>
          <w:tcPr>
            <w:tcW w:w="100" w:type="dxa"/>
            <w:vAlign w:val="bottom"/>
          </w:tcPr>
          <w:p>
            <w:pPr>
              <w:spacing w:after="0"/>
              <w:rPr>
                <w:sz w:val="19"/>
                <w:szCs w:val="19"/>
                <w:color w:val="auto"/>
              </w:rPr>
            </w:pPr>
          </w:p>
        </w:tc>
        <w:tc>
          <w:tcPr>
            <w:tcW w:w="2180" w:type="dxa"/>
            <w:vAlign w:val="bottom"/>
          </w:tcPr>
          <w:p>
            <w:pPr>
              <w:jc w:val="center"/>
              <w:spacing w:after="0" w:line="225" w:lineRule="exact"/>
              <w:rPr>
                <w:sz w:val="20"/>
                <w:szCs w:val="20"/>
                <w:color w:val="auto"/>
              </w:rPr>
            </w:pPr>
            <w:r>
              <w:rPr>
                <w:rFonts w:ascii="Arial" w:cs="Arial" w:eastAsia="Arial" w:hAnsi="Arial"/>
                <w:sz w:val="20"/>
                <w:szCs w:val="20"/>
                <w:color w:val="auto"/>
                <w:w w:val="90"/>
              </w:rPr>
              <w:t>FIF: Yes - Implemented</w:t>
            </w:r>
          </w:p>
        </w:tc>
        <w:tc>
          <w:tcPr>
            <w:tcW w:w="120" w:type="dxa"/>
            <w:vAlign w:val="bottom"/>
          </w:tcPr>
          <w:p>
            <w:pPr>
              <w:spacing w:after="0"/>
              <w:rPr>
                <w:sz w:val="19"/>
                <w:szCs w:val="19"/>
                <w:color w:val="auto"/>
              </w:rPr>
            </w:pPr>
          </w:p>
        </w:tc>
        <w:tc>
          <w:tcPr>
            <w:tcW w:w="760" w:type="dxa"/>
            <w:vAlign w:val="bottom"/>
          </w:tcPr>
          <w:p>
            <w:pPr>
              <w:jc w:val="center"/>
              <w:spacing w:after="0" w:line="225" w:lineRule="exact"/>
              <w:rPr>
                <w:sz w:val="20"/>
                <w:szCs w:val="20"/>
                <w:color w:val="auto"/>
              </w:rPr>
            </w:pPr>
            <w:r>
              <w:rPr>
                <w:rFonts w:ascii="Arial" w:cs="Arial" w:eastAsia="Arial" w:hAnsi="Arial"/>
                <w:sz w:val="20"/>
                <w:szCs w:val="20"/>
                <w:color w:val="auto"/>
                <w:w w:val="93"/>
              </w:rPr>
              <w:t>No</w:t>
            </w:r>
          </w:p>
        </w:tc>
        <w:tc>
          <w:tcPr>
            <w:tcW w:w="100" w:type="dxa"/>
            <w:vAlign w:val="bottom"/>
          </w:tcPr>
          <w:p>
            <w:pPr>
              <w:spacing w:after="0"/>
              <w:rPr>
                <w:sz w:val="19"/>
                <w:szCs w:val="19"/>
                <w:color w:val="auto"/>
              </w:rPr>
            </w:pPr>
          </w:p>
        </w:tc>
        <w:tc>
          <w:tcPr>
            <w:tcW w:w="1200" w:type="dxa"/>
            <w:vAlign w:val="bottom"/>
          </w:tcPr>
          <w:p>
            <w:pPr>
              <w:jc w:val="center"/>
              <w:spacing w:after="0" w:line="225" w:lineRule="exact"/>
              <w:rPr>
                <w:sz w:val="20"/>
                <w:szCs w:val="20"/>
                <w:color w:val="auto"/>
              </w:rPr>
            </w:pPr>
            <w:r>
              <w:rPr>
                <w:rFonts w:ascii="Arial" w:cs="Arial" w:eastAsia="Arial" w:hAnsi="Arial"/>
                <w:sz w:val="20"/>
                <w:szCs w:val="20"/>
                <w:color w:val="auto"/>
                <w:w w:val="86"/>
              </w:rPr>
              <w:t>n/a</w:t>
            </w:r>
          </w:p>
        </w:tc>
      </w:tr>
      <w:tr>
        <w:trPr>
          <w:trHeight w:val="228"/>
        </w:trPr>
        <w:tc>
          <w:tcPr>
            <w:tcW w:w="370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w w:val="93"/>
              </w:rPr>
              <w:t>Sheet Metal Workers Local No. 177 Pension</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9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18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7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0" w:type="dxa"/>
            <w:vAlign w:val="bottom"/>
            <w:shd w:val="clear" w:color="auto" w:fill="E9E9E9"/>
          </w:tcPr>
          <w:p>
            <w:pPr>
              <w:spacing w:after="0"/>
              <w:rPr>
                <w:sz w:val="19"/>
                <w:szCs w:val="19"/>
                <w:color w:val="auto"/>
              </w:rPr>
            </w:pPr>
          </w:p>
        </w:tc>
      </w:tr>
      <w:tr>
        <w:trPr>
          <w:trHeight w:val="229"/>
        </w:trPr>
        <w:tc>
          <w:tcPr>
            <w:tcW w:w="3700" w:type="dxa"/>
            <w:vAlign w:val="bottom"/>
            <w:shd w:val="clear" w:color="auto" w:fill="E9E9E9"/>
          </w:tcPr>
          <w:p>
            <w:pPr>
              <w:spacing w:after="0" w:line="229" w:lineRule="exact"/>
              <w:rPr>
                <w:sz w:val="20"/>
                <w:szCs w:val="20"/>
                <w:color w:val="auto"/>
              </w:rPr>
            </w:pPr>
            <w:r>
              <w:rPr>
                <w:rFonts w:ascii="Arial" w:cs="Arial" w:eastAsia="Arial" w:hAnsi="Arial"/>
                <w:sz w:val="20"/>
                <w:szCs w:val="20"/>
                <w:color w:val="auto"/>
              </w:rPr>
              <w:t>Fund</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center"/>
              <w:spacing w:after="0" w:line="229" w:lineRule="exact"/>
              <w:rPr>
                <w:sz w:val="20"/>
                <w:szCs w:val="20"/>
                <w:color w:val="auto"/>
              </w:rPr>
            </w:pPr>
            <w:r>
              <w:rPr>
                <w:rFonts w:ascii="Arial" w:cs="Arial" w:eastAsia="Arial" w:hAnsi="Arial"/>
                <w:sz w:val="20"/>
                <w:szCs w:val="20"/>
                <w:color w:val="auto"/>
                <w:w w:val="89"/>
                <w:shd w:val="clear" w:color="auto" w:fill="E9E9E9"/>
              </w:rPr>
              <w:t>62-6093256/001</w:t>
            </w:r>
          </w:p>
        </w:tc>
        <w:tc>
          <w:tcPr>
            <w:tcW w:w="120" w:type="dxa"/>
            <w:vAlign w:val="bottom"/>
            <w:shd w:val="clear" w:color="auto" w:fill="E9E9E9"/>
          </w:tcPr>
          <w:p>
            <w:pPr>
              <w:spacing w:after="0"/>
              <w:rPr>
                <w:sz w:val="19"/>
                <w:szCs w:val="19"/>
                <w:color w:val="auto"/>
              </w:rPr>
            </w:pPr>
          </w:p>
        </w:tc>
        <w:tc>
          <w:tcPr>
            <w:tcW w:w="980" w:type="dxa"/>
            <w:vAlign w:val="bottom"/>
            <w:shd w:val="clear" w:color="auto" w:fill="E9E9E9"/>
          </w:tcPr>
          <w:p>
            <w:pPr>
              <w:jc w:val="center"/>
              <w:spacing w:after="0" w:line="229" w:lineRule="exact"/>
              <w:rPr>
                <w:sz w:val="20"/>
                <w:szCs w:val="20"/>
                <w:color w:val="auto"/>
              </w:rPr>
            </w:pPr>
            <w:r>
              <w:rPr>
                <w:rFonts w:ascii="Arial" w:cs="Arial" w:eastAsia="Arial" w:hAnsi="Arial"/>
                <w:sz w:val="20"/>
                <w:szCs w:val="20"/>
                <w:color w:val="auto"/>
                <w:w w:val="86"/>
              </w:rPr>
              <w:t>Green</w:t>
            </w:r>
          </w:p>
        </w:tc>
        <w:tc>
          <w:tcPr>
            <w:tcW w:w="100" w:type="dxa"/>
            <w:vAlign w:val="bottom"/>
            <w:shd w:val="clear" w:color="auto" w:fill="E9E9E9"/>
          </w:tcPr>
          <w:p>
            <w:pPr>
              <w:spacing w:after="0"/>
              <w:rPr>
                <w:sz w:val="19"/>
                <w:szCs w:val="19"/>
                <w:color w:val="auto"/>
              </w:rPr>
            </w:pPr>
          </w:p>
        </w:tc>
        <w:tc>
          <w:tcPr>
            <w:tcW w:w="2180" w:type="dxa"/>
            <w:vAlign w:val="bottom"/>
            <w:shd w:val="clear" w:color="auto" w:fill="E9E9E9"/>
          </w:tcPr>
          <w:p>
            <w:pPr>
              <w:jc w:val="center"/>
              <w:spacing w:after="0" w:line="229" w:lineRule="exact"/>
              <w:rPr>
                <w:sz w:val="20"/>
                <w:szCs w:val="20"/>
                <w:color w:val="auto"/>
              </w:rPr>
            </w:pPr>
            <w:r>
              <w:rPr>
                <w:rFonts w:ascii="Arial" w:cs="Arial" w:eastAsia="Arial" w:hAnsi="Arial"/>
                <w:sz w:val="20"/>
                <w:szCs w:val="20"/>
                <w:color w:val="auto"/>
                <w:w w:val="89"/>
              </w:rPr>
              <w:t>Is not subject</w:t>
            </w:r>
          </w:p>
        </w:tc>
        <w:tc>
          <w:tcPr>
            <w:tcW w:w="120" w:type="dxa"/>
            <w:vAlign w:val="bottom"/>
            <w:shd w:val="clear" w:color="auto" w:fill="E9E9E9"/>
          </w:tcPr>
          <w:p>
            <w:pPr>
              <w:spacing w:after="0"/>
              <w:rPr>
                <w:sz w:val="19"/>
                <w:szCs w:val="19"/>
                <w:color w:val="auto"/>
              </w:rPr>
            </w:pPr>
          </w:p>
        </w:tc>
        <w:tc>
          <w:tcPr>
            <w:tcW w:w="760" w:type="dxa"/>
            <w:vAlign w:val="bottom"/>
            <w:shd w:val="clear" w:color="auto" w:fill="E9E9E9"/>
          </w:tcPr>
          <w:p>
            <w:pPr>
              <w:jc w:val="center"/>
              <w:spacing w:after="0" w:line="229" w:lineRule="exact"/>
              <w:rPr>
                <w:sz w:val="20"/>
                <w:szCs w:val="20"/>
                <w:color w:val="auto"/>
              </w:rPr>
            </w:pPr>
            <w:r>
              <w:rPr>
                <w:rFonts w:ascii="Arial" w:cs="Arial" w:eastAsia="Arial" w:hAnsi="Arial"/>
                <w:sz w:val="20"/>
                <w:szCs w:val="20"/>
                <w:color w:val="auto"/>
                <w:w w:val="93"/>
              </w:rPr>
              <w:t>No</w:t>
            </w:r>
          </w:p>
        </w:tc>
        <w:tc>
          <w:tcPr>
            <w:tcW w:w="100" w:type="dxa"/>
            <w:vAlign w:val="bottom"/>
            <w:shd w:val="clear" w:color="auto" w:fill="E9E9E9"/>
          </w:tcPr>
          <w:p>
            <w:pPr>
              <w:spacing w:after="0"/>
              <w:rPr>
                <w:sz w:val="19"/>
                <w:szCs w:val="19"/>
                <w:color w:val="auto"/>
              </w:rPr>
            </w:pPr>
          </w:p>
        </w:tc>
        <w:tc>
          <w:tcPr>
            <w:tcW w:w="1200" w:type="dxa"/>
            <w:vAlign w:val="bottom"/>
            <w:shd w:val="clear" w:color="auto" w:fill="E9E9E9"/>
          </w:tcPr>
          <w:p>
            <w:pPr>
              <w:jc w:val="center"/>
              <w:spacing w:after="0" w:line="229" w:lineRule="exact"/>
              <w:rPr>
                <w:sz w:val="20"/>
                <w:szCs w:val="20"/>
                <w:color w:val="auto"/>
              </w:rPr>
            </w:pPr>
            <w:r>
              <w:rPr>
                <w:rFonts w:ascii="Arial" w:cs="Arial" w:eastAsia="Arial" w:hAnsi="Arial"/>
                <w:sz w:val="20"/>
                <w:szCs w:val="20"/>
                <w:color w:val="auto"/>
                <w:w w:val="93"/>
                <w:shd w:val="clear" w:color="auto" w:fill="E9E9E9"/>
              </w:rPr>
              <w:t>April 30, 2026</w:t>
            </w:r>
          </w:p>
        </w:tc>
      </w:tr>
    </w:tbl>
    <w:p>
      <w:pPr>
        <w:spacing w:after="0" w:line="247"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Kirk and Blum was listed in the Sheet Metal Workers Local No. 177 Pension Fund’s Form 5500 as providing more than five percen t of total contributions for the year ended December 31, 2022. The Company was not listed in any of the other plans’ Forms 5500 as providing more than five percent of the total contributions for the plans and plan years. At the date the financial statements were issued, Forms 5500 were not available for the plan years ended December 31, 2023.</w:t>
      </w:r>
    </w:p>
    <w:p>
      <w:pPr>
        <w:spacing w:after="0" w:line="238" w:lineRule="exact"/>
        <w:rPr>
          <w:sz w:val="20"/>
          <w:szCs w:val="20"/>
          <w:color w:val="auto"/>
        </w:rPr>
      </w:pPr>
    </w:p>
    <w:p>
      <w:pPr>
        <w:ind w:right="1120"/>
        <w:spacing w:after="0" w:line="232" w:lineRule="auto"/>
        <w:rPr>
          <w:sz w:val="20"/>
          <w:szCs w:val="20"/>
          <w:color w:val="auto"/>
        </w:rPr>
      </w:pPr>
      <w:r>
        <w:rPr>
          <w:rFonts w:ascii="Arial" w:cs="Arial" w:eastAsia="Arial" w:hAnsi="Arial"/>
          <w:sz w:val="20"/>
          <w:szCs w:val="20"/>
          <w:color w:val="auto"/>
        </w:rPr>
        <w:t>The Company has no current intention of withdrawing from any plan and, therefore, no liability has been provided in the accompanying consolidated financial statements.</w:t>
      </w:r>
    </w:p>
    <w:p>
      <w:pPr>
        <w:spacing w:after="0" w:line="249"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Amounts charged to pension expense under the above plans including the multi-employer plans totaled $0.5 million, $0.4 million, and $0.6 million for the years ended December 31, 2023, 2022 and 2021, respectively.</w:t>
      </w:r>
    </w:p>
    <w:p>
      <w:pPr>
        <w:spacing w:after="0" w:line="249" w:lineRule="exact"/>
        <w:rPr>
          <w:sz w:val="20"/>
          <w:szCs w:val="20"/>
          <w:color w:val="auto"/>
        </w:rPr>
      </w:pPr>
    </w:p>
    <w:p>
      <w:pPr>
        <w:ind w:right="80"/>
        <w:spacing w:after="0" w:line="235" w:lineRule="auto"/>
        <w:rPr>
          <w:sz w:val="20"/>
          <w:szCs w:val="20"/>
          <w:color w:val="auto"/>
        </w:rPr>
      </w:pPr>
      <w:r>
        <w:rPr>
          <w:rFonts w:ascii="Arial" w:cs="Arial" w:eastAsia="Arial" w:hAnsi="Arial"/>
          <w:sz w:val="20"/>
          <w:szCs w:val="20"/>
          <w:color w:val="auto"/>
        </w:rPr>
        <w:t>The Company has a 401(k) savings retirement plan for employees of certain of its subsidiaries. The plan covers substantially all employees who have 30 days of service, and who have attained 18 years of age. The plan allows the Company to make discretionary contributions and provides for employee salary deferrals of up to 100%. The Company made aggregate matching contributions and discretionary contributions of $2.0 million, $1.5 million, and $0.9 million during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F-24</w:t>
      </w:r>
    </w:p>
    <w:p>
      <w:pPr>
        <w:sectPr>
          <w:pgSz w:w="11880" w:h="15480" w:orient="portrait"/>
          <w:cols w:equalWidth="0" w:num="1">
            <w:col w:w="10680"/>
          </w:cols>
          <w:pgMar w:left="600" w:top="837" w:right="600" w:bottom="46" w:gutter="0" w:footer="0" w:header="0"/>
        </w:sectPr>
      </w:pPr>
    </w:p>
    <w:bookmarkStart w:id="84" w:name="page85"/>
    <w:bookmarkEnd w:id="84"/>
    <w:p>
      <w:pPr>
        <w:ind w:left="486" w:hanging="486"/>
        <w:spacing w:after="0"/>
        <w:tabs>
          <w:tab w:leader="none" w:pos="486"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46" w:lineRule="exact"/>
        <w:rPr>
          <w:sz w:val="20"/>
          <w:szCs w:val="20"/>
          <w:color w:val="auto"/>
        </w:rPr>
      </w:pPr>
    </w:p>
    <w:p>
      <w:pPr>
        <w:ind w:left="6" w:right="140"/>
        <w:spacing w:after="0" w:line="265" w:lineRule="auto"/>
        <w:rPr>
          <w:sz w:val="20"/>
          <w:szCs w:val="20"/>
          <w:color w:val="auto"/>
        </w:rPr>
      </w:pPr>
      <w:r>
        <w:rPr>
          <w:rFonts w:ascii="Arial" w:cs="Arial" w:eastAsia="Arial" w:hAnsi="Arial"/>
          <w:sz w:val="18"/>
          <w:szCs w:val="18"/>
          <w:color w:val="auto"/>
        </w:rPr>
        <w:t>The lease accounting guidance under ASC 842 establishes a right-of-use (“ROU”) model that requires a lessee to record a ROU asset and a lease liability on the balance sheet for all leases with terms longer than 12 months. The Company's leasing activity is primarily related to buildings used for manufacturing, warehousing, sales, and administrative activities. The Company determines if an arrangement is a lease at inception. Many of the Company's lease agreements contain renewal options; however, the Company does not recognize ROU assets or lease liabilities for renewal periods unless it is determined that lease renewal is reasonably certain at inception or when a triggering event occurs. Some of the Company's lease agreements contain rent escalation clauses, free-rent periods, or other lease concessions. The Company recognizes its minimum rental expense on a straight-line basis based on the fixed components of a lease arrangement. Variable lease costs represent amounts that are not fixed in nature and are not tied to an index or rate, and are recognized as incurred. The Company's variable lease costs are not material.</w:t>
      </w:r>
    </w:p>
    <w:p>
      <w:pPr>
        <w:spacing w:after="0" w:line="231" w:lineRule="exact"/>
        <w:rPr>
          <w:sz w:val="20"/>
          <w:szCs w:val="20"/>
          <w:color w:val="auto"/>
        </w:rPr>
      </w:pPr>
    </w:p>
    <w:p>
      <w:pPr>
        <w:ind w:left="6" w:right="20"/>
        <w:spacing w:after="0" w:line="249" w:lineRule="auto"/>
        <w:rPr>
          <w:sz w:val="20"/>
          <w:szCs w:val="20"/>
          <w:color w:val="auto"/>
        </w:rPr>
      </w:pPr>
      <w:r>
        <w:rPr>
          <w:rFonts w:ascii="Arial" w:cs="Arial" w:eastAsia="Arial" w:hAnsi="Arial"/>
          <w:sz w:val="19"/>
          <w:szCs w:val="19"/>
          <w:color w:val="auto"/>
        </w:rPr>
        <w:t>In determining its ROU assets and lease liabilities, the Company applies a discount rate to the minimum lease payments within each lease agreement. ASC 842 requires the Company to use the rate of interest that a lessee would have to pay to borrow on a collateralized basis over a similar term an amount equal to the lease payments in a similar economic environment. When the Company cannot readily determine the discount rate implicit in the lease agreement, it utilizes its fully collateralized incremental borrowing rate. To estimate its specific incremental borrowing rates the Company considers, among other factors, interest rates on its existing credit facilities, risk-free rates, the types of assets being leased, and the term of the leases.</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components of lease expense were as follows:</w:t>
      </w:r>
    </w:p>
    <w:p>
      <w:pPr>
        <w:spacing w:after="0" w:line="237"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780" w:type="dxa"/>
            <w:vAlign w:val="bottom"/>
          </w:tcPr>
          <w:p>
            <w:pPr>
              <w:spacing w:after="0" w:line="170"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445"/>
              <w:spacing w:after="0" w:line="170"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7"/>
              <w:spacing w:after="0" w:line="170" w:lineRule="exact"/>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65"/>
              <w:spacing w:after="0" w:line="170"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80" w:type="dxa"/>
            <w:vAlign w:val="bottom"/>
          </w:tcPr>
          <w:p>
            <w:pPr>
              <w:spacing w:after="0" w:line="217" w:lineRule="exact"/>
              <w:rPr>
                <w:sz w:val="20"/>
                <w:szCs w:val="20"/>
                <w:color w:val="auto"/>
              </w:rPr>
            </w:pPr>
            <w:r>
              <w:rPr>
                <w:rFonts w:ascii="Arial" w:cs="Arial" w:eastAsia="Arial" w:hAnsi="Arial"/>
                <w:sz w:val="20"/>
                <w:szCs w:val="20"/>
                <w:color w:val="auto"/>
              </w:rPr>
              <w:t>Operating lease cost (a)</w:t>
            </w: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220"/>
              <w:spacing w:after="0" w:line="217" w:lineRule="exact"/>
              <w:rPr>
                <w:sz w:val="20"/>
                <w:szCs w:val="20"/>
                <w:color w:val="auto"/>
              </w:rPr>
            </w:pPr>
            <w:r>
              <w:rPr>
                <w:rFonts w:ascii="Arial" w:cs="Arial" w:eastAsia="Arial" w:hAnsi="Arial"/>
                <w:sz w:val="20"/>
                <w:szCs w:val="20"/>
                <w:color w:val="auto"/>
              </w:rPr>
              <w:t>4,643</w:t>
            </w:r>
          </w:p>
        </w:tc>
        <w:tc>
          <w:tcPr>
            <w:tcW w:w="120" w:type="dxa"/>
            <w:vAlign w:val="bottom"/>
            <w:gridSpan w:val="2"/>
          </w:tcPr>
          <w:p>
            <w:pPr>
              <w:jc w:val="right"/>
              <w:spacing w:after="0" w:line="217" w:lineRule="exact"/>
              <w:rPr>
                <w:sz w:val="20"/>
                <w:szCs w:val="20"/>
                <w:color w:val="auto"/>
              </w:rPr>
            </w:pPr>
            <w:r>
              <w:rPr>
                <w:rFonts w:ascii="Arial" w:cs="Arial" w:eastAsia="Arial" w:hAnsi="Arial"/>
                <w:sz w:val="20"/>
                <w:szCs w:val="20"/>
                <w:color w:val="auto"/>
                <w:w w:val="71"/>
              </w:rPr>
              <w:t>$</w:t>
            </w:r>
          </w:p>
        </w:tc>
        <w:tc>
          <w:tcPr>
            <w:tcW w:w="1420" w:type="dxa"/>
            <w:vAlign w:val="bottom"/>
            <w:gridSpan w:val="2"/>
          </w:tcPr>
          <w:p>
            <w:pPr>
              <w:jc w:val="right"/>
              <w:ind w:right="120"/>
              <w:spacing w:after="0" w:line="217" w:lineRule="exact"/>
              <w:rPr>
                <w:sz w:val="20"/>
                <w:szCs w:val="20"/>
                <w:color w:val="auto"/>
              </w:rPr>
            </w:pPr>
            <w:r>
              <w:rPr>
                <w:rFonts w:ascii="Arial" w:cs="Arial" w:eastAsia="Arial" w:hAnsi="Arial"/>
                <w:sz w:val="20"/>
                <w:szCs w:val="20"/>
                <w:color w:val="auto"/>
              </w:rPr>
              <w:t>3,558</w:t>
            </w:r>
          </w:p>
        </w:tc>
        <w:tc>
          <w:tcPr>
            <w:tcW w:w="20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3,232</w:t>
            </w:r>
          </w:p>
        </w:tc>
        <w:tc>
          <w:tcPr>
            <w:tcW w:w="0" w:type="dxa"/>
            <w:vAlign w:val="bottom"/>
          </w:tcPr>
          <w:p>
            <w:pPr>
              <w:spacing w:after="0"/>
              <w:rPr>
                <w:sz w:val="1"/>
                <w:szCs w:val="1"/>
                <w:color w:val="auto"/>
              </w:rPr>
            </w:pPr>
          </w:p>
        </w:tc>
      </w:tr>
      <w:tr>
        <w:trPr>
          <w:trHeight w:val="228"/>
        </w:trPr>
        <w:tc>
          <w:tcPr>
            <w:tcW w:w="578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Finance lease cost:</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140"/>
              <w:spacing w:after="0" w:line="228" w:lineRule="exact"/>
              <w:rPr>
                <w:sz w:val="20"/>
                <w:szCs w:val="20"/>
                <w:color w:val="auto"/>
              </w:rPr>
            </w:pPr>
            <w:r>
              <w:rPr>
                <w:rFonts w:ascii="Arial" w:cs="Arial" w:eastAsia="Arial" w:hAnsi="Arial"/>
                <w:sz w:val="20"/>
                <w:szCs w:val="20"/>
                <w:color w:val="auto"/>
              </w:rPr>
              <w:t>Amortization of right-of-use assets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20"/>
              <w:spacing w:after="0" w:line="228" w:lineRule="exact"/>
              <w:rPr>
                <w:sz w:val="20"/>
                <w:szCs w:val="20"/>
                <w:color w:val="auto"/>
              </w:rPr>
            </w:pPr>
            <w:r>
              <w:rPr>
                <w:rFonts w:ascii="Arial" w:cs="Arial" w:eastAsia="Arial" w:hAnsi="Arial"/>
                <w:sz w:val="20"/>
                <w:szCs w:val="20"/>
                <w:color w:val="auto"/>
              </w:rPr>
              <w:t>232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line="228" w:lineRule="exact"/>
              <w:rPr>
                <w:sz w:val="20"/>
                <w:szCs w:val="20"/>
                <w:color w:val="auto"/>
              </w:rPr>
            </w:pPr>
            <w:r>
              <w:rPr>
                <w:rFonts w:ascii="Arial" w:cs="Arial" w:eastAsia="Arial" w:hAnsi="Arial"/>
                <w:sz w:val="20"/>
                <w:szCs w:val="20"/>
                <w:color w:val="auto"/>
              </w:rPr>
              <w:t>309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308</w:t>
            </w:r>
          </w:p>
        </w:tc>
        <w:tc>
          <w:tcPr>
            <w:tcW w:w="0" w:type="dxa"/>
            <w:vAlign w:val="bottom"/>
          </w:tcPr>
          <w:p>
            <w:pPr>
              <w:spacing w:after="0"/>
              <w:rPr>
                <w:sz w:val="1"/>
                <w:szCs w:val="1"/>
                <w:color w:val="auto"/>
              </w:rPr>
            </w:pPr>
          </w:p>
        </w:tc>
      </w:tr>
      <w:tr>
        <w:trPr>
          <w:trHeight w:val="228"/>
        </w:trPr>
        <w:tc>
          <w:tcPr>
            <w:tcW w:w="5780" w:type="dxa"/>
            <w:vAlign w:val="bottom"/>
            <w:shd w:val="clear" w:color="auto" w:fill="E9E9E9"/>
          </w:tcPr>
          <w:p>
            <w:pPr>
              <w:ind w:left="140"/>
              <w:spacing w:after="0" w:line="228" w:lineRule="exact"/>
              <w:rPr>
                <w:sz w:val="20"/>
                <w:szCs w:val="20"/>
                <w:color w:val="auto"/>
              </w:rPr>
            </w:pPr>
            <w:r>
              <w:rPr>
                <w:rFonts w:ascii="Arial" w:cs="Arial" w:eastAsia="Arial" w:hAnsi="Arial"/>
                <w:sz w:val="20"/>
                <w:szCs w:val="20"/>
                <w:color w:val="auto"/>
              </w:rPr>
              <w:t>Interest on lease liability</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289</w:t>
            </w:r>
          </w:p>
        </w:tc>
        <w:tc>
          <w:tcPr>
            <w:tcW w:w="22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289</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315</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80" w:type="dxa"/>
            <w:vAlign w:val="bottom"/>
          </w:tcPr>
          <w:p>
            <w:pPr>
              <w:spacing w:after="0" w:line="217" w:lineRule="exact"/>
              <w:rPr>
                <w:sz w:val="20"/>
                <w:szCs w:val="20"/>
                <w:color w:val="auto"/>
              </w:rPr>
            </w:pPr>
            <w:r>
              <w:rPr>
                <w:rFonts w:ascii="Arial" w:cs="Arial" w:eastAsia="Arial" w:hAnsi="Arial"/>
                <w:sz w:val="20"/>
                <w:szCs w:val="20"/>
                <w:color w:val="auto"/>
              </w:rPr>
              <w:t>Total finance lease cost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20"/>
              <w:spacing w:after="0" w:line="217" w:lineRule="exact"/>
              <w:rPr>
                <w:sz w:val="20"/>
                <w:szCs w:val="20"/>
                <w:color w:val="auto"/>
              </w:rPr>
            </w:pPr>
            <w:r>
              <w:rPr>
                <w:rFonts w:ascii="Arial" w:cs="Arial" w:eastAsia="Arial" w:hAnsi="Arial"/>
                <w:sz w:val="20"/>
                <w:szCs w:val="20"/>
                <w:color w:val="auto"/>
              </w:rPr>
              <w:t>521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line="217" w:lineRule="exact"/>
              <w:rPr>
                <w:sz w:val="20"/>
                <w:szCs w:val="20"/>
                <w:color w:val="auto"/>
              </w:rPr>
            </w:pPr>
            <w:r>
              <w:rPr>
                <w:rFonts w:ascii="Arial" w:cs="Arial" w:eastAsia="Arial" w:hAnsi="Arial"/>
                <w:sz w:val="20"/>
                <w:szCs w:val="20"/>
                <w:color w:val="auto"/>
              </w:rPr>
              <w:t>598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623</w:t>
            </w:r>
          </w:p>
        </w:tc>
        <w:tc>
          <w:tcPr>
            <w:tcW w:w="0" w:type="dxa"/>
            <w:vAlign w:val="bottom"/>
          </w:tcPr>
          <w:p>
            <w:pPr>
              <w:spacing w:after="0"/>
              <w:rPr>
                <w:sz w:val="1"/>
                <w:szCs w:val="1"/>
                <w:color w:val="auto"/>
              </w:rPr>
            </w:pPr>
          </w:p>
        </w:tc>
      </w:tr>
      <w:tr>
        <w:trPr>
          <w:trHeight w:val="218"/>
        </w:trPr>
        <w:tc>
          <w:tcPr>
            <w:tcW w:w="578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Total lease cost</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5,164</w:t>
            </w:r>
          </w:p>
        </w:tc>
        <w:tc>
          <w:tcPr>
            <w:tcW w:w="22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auto"/>
              <w:bottom w:val="single" w:sz="8" w:color="auto"/>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4,156</w:t>
            </w: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3,855</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20"/>
                <w:szCs w:val="20"/>
                <w:color w:val="auto"/>
              </w:rPr>
              <w:t>(a) includes variable lease costs which are immaterial</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780" w:type="dxa"/>
            <w:vAlign w:val="bottom"/>
          </w:tcPr>
          <w:p>
            <w:pPr>
              <w:spacing w:after="0"/>
              <w:rPr>
                <w:sz w:val="20"/>
                <w:szCs w:val="20"/>
                <w:color w:val="auto"/>
              </w:rPr>
            </w:pPr>
            <w:r>
              <w:rPr>
                <w:rFonts w:ascii="Arial" w:cs="Arial" w:eastAsia="Arial" w:hAnsi="Arial"/>
                <w:sz w:val="20"/>
                <w:szCs w:val="20"/>
                <w:color w:val="auto"/>
                <w:w w:val="94"/>
              </w:rPr>
              <w:t>Supplemental cash flow information related to leases was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80" w:type="dxa"/>
            <w:vAlign w:val="bottom"/>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45"/>
              <w:spacing w:after="0" w:line="172"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7"/>
              <w:spacing w:after="0" w:line="172" w:lineRule="exact"/>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65"/>
              <w:spacing w:after="0" w:line="172"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80" w:type="dxa"/>
            <w:vAlign w:val="bottom"/>
          </w:tcPr>
          <w:p>
            <w:pPr>
              <w:spacing w:after="0" w:line="217" w:lineRule="exact"/>
              <w:rPr>
                <w:sz w:val="20"/>
                <w:szCs w:val="20"/>
                <w:color w:val="auto"/>
              </w:rPr>
            </w:pPr>
            <w:r>
              <w:rPr>
                <w:rFonts w:ascii="Arial" w:cs="Arial" w:eastAsia="Arial" w:hAnsi="Arial"/>
                <w:sz w:val="20"/>
                <w:szCs w:val="20"/>
                <w:color w:val="auto"/>
                <w:w w:val="92"/>
              </w:rPr>
              <w:t>Cash paid for amounts included in the measurement of lease liabilities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80" w:type="dxa"/>
            <w:vAlign w:val="bottom"/>
            <w:shd w:val="clear" w:color="auto" w:fill="E9E9E9"/>
          </w:tcPr>
          <w:p>
            <w:pPr>
              <w:ind w:left="140"/>
              <w:spacing w:after="0" w:line="228" w:lineRule="exact"/>
              <w:rPr>
                <w:sz w:val="20"/>
                <w:szCs w:val="20"/>
                <w:color w:val="auto"/>
              </w:rPr>
            </w:pPr>
            <w:r>
              <w:rPr>
                <w:rFonts w:ascii="Arial" w:cs="Arial" w:eastAsia="Arial" w:hAnsi="Arial"/>
                <w:sz w:val="20"/>
                <w:szCs w:val="20"/>
                <w:color w:val="auto"/>
              </w:rPr>
              <w:t>Operating cash flows from operating leases</w:t>
            </w:r>
          </w:p>
        </w:tc>
        <w:tc>
          <w:tcPr>
            <w:tcW w:w="10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4,567</w:t>
            </w:r>
          </w:p>
        </w:tc>
        <w:tc>
          <w:tcPr>
            <w:tcW w:w="220" w:type="dxa"/>
            <w:vAlign w:val="bottom"/>
            <w:shd w:val="clear" w:color="auto" w:fill="E9E9E9"/>
          </w:tcPr>
          <w:p>
            <w:pPr>
              <w:spacing w:after="0"/>
              <w:rPr>
                <w:sz w:val="21"/>
                <w:szCs w:val="21"/>
                <w:color w:val="auto"/>
              </w:rPr>
            </w:pPr>
          </w:p>
        </w:tc>
        <w:tc>
          <w:tcPr>
            <w:tcW w:w="20" w:type="dxa"/>
            <w:vAlign w:val="bottom"/>
            <w:tcBorders>
              <w:bottom w:val="single" w:sz="8" w:color="auto"/>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3,637</w:t>
            </w:r>
          </w:p>
        </w:tc>
        <w:tc>
          <w:tcPr>
            <w:tcW w:w="1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3,171</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Pr>
          <w:p>
            <w:pPr>
              <w:ind w:left="140"/>
              <w:spacing w:after="0" w:line="190" w:lineRule="exact"/>
              <w:rPr>
                <w:sz w:val="20"/>
                <w:szCs w:val="20"/>
                <w:color w:val="auto"/>
              </w:rPr>
            </w:pPr>
            <w:r>
              <w:rPr>
                <w:rFonts w:ascii="Arial" w:cs="Arial" w:eastAsia="Arial" w:hAnsi="Arial"/>
                <w:sz w:val="20"/>
                <w:szCs w:val="20"/>
                <w:color w:val="auto"/>
              </w:rPr>
              <w:t>Operating cash flows from finance leases</w:t>
            </w:r>
          </w:p>
        </w:tc>
        <w:tc>
          <w:tcPr>
            <w:tcW w:w="220" w:type="dxa"/>
            <w:vAlign w:val="bottom"/>
            <w:gridSpan w:val="3"/>
          </w:tcPr>
          <w:p>
            <w:pPr>
              <w:jc w:val="right"/>
              <w:spacing w:after="0" w:line="190" w:lineRule="exact"/>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220"/>
              <w:spacing w:after="0" w:line="190" w:lineRule="exact"/>
              <w:rPr>
                <w:sz w:val="20"/>
                <w:szCs w:val="20"/>
                <w:color w:val="auto"/>
              </w:rPr>
            </w:pPr>
            <w:r>
              <w:rPr>
                <w:rFonts w:ascii="Arial" w:cs="Arial" w:eastAsia="Arial" w:hAnsi="Arial"/>
                <w:sz w:val="20"/>
                <w:szCs w:val="20"/>
                <w:color w:val="auto"/>
              </w:rPr>
              <w:t>289</w:t>
            </w:r>
          </w:p>
        </w:tc>
        <w:tc>
          <w:tcPr>
            <w:tcW w:w="120" w:type="dxa"/>
            <w:vAlign w:val="bottom"/>
            <w:gridSpan w:val="2"/>
          </w:tcPr>
          <w:p>
            <w:pPr>
              <w:jc w:val="right"/>
              <w:spacing w:after="0" w:line="190" w:lineRule="exact"/>
              <w:rPr>
                <w:sz w:val="20"/>
                <w:szCs w:val="20"/>
                <w:color w:val="auto"/>
              </w:rPr>
            </w:pPr>
            <w:r>
              <w:rPr>
                <w:rFonts w:ascii="Arial" w:cs="Arial" w:eastAsia="Arial" w:hAnsi="Arial"/>
                <w:sz w:val="20"/>
                <w:szCs w:val="20"/>
                <w:color w:val="auto"/>
                <w:w w:val="71"/>
              </w:rPr>
              <w:t>$</w:t>
            </w:r>
          </w:p>
        </w:tc>
        <w:tc>
          <w:tcPr>
            <w:tcW w:w="1420" w:type="dxa"/>
            <w:vAlign w:val="bottom"/>
            <w:gridSpan w:val="2"/>
          </w:tcPr>
          <w:p>
            <w:pPr>
              <w:jc w:val="right"/>
              <w:ind w:right="120"/>
              <w:spacing w:after="0" w:line="190" w:lineRule="exact"/>
              <w:rPr>
                <w:sz w:val="20"/>
                <w:szCs w:val="20"/>
                <w:color w:val="auto"/>
              </w:rPr>
            </w:pPr>
            <w:r>
              <w:rPr>
                <w:rFonts w:ascii="Arial" w:cs="Arial" w:eastAsia="Arial" w:hAnsi="Arial"/>
                <w:sz w:val="20"/>
                <w:szCs w:val="20"/>
                <w:color w:val="auto"/>
              </w:rPr>
              <w:t>289</w:t>
            </w:r>
          </w:p>
        </w:tc>
        <w:tc>
          <w:tcPr>
            <w:tcW w:w="200" w:type="dxa"/>
            <w:vAlign w:val="bottom"/>
            <w:gridSpan w:val="3"/>
          </w:tcPr>
          <w:p>
            <w:pPr>
              <w:jc w:val="right"/>
              <w:spacing w:after="0" w:line="190" w:lineRule="exact"/>
              <w:rPr>
                <w:sz w:val="20"/>
                <w:szCs w:val="20"/>
                <w:color w:val="auto"/>
              </w:rPr>
            </w:pPr>
            <w:r>
              <w:rPr>
                <w:rFonts w:ascii="Arial" w:cs="Arial" w:eastAsia="Arial" w:hAnsi="Arial"/>
                <w:sz w:val="20"/>
                <w:szCs w:val="20"/>
                <w:color w:val="auto"/>
              </w:rPr>
              <w:t>$</w:t>
            </w:r>
          </w:p>
        </w:tc>
        <w:tc>
          <w:tcPr>
            <w:tcW w:w="1420" w:type="dxa"/>
            <w:vAlign w:val="bottom"/>
            <w:gridSpan w:val="3"/>
          </w:tcPr>
          <w:p>
            <w:pPr>
              <w:jc w:val="right"/>
              <w:ind w:right="100"/>
              <w:spacing w:after="0" w:line="190" w:lineRule="exact"/>
              <w:rPr>
                <w:sz w:val="20"/>
                <w:szCs w:val="20"/>
                <w:color w:val="auto"/>
              </w:rPr>
            </w:pPr>
            <w:r>
              <w:rPr>
                <w:rFonts w:ascii="Arial" w:cs="Arial" w:eastAsia="Arial" w:hAnsi="Arial"/>
                <w:sz w:val="20"/>
                <w:szCs w:val="20"/>
                <w:color w:val="auto"/>
              </w:rPr>
              <w:t>315</w:t>
            </w:r>
          </w:p>
        </w:tc>
        <w:tc>
          <w:tcPr>
            <w:tcW w:w="0" w:type="dxa"/>
            <w:vAlign w:val="bottom"/>
          </w:tcPr>
          <w:p>
            <w:pPr>
              <w:spacing w:after="0"/>
              <w:rPr>
                <w:sz w:val="1"/>
                <w:szCs w:val="1"/>
                <w:color w:val="auto"/>
              </w:rPr>
            </w:pPr>
          </w:p>
        </w:tc>
      </w:tr>
      <w:tr>
        <w:trPr>
          <w:trHeight w:val="214"/>
        </w:trPr>
        <w:tc>
          <w:tcPr>
            <w:tcW w:w="5780" w:type="dxa"/>
            <w:vAlign w:val="bottom"/>
            <w:tcBorders>
              <w:top w:val="single" w:sz="8" w:color="E9E9E9"/>
            </w:tcBorders>
            <w:shd w:val="clear" w:color="auto" w:fill="E9E9E9"/>
          </w:tcPr>
          <w:p>
            <w:pPr>
              <w:ind w:left="140"/>
              <w:spacing w:after="0" w:line="194" w:lineRule="exact"/>
              <w:rPr>
                <w:sz w:val="20"/>
                <w:szCs w:val="20"/>
                <w:color w:val="auto"/>
              </w:rPr>
            </w:pPr>
            <w:r>
              <w:rPr>
                <w:rFonts w:ascii="Arial" w:cs="Arial" w:eastAsia="Arial" w:hAnsi="Arial"/>
                <w:sz w:val="20"/>
                <w:szCs w:val="20"/>
                <w:color w:val="auto"/>
              </w:rPr>
              <w:t>Financing cash flows from finance leases</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9E9E9"/>
          </w:tcPr>
          <w:p>
            <w:pPr>
              <w:jc w:val="right"/>
              <w:spacing w:after="0" w:line="194" w:lineRule="exact"/>
              <w:rPr>
                <w:sz w:val="20"/>
                <w:szCs w:val="20"/>
                <w:color w:val="auto"/>
              </w:rPr>
            </w:pPr>
            <w:r>
              <w:rPr>
                <w:rFonts w:ascii="Arial" w:cs="Arial" w:eastAsia="Arial" w:hAnsi="Arial"/>
                <w:sz w:val="20"/>
                <w:szCs w:val="20"/>
                <w:color w:val="auto"/>
              </w:rPr>
              <w:t>907</w:t>
            </w:r>
          </w:p>
        </w:tc>
        <w:tc>
          <w:tcPr>
            <w:tcW w:w="22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auto"/>
              <w:bottom w:val="single" w:sz="8" w:color="auto"/>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194" w:lineRule="exact"/>
              <w:rPr>
                <w:sz w:val="20"/>
                <w:szCs w:val="20"/>
                <w:color w:val="auto"/>
              </w:rPr>
            </w:pPr>
            <w:r>
              <w:rPr>
                <w:rFonts w:ascii="Arial" w:cs="Arial" w:eastAsia="Arial" w:hAnsi="Arial"/>
                <w:sz w:val="20"/>
                <w:szCs w:val="20"/>
                <w:color w:val="auto"/>
              </w:rPr>
              <w:t>600</w:t>
            </w: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line="194" w:lineRule="exact"/>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E9E9E9"/>
          </w:tcPr>
          <w:p>
            <w:pPr>
              <w:jc w:val="right"/>
              <w:spacing w:after="0" w:line="194" w:lineRule="exact"/>
              <w:rPr>
                <w:sz w:val="20"/>
                <w:szCs w:val="20"/>
                <w:color w:val="auto"/>
              </w:rPr>
            </w:pPr>
            <w:r>
              <w:rPr>
                <w:rFonts w:ascii="Arial" w:cs="Arial" w:eastAsia="Arial" w:hAnsi="Arial"/>
                <w:sz w:val="20"/>
                <w:szCs w:val="20"/>
                <w:color w:val="auto"/>
              </w:rPr>
              <w:t>603</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20"/>
                <w:szCs w:val="20"/>
                <w:color w:val="auto"/>
              </w:rPr>
              <w:t>Right of use assets obtained in exchange for lease obligations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E9E9E9"/>
          </w:tcPr>
          <w:p>
            <w:pPr>
              <w:ind w:left="140"/>
              <w:spacing w:after="0" w:line="228" w:lineRule="exact"/>
              <w:rPr>
                <w:sz w:val="20"/>
                <w:szCs w:val="20"/>
                <w:color w:val="auto"/>
              </w:rPr>
            </w:pPr>
            <w:r>
              <w:rPr>
                <w:rFonts w:ascii="Arial" w:cs="Arial" w:eastAsia="Arial" w:hAnsi="Arial"/>
                <w:sz w:val="20"/>
                <w:szCs w:val="20"/>
                <w:color w:val="auto"/>
              </w:rPr>
              <w:t>Operating leases</w:t>
            </w:r>
          </w:p>
        </w:tc>
        <w:tc>
          <w:tcPr>
            <w:tcW w:w="1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7,697</w:t>
            </w:r>
          </w:p>
        </w:tc>
        <w:tc>
          <w:tcPr>
            <w:tcW w:w="22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shd w:val="clear" w:color="auto" w:fill="E9E9E9"/>
              </w:rPr>
              <w:t>$</w:t>
            </w: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3,487</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20" w:type="dxa"/>
            <w:vAlign w:val="bottom"/>
            <w:tcBorders>
              <w:bottom w:val="single" w:sz="8" w:color="auto"/>
            </w:tcBorders>
            <w:gridSpan w:val="2"/>
            <w:shd w:val="clear" w:color="auto" w:fill="E9E9E9"/>
          </w:tcPr>
          <w:p>
            <w:pPr>
              <w:jc w:val="right"/>
              <w:spacing w:after="0" w:line="228" w:lineRule="exact"/>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2,206</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6721475</wp:posOffset>
                </wp:positionH>
                <wp:positionV relativeFrom="paragraph">
                  <wp:posOffset>-2877185</wp:posOffset>
                </wp:positionV>
                <wp:extent cx="6921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226.5499pt" to="534.7pt,-226.5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6721475</wp:posOffset>
                </wp:positionH>
                <wp:positionV relativeFrom="paragraph">
                  <wp:posOffset>-2756535</wp:posOffset>
                </wp:positionV>
                <wp:extent cx="6921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217.0499pt" to="534.7pt,-217.0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6721475</wp:posOffset>
                </wp:positionH>
                <wp:positionV relativeFrom="paragraph">
                  <wp:posOffset>-2171065</wp:posOffset>
                </wp:positionV>
                <wp:extent cx="6921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170.9499pt" to="534.7pt,-170.9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6721475</wp:posOffset>
                </wp:positionH>
                <wp:positionV relativeFrom="paragraph">
                  <wp:posOffset>-1105535</wp:posOffset>
                </wp:positionV>
                <wp:extent cx="6921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87.0499pt" to="534.7pt,-87.0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6721475</wp:posOffset>
                </wp:positionH>
                <wp:positionV relativeFrom="paragraph">
                  <wp:posOffset>-983615</wp:posOffset>
                </wp:positionV>
                <wp:extent cx="6921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77.4499pt" to="534.7pt,-77.4499pt" o:allowincell="f" strokecolor="#FFFFFF" strokeweight="0.475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F-25</w:t>
      </w:r>
    </w:p>
    <w:p>
      <w:pPr>
        <w:sectPr>
          <w:pgSz w:w="11880" w:h="15480" w:orient="portrait"/>
          <w:cols w:equalWidth="0" w:num="1">
            <w:col w:w="10686"/>
          </w:cols>
          <w:pgMar w:left="594" w:top="837" w:right="600" w:bottom="46" w:gutter="0" w:footer="0" w:header="0"/>
        </w:sectPr>
      </w:pPr>
    </w:p>
    <w:bookmarkStart w:id="85" w:name="page86"/>
    <w:bookmarkEnd w:id="85"/>
    <w:p>
      <w:pPr>
        <w:ind w:left="6"/>
        <w:spacing w:after="0"/>
        <w:rPr>
          <w:sz w:val="20"/>
          <w:szCs w:val="20"/>
          <w:color w:val="auto"/>
        </w:rPr>
      </w:pPr>
      <w:r>
        <w:rPr>
          <w:rFonts w:ascii="Arial" w:cs="Arial" w:eastAsia="Arial" w:hAnsi="Arial"/>
          <w:sz w:val="20"/>
          <w:szCs w:val="20"/>
          <w:color w:val="auto"/>
        </w:rPr>
        <w:t>Supplemental balance sheet information related to leases was as follows:</w:t>
      </w:r>
    </w:p>
    <w:p>
      <w:pPr>
        <w:spacing w:after="0" w:line="28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706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(table only in thousands)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65"/>
              <w:spacing w:after="0" w:line="17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320"/>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r>
      <w:tr>
        <w:trPr>
          <w:trHeight w:val="217"/>
        </w:trPr>
        <w:tc>
          <w:tcPr>
            <w:tcW w:w="7060" w:type="dxa"/>
            <w:vAlign w:val="bottom"/>
            <w:gridSpan w:val="2"/>
          </w:tcPr>
          <w:p>
            <w:pPr>
              <w:spacing w:after="0" w:line="217" w:lineRule="exact"/>
              <w:rPr>
                <w:sz w:val="20"/>
                <w:szCs w:val="20"/>
                <w:color w:val="auto"/>
              </w:rPr>
            </w:pPr>
            <w:r>
              <w:rPr>
                <w:rFonts w:ascii="Arial" w:cs="Arial" w:eastAsia="Arial" w:hAnsi="Arial"/>
                <w:sz w:val="20"/>
                <w:szCs w:val="20"/>
                <w:color w:val="auto"/>
              </w:rPr>
              <w:t>Operating leases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7040" w:type="dxa"/>
            <w:vAlign w:val="bottom"/>
            <w:shd w:val="clear" w:color="auto" w:fill="E9E9E9"/>
          </w:tcPr>
          <w:p>
            <w:pPr>
              <w:ind w:left="140"/>
              <w:spacing w:after="0" w:line="228" w:lineRule="exact"/>
              <w:rPr>
                <w:sz w:val="20"/>
                <w:szCs w:val="20"/>
                <w:color w:val="auto"/>
              </w:rPr>
            </w:pPr>
            <w:r>
              <w:rPr>
                <w:rFonts w:ascii="Arial" w:cs="Arial" w:eastAsia="Arial" w:hAnsi="Arial"/>
                <w:sz w:val="20"/>
                <w:szCs w:val="20"/>
                <w:color w:val="auto"/>
              </w:rPr>
              <w:t>Right-of-use assets from operating leases</w:t>
            </w:r>
          </w:p>
        </w:tc>
        <w:tc>
          <w:tcPr>
            <w:tcW w:w="20" w:type="dxa"/>
            <w:vAlign w:val="bottom"/>
            <w:shd w:val="clear" w:color="auto" w:fill="E9E9E9"/>
          </w:tcPr>
          <w:p>
            <w:pPr>
              <w:spacing w:after="0"/>
              <w:rPr>
                <w:sz w:val="19"/>
                <w:szCs w:val="19"/>
                <w:color w:val="auto"/>
              </w:rPr>
            </w:pPr>
          </w:p>
        </w:tc>
        <w:tc>
          <w:tcPr>
            <w:tcW w:w="180" w:type="dxa"/>
            <w:vAlign w:val="bottom"/>
            <w:tcBorders>
              <w:bottom w:val="single" w:sz="8" w:color="auto"/>
            </w:tcBorders>
            <w:gridSpan w:val="3"/>
            <w:shd w:val="clear" w:color="auto" w:fill="E9E9E9"/>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16,256</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360" w:type="dxa"/>
            <w:vAlign w:val="bottom"/>
            <w:tcBorders>
              <w:bottom w:val="single" w:sz="8" w:color="auto"/>
            </w:tcBorders>
            <w:gridSpan w:val="3"/>
            <w:shd w:val="clear" w:color="auto" w:fill="E9E9E9"/>
          </w:tcPr>
          <w:p>
            <w:pPr>
              <w:jc w:val="right"/>
              <w:ind w:right="161"/>
              <w:spacing w:after="0" w:line="228" w:lineRule="exact"/>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11,373</w:t>
            </w:r>
          </w:p>
        </w:tc>
        <w:tc>
          <w:tcPr>
            <w:tcW w:w="100" w:type="dxa"/>
            <w:vAlign w:val="bottom"/>
            <w:shd w:val="clear" w:color="auto" w:fill="E9E9E9"/>
          </w:tcPr>
          <w:p>
            <w:pPr>
              <w:spacing w:after="0"/>
              <w:rPr>
                <w:sz w:val="19"/>
                <w:szCs w:val="19"/>
                <w:color w:val="auto"/>
              </w:rPr>
            </w:pPr>
          </w:p>
        </w:tc>
      </w:tr>
      <w:tr>
        <w:trPr>
          <w:trHeight w:val="218"/>
        </w:trPr>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28"/>
        </w:trPr>
        <w:tc>
          <w:tcPr>
            <w:tcW w:w="7040" w:type="dxa"/>
            <w:vAlign w:val="bottom"/>
            <w:shd w:val="clear" w:color="auto" w:fill="E9E9E9"/>
          </w:tcPr>
          <w:p>
            <w:pPr>
              <w:ind w:left="140"/>
              <w:spacing w:after="0" w:line="228" w:lineRule="exact"/>
              <w:rPr>
                <w:sz w:val="20"/>
                <w:szCs w:val="20"/>
                <w:color w:val="auto"/>
              </w:rPr>
            </w:pPr>
            <w:r>
              <w:rPr>
                <w:rFonts w:ascii="Arial" w:cs="Arial" w:eastAsia="Arial" w:hAnsi="Arial"/>
                <w:sz w:val="20"/>
                <w:szCs w:val="20"/>
                <w:color w:val="auto"/>
              </w:rPr>
              <w:t>Accrued expenses</w:t>
            </w:r>
          </w:p>
        </w:tc>
        <w:tc>
          <w:tcPr>
            <w:tcW w:w="20" w:type="dxa"/>
            <w:vAlign w:val="bottom"/>
            <w:shd w:val="clear" w:color="auto" w:fill="E9E9E9"/>
          </w:tcPr>
          <w:p>
            <w:pPr>
              <w:spacing w:after="0"/>
              <w:rPr>
                <w:sz w:val="19"/>
                <w:szCs w:val="19"/>
                <w:color w:val="auto"/>
              </w:rPr>
            </w:pPr>
          </w:p>
        </w:tc>
        <w:tc>
          <w:tcPr>
            <w:tcW w:w="180" w:type="dxa"/>
            <w:vAlign w:val="bottom"/>
            <w:gridSpan w:val="3"/>
            <w:shd w:val="clear" w:color="auto" w:fill="E9E9E9"/>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4,278</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360" w:type="dxa"/>
            <w:vAlign w:val="bottom"/>
            <w:gridSpan w:val="3"/>
            <w:shd w:val="clear" w:color="auto" w:fill="E9E9E9"/>
          </w:tcPr>
          <w:p>
            <w:pPr>
              <w:jc w:val="right"/>
              <w:ind w:right="161"/>
              <w:spacing w:after="0" w:line="228"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3,228</w:t>
            </w:r>
          </w:p>
        </w:tc>
        <w:tc>
          <w:tcPr>
            <w:tcW w:w="100" w:type="dxa"/>
            <w:vAlign w:val="bottom"/>
            <w:shd w:val="clear" w:color="auto" w:fill="E9E9E9"/>
          </w:tcPr>
          <w:p>
            <w:pPr>
              <w:spacing w:after="0"/>
              <w:rPr>
                <w:sz w:val="19"/>
                <w:szCs w:val="19"/>
                <w:color w:val="auto"/>
              </w:rPr>
            </w:pPr>
          </w:p>
        </w:tc>
      </w:tr>
      <w:tr>
        <w:trPr>
          <w:trHeight w:val="228"/>
        </w:trPr>
        <w:tc>
          <w:tcPr>
            <w:tcW w:w="7060" w:type="dxa"/>
            <w:vAlign w:val="bottom"/>
            <w:gridSpan w:val="2"/>
          </w:tcPr>
          <w:p>
            <w:pPr>
              <w:ind w:left="140"/>
              <w:spacing w:after="0" w:line="228" w:lineRule="exact"/>
              <w:rPr>
                <w:sz w:val="20"/>
                <w:szCs w:val="20"/>
                <w:color w:val="auto"/>
              </w:rPr>
            </w:pPr>
            <w:r>
              <w:rPr>
                <w:rFonts w:ascii="Arial" w:cs="Arial" w:eastAsia="Arial" w:hAnsi="Arial"/>
                <w:sz w:val="20"/>
                <w:szCs w:val="20"/>
                <w:color w:val="auto"/>
              </w:rPr>
              <w:t>Operating lease liabilities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line="228" w:lineRule="exact"/>
              <w:rPr>
                <w:sz w:val="20"/>
                <w:szCs w:val="20"/>
                <w:color w:val="auto"/>
              </w:rPr>
            </w:pPr>
            <w:r>
              <w:rPr>
                <w:rFonts w:ascii="Arial" w:cs="Arial" w:eastAsia="Arial" w:hAnsi="Arial"/>
                <w:sz w:val="20"/>
                <w:szCs w:val="20"/>
                <w:color w:val="auto"/>
              </w:rPr>
              <w:t>11,417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8,453</w:t>
            </w:r>
          </w:p>
        </w:tc>
      </w:tr>
      <w:tr>
        <w:trPr>
          <w:trHeight w:val="218"/>
        </w:trPr>
        <w:tc>
          <w:tcPr>
            <w:tcW w:w="7040" w:type="dxa"/>
            <w:vAlign w:val="bottom"/>
            <w:tcBorders>
              <w:top w:val="single" w:sz="8" w:color="E9E9E9"/>
            </w:tcBorders>
            <w:shd w:val="clear" w:color="auto" w:fill="E9E9E9"/>
          </w:tcPr>
          <w:p>
            <w:pPr>
              <w:ind w:left="240"/>
              <w:spacing w:after="0" w:line="217" w:lineRule="exact"/>
              <w:rPr>
                <w:sz w:val="20"/>
                <w:szCs w:val="20"/>
                <w:color w:val="auto"/>
              </w:rPr>
            </w:pPr>
            <w:r>
              <w:rPr>
                <w:rFonts w:ascii="Arial" w:cs="Arial" w:eastAsia="Arial" w:hAnsi="Arial"/>
                <w:sz w:val="20"/>
                <w:szCs w:val="20"/>
                <w:color w:val="auto"/>
              </w:rPr>
              <w:t>Total operating lease liabilities</w:t>
            </w:r>
          </w:p>
        </w:tc>
        <w:tc>
          <w:tcPr>
            <w:tcW w:w="20" w:type="dxa"/>
            <w:vAlign w:val="bottom"/>
            <w:tcBorders>
              <w:top w:val="single" w:sz="8" w:color="E9E9E9"/>
            </w:tcBorders>
            <w:shd w:val="clear" w:color="auto" w:fill="E9E9E9"/>
          </w:tcPr>
          <w:p>
            <w:pPr>
              <w:spacing w:after="0"/>
              <w:rPr>
                <w:sz w:val="18"/>
                <w:szCs w:val="18"/>
                <w:color w:val="auto"/>
              </w:rPr>
            </w:pPr>
          </w:p>
        </w:tc>
        <w:tc>
          <w:tcPr>
            <w:tcW w:w="180" w:type="dxa"/>
            <w:vAlign w:val="bottom"/>
            <w:tcBorders>
              <w:top w:val="single" w:sz="8" w:color="auto"/>
              <w:bottom w:val="single" w:sz="8" w:color="auto"/>
            </w:tcBorders>
            <w:gridSpan w:val="3"/>
            <w:shd w:val="clear" w:color="auto" w:fill="E9E9E9"/>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15,695</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360" w:type="dxa"/>
            <w:vAlign w:val="bottom"/>
            <w:tcBorders>
              <w:top w:val="single" w:sz="8" w:color="auto"/>
              <w:bottom w:val="single" w:sz="8" w:color="auto"/>
            </w:tcBorders>
            <w:gridSpan w:val="3"/>
            <w:shd w:val="clear" w:color="auto" w:fill="E9E9E9"/>
          </w:tcPr>
          <w:p>
            <w:pPr>
              <w:jc w:val="right"/>
              <w:ind w:right="161"/>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11,681</w:t>
            </w:r>
          </w:p>
        </w:tc>
        <w:tc>
          <w:tcPr>
            <w:tcW w:w="100" w:type="dxa"/>
            <w:vAlign w:val="bottom"/>
            <w:tcBorders>
              <w:top w:val="single" w:sz="8" w:color="E9E9E9"/>
            </w:tcBorders>
            <w:shd w:val="clear" w:color="auto" w:fill="E9E9E9"/>
          </w:tcPr>
          <w:p>
            <w:pPr>
              <w:spacing w:after="0"/>
              <w:rPr>
                <w:sz w:val="18"/>
                <w:szCs w:val="18"/>
                <w:color w:val="auto"/>
              </w:rPr>
            </w:pPr>
          </w:p>
        </w:tc>
      </w:tr>
      <w:tr>
        <w:trPr>
          <w:trHeight w:val="218"/>
        </w:trPr>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70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Finance leases</w:t>
            </w:r>
          </w:p>
        </w:tc>
        <w:tc>
          <w:tcPr>
            <w:tcW w:w="2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3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r>
      <w:tr>
        <w:trPr>
          <w:trHeight w:val="225"/>
        </w:trPr>
        <w:tc>
          <w:tcPr>
            <w:tcW w:w="7060" w:type="dxa"/>
            <w:vAlign w:val="bottom"/>
            <w:gridSpan w:val="2"/>
          </w:tcPr>
          <w:p>
            <w:pPr>
              <w:ind w:left="140"/>
              <w:spacing w:after="0" w:line="225" w:lineRule="exact"/>
              <w:rPr>
                <w:sz w:val="20"/>
                <w:szCs w:val="20"/>
                <w:color w:val="auto"/>
              </w:rPr>
            </w:pPr>
            <w:r>
              <w:rPr>
                <w:rFonts w:ascii="Arial" w:cs="Arial" w:eastAsia="Arial" w:hAnsi="Arial"/>
                <w:sz w:val="20"/>
                <w:szCs w:val="20"/>
                <w:color w:val="auto"/>
              </w:rPr>
              <w:t>Property, plant and equipment, net</w:t>
            </w:r>
          </w:p>
        </w:tc>
        <w:tc>
          <w:tcPr>
            <w:tcW w:w="180" w:type="dxa"/>
            <w:vAlign w:val="bottom"/>
            <w:gridSpan w:val="3"/>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line="225" w:lineRule="exact"/>
              <w:rPr>
                <w:sz w:val="20"/>
                <w:szCs w:val="20"/>
                <w:color w:val="auto"/>
              </w:rPr>
            </w:pPr>
            <w:r>
              <w:rPr>
                <w:rFonts w:ascii="Arial" w:cs="Arial" w:eastAsia="Arial" w:hAnsi="Arial"/>
                <w:sz w:val="20"/>
                <w:szCs w:val="20"/>
                <w:color w:val="auto"/>
              </w:rPr>
              <w:t>2,097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4"/>
          </w:tcPr>
          <w:p>
            <w:pPr>
              <w:jc w:val="right"/>
              <w:ind w:right="161"/>
              <w:spacing w:after="0" w:line="225" w:lineRule="exact"/>
              <w:rPr>
                <w:sz w:val="20"/>
                <w:szCs w:val="20"/>
                <w:color w:val="auto"/>
              </w:rPr>
            </w:pPr>
            <w:r>
              <w:rPr>
                <w:rFonts w:ascii="Arial" w:cs="Arial" w:eastAsia="Arial" w:hAnsi="Arial"/>
                <w:sz w:val="20"/>
                <w:szCs w:val="20"/>
                <w:color w:val="auto"/>
                <w:w w:val="89"/>
              </w:rPr>
              <w:t>$</w:t>
            </w:r>
          </w:p>
        </w:tc>
        <w:tc>
          <w:tcPr>
            <w:tcW w:w="140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2,329</w:t>
            </w:r>
          </w:p>
        </w:tc>
      </w:tr>
      <w:tr>
        <w:trPr>
          <w:trHeight w:val="218"/>
        </w:trPr>
        <w:tc>
          <w:tcPr>
            <w:tcW w:w="70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4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auto"/>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46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auto"/>
            </w:tcBorders>
            <w:shd w:val="clear" w:color="auto" w:fill="E9E9E9"/>
          </w:tcPr>
          <w:p>
            <w:pPr>
              <w:spacing w:after="0"/>
              <w:rPr>
                <w:sz w:val="18"/>
                <w:szCs w:val="18"/>
                <w:color w:val="auto"/>
              </w:rPr>
            </w:pPr>
          </w:p>
        </w:tc>
        <w:tc>
          <w:tcPr>
            <w:tcW w:w="260" w:type="dxa"/>
            <w:vAlign w:val="bottom"/>
            <w:tcBorders>
              <w:top w:val="single" w:sz="8" w:color="auto"/>
            </w:tcBorders>
            <w:shd w:val="clear" w:color="auto" w:fill="E9E9E9"/>
          </w:tcPr>
          <w:p>
            <w:pPr>
              <w:spacing w:after="0"/>
              <w:rPr>
                <w:sz w:val="18"/>
                <w:szCs w:val="18"/>
                <w:color w:val="auto"/>
              </w:rPr>
            </w:pPr>
          </w:p>
        </w:tc>
        <w:tc>
          <w:tcPr>
            <w:tcW w:w="130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7060" w:type="dxa"/>
            <w:vAlign w:val="bottom"/>
            <w:gridSpan w:val="2"/>
          </w:tcPr>
          <w:p>
            <w:pPr>
              <w:ind w:left="140"/>
              <w:spacing w:after="0" w:line="228" w:lineRule="exact"/>
              <w:rPr>
                <w:sz w:val="20"/>
                <w:szCs w:val="20"/>
                <w:color w:val="auto"/>
              </w:rPr>
            </w:pPr>
            <w:r>
              <w:rPr>
                <w:rFonts w:ascii="Arial" w:cs="Arial" w:eastAsia="Arial" w:hAnsi="Arial"/>
                <w:sz w:val="20"/>
                <w:szCs w:val="20"/>
                <w:color w:val="auto"/>
              </w:rPr>
              <w:t>Accrued expenses</w:t>
            </w:r>
          </w:p>
        </w:tc>
        <w:tc>
          <w:tcPr>
            <w:tcW w:w="180" w:type="dxa"/>
            <w:vAlign w:val="bottom"/>
            <w:gridSpan w:val="3"/>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line="228" w:lineRule="exact"/>
              <w:rPr>
                <w:sz w:val="20"/>
                <w:szCs w:val="20"/>
                <w:color w:val="auto"/>
              </w:rPr>
            </w:pPr>
            <w:r>
              <w:rPr>
                <w:rFonts w:ascii="Arial" w:cs="Arial" w:eastAsia="Arial" w:hAnsi="Arial"/>
                <w:sz w:val="20"/>
                <w:szCs w:val="20"/>
                <w:color w:val="auto"/>
              </w:rPr>
              <w:t>693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4"/>
          </w:tcPr>
          <w:p>
            <w:pPr>
              <w:jc w:val="right"/>
              <w:ind w:right="161"/>
              <w:spacing w:after="0" w:line="228" w:lineRule="exact"/>
              <w:rPr>
                <w:sz w:val="20"/>
                <w:szCs w:val="20"/>
                <w:color w:val="auto"/>
              </w:rPr>
            </w:pPr>
            <w:r>
              <w:rPr>
                <w:rFonts w:ascii="Arial" w:cs="Arial" w:eastAsia="Arial" w:hAnsi="Arial"/>
                <w:sz w:val="20"/>
                <w:szCs w:val="20"/>
                <w:color w:val="auto"/>
                <w:w w:val="89"/>
              </w:rPr>
              <w:t>$</w:t>
            </w:r>
          </w:p>
        </w:tc>
        <w:tc>
          <w:tcPr>
            <w:tcW w:w="14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645</w:t>
            </w:r>
          </w:p>
        </w:tc>
      </w:tr>
      <w:tr>
        <w:trPr>
          <w:trHeight w:val="228"/>
        </w:trPr>
        <w:tc>
          <w:tcPr>
            <w:tcW w:w="7040" w:type="dxa"/>
            <w:vAlign w:val="bottom"/>
            <w:shd w:val="clear" w:color="auto" w:fill="E9E9E9"/>
          </w:tcPr>
          <w:p>
            <w:pPr>
              <w:ind w:left="140"/>
              <w:spacing w:after="0" w:line="228" w:lineRule="exact"/>
              <w:rPr>
                <w:sz w:val="20"/>
                <w:szCs w:val="20"/>
                <w:color w:val="auto"/>
              </w:rPr>
            </w:pPr>
            <w:r>
              <w:rPr>
                <w:rFonts w:ascii="Arial" w:cs="Arial" w:eastAsia="Arial" w:hAnsi="Arial"/>
                <w:sz w:val="20"/>
                <w:szCs w:val="20"/>
                <w:color w:val="auto"/>
              </w:rPr>
              <w:t>Other liabilities</w:t>
            </w:r>
          </w:p>
        </w:tc>
        <w:tc>
          <w:tcPr>
            <w:tcW w:w="20" w:type="dxa"/>
            <w:vAlign w:val="bottom"/>
            <w:shd w:val="clear" w:color="auto" w:fill="E9E9E9"/>
          </w:tcPr>
          <w:p>
            <w:pPr>
              <w:spacing w:after="0"/>
              <w:rPr>
                <w:sz w:val="19"/>
                <w:szCs w:val="19"/>
                <w:color w:val="auto"/>
              </w:rPr>
            </w:pPr>
          </w:p>
        </w:tc>
        <w:tc>
          <w:tcPr>
            <w:tcW w:w="40" w:type="dxa"/>
            <w:vAlign w:val="bottom"/>
            <w:tcBorders>
              <w:bottom w:val="single" w:sz="8" w:color="auto"/>
            </w:tcBorders>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46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4,844</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tcBorders>
              <w:bottom w:val="single" w:sz="8" w:color="auto"/>
            </w:tcBorders>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5,537</w:t>
            </w:r>
          </w:p>
        </w:tc>
        <w:tc>
          <w:tcPr>
            <w:tcW w:w="100" w:type="dxa"/>
            <w:vAlign w:val="bottom"/>
            <w:shd w:val="clear" w:color="auto" w:fill="E9E9E9"/>
          </w:tcPr>
          <w:p>
            <w:pPr>
              <w:spacing w:after="0"/>
              <w:rPr>
                <w:sz w:val="19"/>
                <w:szCs w:val="19"/>
                <w:color w:val="auto"/>
              </w:rPr>
            </w:pPr>
          </w:p>
        </w:tc>
      </w:tr>
      <w:tr>
        <w:trPr>
          <w:trHeight w:val="218"/>
        </w:trPr>
        <w:tc>
          <w:tcPr>
            <w:tcW w:w="7040" w:type="dxa"/>
            <w:vAlign w:val="bottom"/>
          </w:tcPr>
          <w:p>
            <w:pPr>
              <w:ind w:left="240"/>
              <w:spacing w:after="0" w:line="218" w:lineRule="exact"/>
              <w:rPr>
                <w:sz w:val="20"/>
                <w:szCs w:val="20"/>
                <w:color w:val="auto"/>
              </w:rPr>
            </w:pPr>
            <w:r>
              <w:rPr>
                <w:rFonts w:ascii="Arial" w:cs="Arial" w:eastAsia="Arial" w:hAnsi="Arial"/>
                <w:sz w:val="20"/>
                <w:szCs w:val="20"/>
                <w:color w:val="auto"/>
              </w:rPr>
              <w:t>Total finance lease liabilities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218" w:lineRule="exact"/>
              <w:rPr>
                <w:sz w:val="20"/>
                <w:szCs w:val="20"/>
                <w:color w:val="auto"/>
              </w:rPr>
            </w:pPr>
            <w:r>
              <w:rPr>
                <w:rFonts w:ascii="Arial" w:cs="Arial" w:eastAsia="Arial" w:hAnsi="Arial"/>
                <w:sz w:val="20"/>
                <w:szCs w:val="20"/>
                <w:color w:val="auto"/>
              </w:rPr>
              <w:t>5,537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gridSpan w:val="4"/>
          </w:tcPr>
          <w:p>
            <w:pPr>
              <w:jc w:val="right"/>
              <w:ind w:right="161"/>
              <w:spacing w:after="0" w:line="218" w:lineRule="exact"/>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line="218" w:lineRule="exact"/>
              <w:rPr>
                <w:sz w:val="20"/>
                <w:szCs w:val="20"/>
                <w:color w:val="auto"/>
              </w:rPr>
            </w:pPr>
            <w:r>
              <w:rPr>
                <w:rFonts w:ascii="Arial" w:cs="Arial" w:eastAsia="Arial" w:hAnsi="Arial"/>
                <w:sz w:val="20"/>
                <w:szCs w:val="20"/>
                <w:color w:val="auto"/>
              </w:rPr>
              <w:t>6,182</w:t>
            </w:r>
          </w:p>
        </w:tc>
        <w:tc>
          <w:tcPr>
            <w:tcW w:w="100" w:type="dxa"/>
            <w:vAlign w:val="bottom"/>
          </w:tcPr>
          <w:p>
            <w:pPr>
              <w:spacing w:after="0"/>
              <w:rPr>
                <w:sz w:val="18"/>
                <w:szCs w:val="18"/>
                <w:color w:val="auto"/>
              </w:rPr>
            </w:pPr>
          </w:p>
        </w:tc>
      </w:tr>
      <w:tr>
        <w:trPr>
          <w:trHeight w:val="455"/>
        </w:trPr>
        <w:tc>
          <w:tcPr>
            <w:tcW w:w="7060" w:type="dxa"/>
            <w:vAlign w:val="bottom"/>
            <w:gridSpan w:val="2"/>
          </w:tcPr>
          <w:p>
            <w:pPr>
              <w:spacing w:after="0"/>
              <w:rPr>
                <w:sz w:val="20"/>
                <w:szCs w:val="20"/>
                <w:color w:val="auto"/>
              </w:rPr>
            </w:pPr>
            <w:r>
              <w:rPr>
                <w:rFonts w:ascii="Arial" w:cs="Arial" w:eastAsia="Arial" w:hAnsi="Arial"/>
                <w:sz w:val="20"/>
                <w:szCs w:val="20"/>
                <w:color w:val="auto"/>
              </w:rPr>
              <w:t>Weighted-average remaining lease term were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4"/>
        </w:trPr>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right"/>
              <w:ind w:right="1340"/>
              <w:spacing w:after="0"/>
              <w:rPr>
                <w:sz w:val="20"/>
                <w:szCs w:val="20"/>
                <w:color w:val="auto"/>
              </w:rPr>
            </w:pPr>
            <w:r>
              <w:rPr>
                <w:rFonts w:ascii="Arial" w:cs="Arial" w:eastAsia="Arial" w:hAnsi="Arial"/>
                <w:sz w:val="16"/>
                <w:szCs w:val="16"/>
                <w:b w:val="1"/>
                <w:bCs w:val="1"/>
                <w:color w:val="auto"/>
              </w:rPr>
              <w:t>December 31,</w:t>
            </w:r>
          </w:p>
        </w:tc>
      </w:tr>
      <w:tr>
        <w:trPr>
          <w:trHeight w:val="256"/>
        </w:trPr>
        <w:tc>
          <w:tcPr>
            <w:tcW w:w="7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64"/>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auto"/>
            </w:tcBorders>
          </w:tcPr>
          <w:p>
            <w:pPr>
              <w:spacing w:after="0"/>
              <w:rPr>
                <w:sz w:val="22"/>
                <w:szCs w:val="22"/>
                <w:color w:val="auto"/>
              </w:rPr>
            </w:pPr>
          </w:p>
        </w:tc>
      </w:tr>
      <w:tr>
        <w:trPr>
          <w:trHeight w:val="255"/>
        </w:trPr>
        <w:tc>
          <w:tcPr>
            <w:tcW w:w="7060" w:type="dxa"/>
            <w:vAlign w:val="bottom"/>
            <w:gridSpan w:val="2"/>
          </w:tcPr>
          <w:p>
            <w:pPr>
              <w:ind w:left="140"/>
              <w:spacing w:after="0"/>
              <w:rPr>
                <w:sz w:val="20"/>
                <w:szCs w:val="20"/>
                <w:color w:val="auto"/>
              </w:rPr>
            </w:pPr>
            <w:r>
              <w:rPr>
                <w:rFonts w:ascii="Arial" w:cs="Arial" w:eastAsia="Arial" w:hAnsi="Arial"/>
                <w:sz w:val="20"/>
                <w:szCs w:val="20"/>
                <w:color w:val="auto"/>
              </w:rPr>
              <w:t>Operating leases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gridSpan w:val="4"/>
          </w:tcPr>
          <w:p>
            <w:pPr>
              <w:jc w:val="right"/>
              <w:ind w:right="680"/>
              <w:spacing w:after="0"/>
              <w:rPr>
                <w:sz w:val="20"/>
                <w:szCs w:val="20"/>
                <w:color w:val="auto"/>
              </w:rPr>
            </w:pPr>
            <w:r>
              <w:rPr>
                <w:rFonts w:ascii="Arial" w:cs="Arial" w:eastAsia="Arial" w:hAnsi="Arial"/>
                <w:sz w:val="20"/>
                <w:szCs w:val="20"/>
                <w:color w:val="auto"/>
              </w:rPr>
              <w:t>8 years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20"/>
                <w:szCs w:val="20"/>
                <w:color w:val="auto"/>
                <w:w w:val="85"/>
              </w:rPr>
              <w:t>10 years</w:t>
            </w:r>
          </w:p>
        </w:tc>
      </w:tr>
      <w:tr>
        <w:trPr>
          <w:trHeight w:val="266"/>
        </w:trPr>
        <w:tc>
          <w:tcPr>
            <w:tcW w:w="7040" w:type="dxa"/>
            <w:vAlign w:val="bottom"/>
            <w:shd w:val="clear" w:color="auto" w:fill="E9E9E9"/>
          </w:tcPr>
          <w:p>
            <w:pPr>
              <w:ind w:left="140"/>
              <w:spacing w:after="0"/>
              <w:rPr>
                <w:sz w:val="20"/>
                <w:szCs w:val="20"/>
                <w:color w:val="auto"/>
              </w:rPr>
            </w:pPr>
            <w:r>
              <w:rPr>
                <w:rFonts w:ascii="Arial" w:cs="Arial" w:eastAsia="Arial" w:hAnsi="Arial"/>
                <w:sz w:val="20"/>
                <w:szCs w:val="20"/>
                <w:color w:val="auto"/>
              </w:rPr>
              <w:t>Finance leases</w:t>
            </w:r>
          </w:p>
        </w:tc>
        <w:tc>
          <w:tcPr>
            <w:tcW w:w="20" w:type="dxa"/>
            <w:vAlign w:val="bottom"/>
            <w:shd w:val="clear" w:color="auto" w:fill="E9E9E9"/>
          </w:tcPr>
          <w:p>
            <w:pPr>
              <w:spacing w:after="0"/>
              <w:rPr>
                <w:sz w:val="23"/>
                <w:szCs w:val="23"/>
                <w:color w:val="auto"/>
              </w:rPr>
            </w:pPr>
          </w:p>
        </w:tc>
        <w:tc>
          <w:tcPr>
            <w:tcW w:w="4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120" w:type="dxa"/>
            <w:vAlign w:val="bottom"/>
            <w:shd w:val="clear" w:color="auto" w:fill="E9E9E9"/>
          </w:tcPr>
          <w:p>
            <w:pPr>
              <w:spacing w:after="0"/>
              <w:rPr>
                <w:sz w:val="23"/>
                <w:szCs w:val="23"/>
                <w:color w:val="auto"/>
              </w:rPr>
            </w:pPr>
          </w:p>
        </w:tc>
        <w:tc>
          <w:tcPr>
            <w:tcW w:w="1580" w:type="dxa"/>
            <w:vAlign w:val="bottom"/>
            <w:gridSpan w:val="3"/>
            <w:shd w:val="clear" w:color="auto" w:fill="E9E9E9"/>
          </w:tcPr>
          <w:p>
            <w:pPr>
              <w:jc w:val="right"/>
              <w:ind w:right="600"/>
              <w:spacing w:after="0"/>
              <w:rPr>
                <w:sz w:val="20"/>
                <w:szCs w:val="20"/>
                <w:color w:val="auto"/>
              </w:rPr>
            </w:pPr>
            <w:r>
              <w:rPr>
                <w:rFonts w:ascii="Arial" w:cs="Arial" w:eastAsia="Arial" w:hAnsi="Arial"/>
                <w:sz w:val="20"/>
                <w:szCs w:val="20"/>
                <w:color w:val="auto"/>
              </w:rPr>
              <w:t>7 years</w:t>
            </w:r>
          </w:p>
        </w:tc>
        <w:tc>
          <w:tcPr>
            <w:tcW w:w="8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260" w:type="dxa"/>
            <w:vAlign w:val="bottom"/>
            <w:shd w:val="clear" w:color="auto" w:fill="E9E9E9"/>
          </w:tcPr>
          <w:p>
            <w:pPr>
              <w:spacing w:after="0"/>
              <w:rPr>
                <w:sz w:val="23"/>
                <w:szCs w:val="23"/>
                <w:color w:val="auto"/>
              </w:rPr>
            </w:pPr>
          </w:p>
        </w:tc>
        <w:tc>
          <w:tcPr>
            <w:tcW w:w="1400" w:type="dxa"/>
            <w:vAlign w:val="bottom"/>
            <w:gridSpan w:val="2"/>
            <w:shd w:val="clear" w:color="auto" w:fill="E9E9E9"/>
          </w:tcPr>
          <w:p>
            <w:pPr>
              <w:jc w:val="center"/>
              <w:ind w:right="360"/>
              <w:spacing w:after="0"/>
              <w:rPr>
                <w:sz w:val="20"/>
                <w:szCs w:val="20"/>
                <w:color w:val="auto"/>
              </w:rPr>
            </w:pPr>
            <w:r>
              <w:rPr>
                <w:rFonts w:ascii="Arial" w:cs="Arial" w:eastAsia="Arial" w:hAnsi="Arial"/>
                <w:sz w:val="20"/>
                <w:szCs w:val="20"/>
                <w:color w:val="auto"/>
                <w:w w:val="85"/>
              </w:rPr>
              <w:t>8 years</w:t>
            </w:r>
          </w:p>
        </w:tc>
      </w:tr>
      <w:tr>
        <w:trPr>
          <w:trHeight w:val="266"/>
        </w:trPr>
        <w:tc>
          <w:tcPr>
            <w:tcW w:w="7060" w:type="dxa"/>
            <w:vAlign w:val="bottom"/>
            <w:gridSpan w:val="2"/>
          </w:tcPr>
          <w:p>
            <w:pPr>
              <w:spacing w:after="0"/>
              <w:rPr>
                <w:sz w:val="20"/>
                <w:szCs w:val="20"/>
                <w:color w:val="auto"/>
              </w:rPr>
            </w:pPr>
            <w:r>
              <w:rPr>
                <w:rFonts w:ascii="Arial" w:cs="Arial" w:eastAsia="Arial" w:hAnsi="Arial"/>
                <w:sz w:val="20"/>
                <w:szCs w:val="20"/>
                <w:color w:val="auto"/>
              </w:rPr>
              <w:t>Weighted-average discount rate</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6"/>
        </w:trPr>
        <w:tc>
          <w:tcPr>
            <w:tcW w:w="7040" w:type="dxa"/>
            <w:vAlign w:val="bottom"/>
            <w:shd w:val="clear" w:color="auto" w:fill="E9E9E9"/>
          </w:tcPr>
          <w:p>
            <w:pPr>
              <w:ind w:left="140"/>
              <w:spacing w:after="0"/>
              <w:rPr>
                <w:sz w:val="20"/>
                <w:szCs w:val="20"/>
                <w:color w:val="auto"/>
              </w:rPr>
            </w:pPr>
            <w:r>
              <w:rPr>
                <w:rFonts w:ascii="Arial" w:cs="Arial" w:eastAsia="Arial" w:hAnsi="Arial"/>
                <w:sz w:val="20"/>
                <w:szCs w:val="20"/>
                <w:color w:val="auto"/>
              </w:rPr>
              <w:t>Operating leases</w:t>
            </w:r>
          </w:p>
        </w:tc>
        <w:tc>
          <w:tcPr>
            <w:tcW w:w="20" w:type="dxa"/>
            <w:vAlign w:val="bottom"/>
            <w:shd w:val="clear" w:color="auto" w:fill="E9E9E9"/>
          </w:tcPr>
          <w:p>
            <w:pPr>
              <w:spacing w:after="0"/>
              <w:rPr>
                <w:sz w:val="23"/>
                <w:szCs w:val="23"/>
                <w:color w:val="auto"/>
              </w:rPr>
            </w:pPr>
          </w:p>
        </w:tc>
        <w:tc>
          <w:tcPr>
            <w:tcW w:w="4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120" w:type="dxa"/>
            <w:vAlign w:val="bottom"/>
            <w:shd w:val="clear" w:color="auto" w:fill="E9E9E9"/>
          </w:tcPr>
          <w:p>
            <w:pPr>
              <w:spacing w:after="0"/>
              <w:rPr>
                <w:sz w:val="23"/>
                <w:szCs w:val="23"/>
                <w:color w:val="auto"/>
              </w:rPr>
            </w:pPr>
          </w:p>
        </w:tc>
        <w:tc>
          <w:tcPr>
            <w:tcW w:w="1460" w:type="dxa"/>
            <w:vAlign w:val="bottom"/>
            <w:shd w:val="clear" w:color="auto" w:fill="E9E9E9"/>
          </w:tcPr>
          <w:p>
            <w:pPr>
              <w:jc w:val="center"/>
              <w:spacing w:after="0"/>
              <w:rPr>
                <w:sz w:val="20"/>
                <w:szCs w:val="20"/>
                <w:color w:val="auto"/>
              </w:rPr>
            </w:pPr>
            <w:r>
              <w:rPr>
                <w:rFonts w:ascii="Arial" w:cs="Arial" w:eastAsia="Arial" w:hAnsi="Arial"/>
                <w:sz w:val="20"/>
                <w:szCs w:val="20"/>
                <w:color w:val="auto"/>
                <w:w w:val="92"/>
              </w:rPr>
              <w:t>5.8%</w:t>
            </w:r>
          </w:p>
        </w:tc>
        <w:tc>
          <w:tcPr>
            <w:tcW w:w="10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260" w:type="dxa"/>
            <w:vAlign w:val="bottom"/>
            <w:shd w:val="clear" w:color="auto" w:fill="E9E9E9"/>
          </w:tcPr>
          <w:p>
            <w:pPr>
              <w:spacing w:after="0"/>
              <w:rPr>
                <w:sz w:val="23"/>
                <w:szCs w:val="23"/>
                <w:color w:val="auto"/>
              </w:rPr>
            </w:pPr>
          </w:p>
        </w:tc>
        <w:tc>
          <w:tcPr>
            <w:tcW w:w="1300" w:type="dxa"/>
            <w:vAlign w:val="bottom"/>
            <w:shd w:val="clear" w:color="auto" w:fill="E9E9E9"/>
          </w:tcPr>
          <w:p>
            <w:pPr>
              <w:ind w:left="320"/>
              <w:spacing w:after="0"/>
              <w:rPr>
                <w:sz w:val="20"/>
                <w:szCs w:val="20"/>
                <w:color w:val="auto"/>
              </w:rPr>
            </w:pPr>
            <w:r>
              <w:rPr>
                <w:rFonts w:ascii="Arial" w:cs="Arial" w:eastAsia="Arial" w:hAnsi="Arial"/>
                <w:sz w:val="20"/>
                <w:szCs w:val="20"/>
                <w:color w:val="auto"/>
              </w:rPr>
              <w:t>4.7%</w:t>
            </w:r>
          </w:p>
        </w:tc>
        <w:tc>
          <w:tcPr>
            <w:tcW w:w="100" w:type="dxa"/>
            <w:vAlign w:val="bottom"/>
            <w:shd w:val="clear" w:color="auto" w:fill="E9E9E9"/>
          </w:tcPr>
          <w:p>
            <w:pPr>
              <w:spacing w:after="0"/>
              <w:rPr>
                <w:sz w:val="23"/>
                <w:szCs w:val="23"/>
                <w:color w:val="auto"/>
              </w:rPr>
            </w:pPr>
          </w:p>
        </w:tc>
      </w:tr>
      <w:tr>
        <w:trPr>
          <w:trHeight w:val="265"/>
        </w:trPr>
        <w:tc>
          <w:tcPr>
            <w:tcW w:w="7060" w:type="dxa"/>
            <w:vAlign w:val="bottom"/>
            <w:gridSpan w:val="2"/>
          </w:tcPr>
          <w:p>
            <w:pPr>
              <w:ind w:left="140"/>
              <w:spacing w:after="0"/>
              <w:rPr>
                <w:sz w:val="20"/>
                <w:szCs w:val="20"/>
                <w:color w:val="auto"/>
              </w:rPr>
            </w:pPr>
            <w:r>
              <w:rPr>
                <w:rFonts w:ascii="Arial" w:cs="Arial" w:eastAsia="Arial" w:hAnsi="Arial"/>
                <w:sz w:val="20"/>
                <w:szCs w:val="20"/>
                <w:color w:val="auto"/>
              </w:rPr>
              <w:t>Finance leases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w w:val="92"/>
              </w:rPr>
              <w:t>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ind w:left="320"/>
              <w:spacing w:after="0"/>
              <w:rPr>
                <w:sz w:val="20"/>
                <w:szCs w:val="20"/>
                <w:color w:val="auto"/>
              </w:rPr>
            </w:pPr>
            <w:r>
              <w:rPr>
                <w:rFonts w:ascii="Arial" w:cs="Arial" w:eastAsia="Arial" w:hAnsi="Arial"/>
                <w:sz w:val="20"/>
                <w:szCs w:val="20"/>
                <w:color w:val="auto"/>
              </w:rPr>
              <w:t>4.6%</w:t>
            </w:r>
          </w:p>
        </w:tc>
        <w:tc>
          <w:tcPr>
            <w:tcW w:w="100" w:type="dxa"/>
            <w:vAlign w:val="bottom"/>
          </w:tcPr>
          <w:p>
            <w:pPr>
              <w:spacing w:after="0"/>
              <w:rPr>
                <w:sz w:val="23"/>
                <w:szCs w:val="23"/>
                <w:color w:val="auto"/>
              </w:rPr>
            </w:pPr>
          </w:p>
        </w:tc>
      </w:tr>
      <w:tr>
        <w:trPr>
          <w:trHeight w:val="466"/>
        </w:trPr>
        <w:tc>
          <w:tcPr>
            <w:tcW w:w="7060" w:type="dxa"/>
            <w:vAlign w:val="bottom"/>
            <w:gridSpan w:val="2"/>
          </w:tcPr>
          <w:p>
            <w:pPr>
              <w:spacing w:after="0"/>
              <w:rPr>
                <w:sz w:val="20"/>
                <w:szCs w:val="20"/>
                <w:color w:val="auto"/>
              </w:rPr>
            </w:pPr>
            <w:r>
              <w:rPr>
                <w:rFonts w:ascii="Arial" w:cs="Arial" w:eastAsia="Arial" w:hAnsi="Arial"/>
                <w:sz w:val="20"/>
                <w:szCs w:val="20"/>
                <w:color w:val="auto"/>
              </w:rPr>
              <w:t>As of December 31, 2023, maturities of lease liabilities were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(table only 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w w:val="96"/>
              </w:rPr>
              <w:t>Operating Leases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5"/>
              </w:rPr>
              <w:t>Finance Leases</w:t>
            </w:r>
          </w:p>
        </w:tc>
      </w:tr>
      <w:tr>
        <w:trPr>
          <w:trHeight w:val="218"/>
        </w:trPr>
        <w:tc>
          <w:tcPr>
            <w:tcW w:w="704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2024</w:t>
            </w:r>
          </w:p>
        </w:tc>
        <w:tc>
          <w:tcPr>
            <w:tcW w:w="20" w:type="dxa"/>
            <w:vAlign w:val="bottom"/>
            <w:tcBorders>
              <w:top w:val="single" w:sz="8" w:color="E9E9E9"/>
            </w:tcBorders>
            <w:shd w:val="clear" w:color="auto" w:fill="E9E9E9"/>
          </w:tcPr>
          <w:p>
            <w:pPr>
              <w:spacing w:after="0"/>
              <w:rPr>
                <w:sz w:val="18"/>
                <w:szCs w:val="18"/>
                <w:color w:val="auto"/>
              </w:rPr>
            </w:pPr>
          </w:p>
        </w:tc>
        <w:tc>
          <w:tcPr>
            <w:tcW w:w="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560" w:type="dxa"/>
            <w:vAlign w:val="bottom"/>
            <w:tcBorders>
              <w:top w:val="single" w:sz="8" w:color="auto"/>
            </w:tcBorders>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rPr>
              <w:t>4,363</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gridSpan w:val="2"/>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260" w:type="dxa"/>
            <w:vAlign w:val="bottom"/>
            <w:tcBorders>
              <w:top w:val="single" w:sz="8" w:color="auto"/>
            </w:tcBorders>
            <w:shd w:val="clear" w:color="auto" w:fill="E9E9E9"/>
          </w:tcPr>
          <w:p>
            <w:pPr>
              <w:jc w:val="right"/>
              <w:ind w:right="61"/>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925</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7040" w:type="dxa"/>
            <w:vAlign w:val="bottom"/>
          </w:tcPr>
          <w:p>
            <w:pPr>
              <w:spacing w:after="0" w:line="228" w:lineRule="exact"/>
              <w:rPr>
                <w:sz w:val="20"/>
                <w:szCs w:val="20"/>
                <w:color w:val="auto"/>
              </w:rPr>
            </w:pPr>
            <w:r>
              <w:rPr>
                <w:rFonts w:ascii="Arial" w:cs="Arial" w:eastAsia="Arial" w:hAnsi="Arial"/>
                <w:sz w:val="20"/>
                <w:szCs w:val="20"/>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3,845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943</w:t>
            </w:r>
          </w:p>
        </w:tc>
      </w:tr>
      <w:tr>
        <w:trPr>
          <w:trHeight w:val="228"/>
        </w:trPr>
        <w:tc>
          <w:tcPr>
            <w:tcW w:w="70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2026</w:t>
            </w:r>
          </w:p>
        </w:tc>
        <w:tc>
          <w:tcPr>
            <w:tcW w:w="2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60" w:type="dxa"/>
            <w:vAlign w:val="bottom"/>
            <w:gridSpan w:val="2"/>
            <w:shd w:val="clear" w:color="auto" w:fill="E9E9E9"/>
          </w:tcPr>
          <w:p>
            <w:pPr>
              <w:jc w:val="right"/>
              <w:spacing w:after="0" w:line="228" w:lineRule="exact"/>
              <w:rPr>
                <w:sz w:val="20"/>
                <w:szCs w:val="20"/>
                <w:color w:val="auto"/>
              </w:rPr>
            </w:pPr>
            <w:r>
              <w:rPr>
                <w:rFonts w:ascii="Arial" w:cs="Arial" w:eastAsia="Arial" w:hAnsi="Arial"/>
                <w:sz w:val="20"/>
                <w:szCs w:val="20"/>
                <w:color w:val="auto"/>
              </w:rPr>
              <w:t>2,527</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962</w:t>
            </w:r>
          </w:p>
        </w:tc>
        <w:tc>
          <w:tcPr>
            <w:tcW w:w="100" w:type="dxa"/>
            <w:vAlign w:val="bottom"/>
            <w:shd w:val="clear" w:color="auto" w:fill="E9E9E9"/>
          </w:tcPr>
          <w:p>
            <w:pPr>
              <w:spacing w:after="0"/>
              <w:rPr>
                <w:sz w:val="19"/>
                <w:szCs w:val="19"/>
                <w:color w:val="auto"/>
              </w:rPr>
            </w:pPr>
          </w:p>
        </w:tc>
      </w:tr>
      <w:tr>
        <w:trPr>
          <w:trHeight w:val="228"/>
        </w:trPr>
        <w:tc>
          <w:tcPr>
            <w:tcW w:w="7040" w:type="dxa"/>
            <w:vAlign w:val="bottom"/>
          </w:tcPr>
          <w:p>
            <w:pPr>
              <w:spacing w:after="0" w:line="228" w:lineRule="exact"/>
              <w:rPr>
                <w:sz w:val="20"/>
                <w:szCs w:val="20"/>
                <w:color w:val="auto"/>
              </w:rPr>
            </w:pPr>
            <w:r>
              <w:rPr>
                <w:rFonts w:ascii="Arial" w:cs="Arial" w:eastAsia="Arial" w:hAnsi="Arial"/>
                <w:sz w:val="20"/>
                <w:szCs w:val="20"/>
                <w:color w:val="auto"/>
              </w:rPr>
              <w:t>2027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1,578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982</w:t>
            </w:r>
          </w:p>
        </w:tc>
      </w:tr>
      <w:tr>
        <w:trPr>
          <w:trHeight w:val="228"/>
        </w:trPr>
        <w:tc>
          <w:tcPr>
            <w:tcW w:w="70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2028</w:t>
            </w:r>
          </w:p>
        </w:tc>
        <w:tc>
          <w:tcPr>
            <w:tcW w:w="2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60" w:type="dxa"/>
            <w:vAlign w:val="bottom"/>
            <w:gridSpan w:val="2"/>
            <w:shd w:val="clear" w:color="auto" w:fill="E9E9E9"/>
          </w:tcPr>
          <w:p>
            <w:pPr>
              <w:jc w:val="right"/>
              <w:spacing w:after="0" w:line="228" w:lineRule="exact"/>
              <w:rPr>
                <w:sz w:val="20"/>
                <w:szCs w:val="20"/>
                <w:color w:val="auto"/>
              </w:rPr>
            </w:pPr>
            <w:r>
              <w:rPr>
                <w:rFonts w:ascii="Arial" w:cs="Arial" w:eastAsia="Arial" w:hAnsi="Arial"/>
                <w:sz w:val="20"/>
                <w:szCs w:val="20"/>
                <w:color w:val="auto"/>
              </w:rPr>
              <w:t>1,145</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1,001</w:t>
            </w:r>
          </w:p>
        </w:tc>
        <w:tc>
          <w:tcPr>
            <w:tcW w:w="100" w:type="dxa"/>
            <w:vAlign w:val="bottom"/>
            <w:shd w:val="clear" w:color="auto" w:fill="E9E9E9"/>
          </w:tcPr>
          <w:p>
            <w:pPr>
              <w:spacing w:after="0"/>
              <w:rPr>
                <w:sz w:val="19"/>
                <w:szCs w:val="19"/>
                <w:color w:val="auto"/>
              </w:rPr>
            </w:pPr>
          </w:p>
        </w:tc>
      </w:tr>
      <w:tr>
        <w:trPr>
          <w:trHeight w:val="225"/>
        </w:trPr>
        <w:tc>
          <w:tcPr>
            <w:tcW w:w="7060" w:type="dxa"/>
            <w:vAlign w:val="bottom"/>
            <w:gridSpan w:val="2"/>
          </w:tcPr>
          <w:p>
            <w:pPr>
              <w:spacing w:after="0" w:line="225" w:lineRule="exact"/>
              <w:rPr>
                <w:sz w:val="20"/>
                <w:szCs w:val="20"/>
                <w:color w:val="auto"/>
              </w:rPr>
            </w:pPr>
            <w:r>
              <w:rPr>
                <w:rFonts w:ascii="Arial" w:cs="Arial" w:eastAsia="Arial" w:hAnsi="Arial"/>
                <w:sz w:val="20"/>
                <w:szCs w:val="20"/>
                <w:color w:val="auto"/>
              </w:rPr>
              <w:t>Thereafter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3,480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1,596</w:t>
            </w:r>
          </w:p>
        </w:tc>
      </w:tr>
      <w:tr>
        <w:trPr>
          <w:trHeight w:val="218"/>
        </w:trPr>
        <w:tc>
          <w:tcPr>
            <w:tcW w:w="704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Total minimum lease payments</w:t>
            </w:r>
          </w:p>
        </w:tc>
        <w:tc>
          <w:tcPr>
            <w:tcW w:w="20" w:type="dxa"/>
            <w:vAlign w:val="bottom"/>
            <w:tcBorders>
              <w:top w:val="single" w:sz="8" w:color="E9E9E9"/>
            </w:tcBorders>
            <w:shd w:val="clear" w:color="auto" w:fill="E9E9E9"/>
          </w:tcPr>
          <w:p>
            <w:pPr>
              <w:spacing w:after="0"/>
              <w:rPr>
                <w:sz w:val="18"/>
                <w:szCs w:val="18"/>
                <w:color w:val="auto"/>
              </w:rPr>
            </w:pPr>
          </w:p>
        </w:tc>
        <w:tc>
          <w:tcPr>
            <w:tcW w:w="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560" w:type="dxa"/>
            <w:vAlign w:val="bottom"/>
            <w:tcBorders>
              <w:top w:val="single" w:sz="8" w:color="auto"/>
            </w:tcBorders>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rPr>
              <w:t>16,938</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gridSpan w:val="2"/>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260" w:type="dxa"/>
            <w:vAlign w:val="bottom"/>
            <w:tcBorders>
              <w:top w:val="single" w:sz="8" w:color="auto"/>
            </w:tcBorders>
            <w:shd w:val="clear" w:color="auto" w:fill="E9E9E9"/>
          </w:tcPr>
          <w:p>
            <w:pPr>
              <w:jc w:val="right"/>
              <w:ind w:right="61"/>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6,409</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7060" w:type="dxa"/>
            <w:vAlign w:val="bottom"/>
            <w:gridSpan w:val="2"/>
          </w:tcPr>
          <w:p>
            <w:pPr>
              <w:spacing w:after="0" w:line="228" w:lineRule="exact"/>
              <w:rPr>
                <w:sz w:val="20"/>
                <w:szCs w:val="20"/>
                <w:color w:val="auto"/>
              </w:rPr>
            </w:pPr>
            <w:r>
              <w:rPr>
                <w:rFonts w:ascii="Arial" w:cs="Arial" w:eastAsia="Arial" w:hAnsi="Arial"/>
                <w:sz w:val="20"/>
                <w:szCs w:val="20"/>
                <w:color w:val="auto"/>
              </w:rPr>
              <w:t>Less imputed interest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4"/>
          </w:tcPr>
          <w:p>
            <w:pPr>
              <w:jc w:val="right"/>
              <w:ind w:right="40"/>
              <w:spacing w:after="0" w:line="228" w:lineRule="exact"/>
              <w:rPr>
                <w:sz w:val="20"/>
                <w:szCs w:val="20"/>
                <w:color w:val="auto"/>
              </w:rPr>
            </w:pPr>
            <w:r>
              <w:rPr>
                <w:rFonts w:ascii="Arial" w:cs="Arial" w:eastAsia="Arial" w:hAnsi="Arial"/>
                <w:sz w:val="20"/>
                <w:szCs w:val="20"/>
                <w:color w:val="auto"/>
              </w:rPr>
              <w:t>(1,243)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(872)</w:t>
            </w:r>
          </w:p>
        </w:tc>
      </w:tr>
      <w:tr>
        <w:trPr>
          <w:trHeight w:val="219"/>
        </w:trPr>
        <w:tc>
          <w:tcPr>
            <w:tcW w:w="704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Lease liability</w:t>
            </w:r>
          </w:p>
        </w:tc>
        <w:tc>
          <w:tcPr>
            <w:tcW w:w="20" w:type="dxa"/>
            <w:vAlign w:val="bottom"/>
            <w:tcBorders>
              <w:top w:val="single" w:sz="8" w:color="E9E9E9"/>
            </w:tcBorders>
            <w:shd w:val="clear" w:color="auto" w:fill="E9E9E9"/>
          </w:tcPr>
          <w:p>
            <w:pPr>
              <w:spacing w:after="0"/>
              <w:rPr>
                <w:sz w:val="19"/>
                <w:szCs w:val="19"/>
                <w:color w:val="auto"/>
              </w:rPr>
            </w:pPr>
          </w:p>
        </w:tc>
        <w:tc>
          <w:tcPr>
            <w:tcW w:w="4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560" w:type="dxa"/>
            <w:vAlign w:val="bottom"/>
            <w:tcBorders>
              <w:top w:val="single" w:sz="8" w:color="auto"/>
              <w:bottom w:val="single" w:sz="8" w:color="auto"/>
            </w:tcBorders>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rPr>
              <w:t>15,695</w:t>
            </w:r>
          </w:p>
        </w:tc>
        <w:tc>
          <w:tcPr>
            <w:tcW w:w="20" w:type="dxa"/>
            <w:vAlign w:val="bottom"/>
            <w:tcBorders>
              <w:top w:val="single" w:sz="8" w:color="E9E9E9"/>
            </w:tcBorders>
            <w:shd w:val="clear" w:color="auto" w:fill="E9E9E9"/>
          </w:tcPr>
          <w:p>
            <w:pPr>
              <w:spacing w:after="0"/>
              <w:rPr>
                <w:sz w:val="19"/>
                <w:szCs w:val="19"/>
                <w:color w:val="auto"/>
              </w:rPr>
            </w:pPr>
          </w:p>
        </w:tc>
        <w:tc>
          <w:tcPr>
            <w:tcW w:w="80" w:type="dxa"/>
            <w:vAlign w:val="bottom"/>
            <w:tcBorders>
              <w:top w:val="single" w:sz="8" w:color="E9E9E9"/>
            </w:tcBorders>
            <w:shd w:val="clear" w:color="auto" w:fill="E9E9E9"/>
          </w:tcPr>
          <w:p>
            <w:pPr>
              <w:spacing w:after="0"/>
              <w:rPr>
                <w:sz w:val="19"/>
                <w:szCs w:val="19"/>
                <w:color w:val="auto"/>
              </w:rPr>
            </w:pPr>
          </w:p>
        </w:tc>
        <w:tc>
          <w:tcPr>
            <w:tcW w:w="100" w:type="dxa"/>
            <w:vAlign w:val="bottom"/>
            <w:tcBorders>
              <w:top w:val="single" w:sz="8" w:color="E9E9E9"/>
            </w:tcBorders>
            <w:gridSpan w:val="2"/>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260" w:type="dxa"/>
            <w:vAlign w:val="bottom"/>
            <w:tcBorders>
              <w:top w:val="single" w:sz="8" w:color="auto"/>
              <w:bottom w:val="single" w:sz="8" w:color="auto"/>
            </w:tcBorders>
            <w:shd w:val="clear" w:color="auto" w:fill="E9E9E9"/>
          </w:tcPr>
          <w:p>
            <w:pPr>
              <w:jc w:val="right"/>
              <w:ind w:right="61"/>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5,537</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6719570</wp:posOffset>
                </wp:positionH>
                <wp:positionV relativeFrom="paragraph">
                  <wp:posOffset>-5623560</wp:posOffset>
                </wp:positionV>
                <wp:extent cx="7112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442.7999pt" to="534.7pt,-442.7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6719570</wp:posOffset>
                </wp:positionH>
                <wp:positionV relativeFrom="paragraph">
                  <wp:posOffset>-5501005</wp:posOffset>
                </wp:positionV>
                <wp:extent cx="7112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433.1499pt" to="534.7pt,-433.1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6719570</wp:posOffset>
                </wp:positionH>
                <wp:positionV relativeFrom="paragraph">
                  <wp:posOffset>-5205730</wp:posOffset>
                </wp:positionV>
                <wp:extent cx="7112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409.8999pt" to="534.7pt,-409.8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6719570</wp:posOffset>
                </wp:positionH>
                <wp:positionV relativeFrom="paragraph">
                  <wp:posOffset>-4613910</wp:posOffset>
                </wp:positionV>
                <wp:extent cx="7112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363.2999pt" to="534.7pt,-363.2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6719570</wp:posOffset>
                </wp:positionH>
                <wp:positionV relativeFrom="paragraph">
                  <wp:posOffset>-3734435</wp:posOffset>
                </wp:positionV>
                <wp:extent cx="7112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294.0499pt" to="534.7pt,-294.0499pt" o:allowincell="f" strokecolor="#FFFFFF" strokeweight="0.4752pt"/>
            </w:pict>
          </mc:Fallback>
        </mc:AlternateContent>
      </w:r>
    </w:p>
    <w:p>
      <w:pPr>
        <w:spacing w:after="0" w:line="324" w:lineRule="exact"/>
        <w:rPr>
          <w:sz w:val="20"/>
          <w:szCs w:val="20"/>
          <w:color w:val="auto"/>
        </w:rPr>
      </w:pPr>
    </w:p>
    <w:p>
      <w:pPr>
        <w:ind w:left="486" w:hanging="486"/>
        <w:spacing w:after="0"/>
        <w:tabs>
          <w:tab w:leader="none" w:pos="486"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Legal Proceedings</w:t>
      </w:r>
    </w:p>
    <w:p>
      <w:pPr>
        <w:spacing w:after="0" w:line="233" w:lineRule="exact"/>
        <w:rPr>
          <w:sz w:val="20"/>
          <w:szCs w:val="20"/>
          <w:color w:val="auto"/>
        </w:rPr>
      </w:pPr>
    </w:p>
    <w:p>
      <w:pPr>
        <w:ind w:left="6"/>
        <w:spacing w:after="0"/>
        <w:rPr>
          <w:sz w:val="20"/>
          <w:szCs w:val="20"/>
          <w:color w:val="auto"/>
        </w:rPr>
      </w:pPr>
      <w:r>
        <w:rPr>
          <w:rFonts w:ascii="Arial" w:cs="Arial" w:eastAsia="Arial" w:hAnsi="Arial"/>
          <w:sz w:val="20"/>
          <w:szCs w:val="20"/>
          <w:u w:val="single" w:color="auto"/>
          <w:color w:val="auto"/>
        </w:rPr>
        <w:t>Asbestos cases</w:t>
      </w:r>
    </w:p>
    <w:p>
      <w:pPr>
        <w:spacing w:after="0" w:line="248" w:lineRule="exact"/>
        <w:rPr>
          <w:sz w:val="20"/>
          <w:szCs w:val="20"/>
          <w:color w:val="auto"/>
        </w:rPr>
      </w:pPr>
    </w:p>
    <w:p>
      <w:pPr>
        <w:ind w:left="6" w:right="20"/>
        <w:spacing w:after="0" w:line="302" w:lineRule="auto"/>
        <w:rPr>
          <w:sz w:val="20"/>
          <w:szCs w:val="20"/>
          <w:color w:val="auto"/>
        </w:rPr>
      </w:pPr>
      <w:r>
        <w:rPr>
          <w:rFonts w:ascii="Arial" w:cs="Arial" w:eastAsia="Arial" w:hAnsi="Arial"/>
          <w:sz w:val="16"/>
          <w:szCs w:val="16"/>
          <w:color w:val="auto"/>
        </w:rPr>
        <w:t>The Company's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w:t>
      </w:r>
    </w:p>
    <w:p>
      <w:pPr>
        <w:spacing w:after="0" w:line="200" w:lineRule="exact"/>
        <w:rPr>
          <w:sz w:val="20"/>
          <w:szCs w:val="20"/>
          <w:color w:val="auto"/>
        </w:rPr>
      </w:pPr>
    </w:p>
    <w:p>
      <w:pPr>
        <w:spacing w:after="0" w:line="21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F-26</w:t>
      </w:r>
    </w:p>
    <w:p>
      <w:pPr>
        <w:sectPr>
          <w:pgSz w:w="11880" w:h="15480" w:orient="portrait"/>
          <w:cols w:equalWidth="0" w:num="1">
            <w:col w:w="10686"/>
          </w:cols>
          <w:pgMar w:left="594" w:top="837" w:right="600" w:bottom="46" w:gutter="0" w:footer="0" w:header="0"/>
        </w:sectPr>
      </w:pPr>
    </w:p>
    <w:bookmarkStart w:id="86" w:name="page87"/>
    <w:bookmarkEnd w:id="86"/>
    <w:p>
      <w:pPr>
        <w:ind w:left="6"/>
        <w:spacing w:after="0" w:line="233" w:lineRule="auto"/>
        <w:rPr>
          <w:sz w:val="20"/>
          <w:szCs w:val="20"/>
          <w:color w:val="auto"/>
        </w:rPr>
      </w:pPr>
      <w:r>
        <w:rPr>
          <w:rFonts w:ascii="Arial" w:cs="Arial" w:eastAsia="Arial" w:hAnsi="Arial"/>
          <w:sz w:val="20"/>
          <w:szCs w:val="20"/>
          <w:color w:val="auto"/>
        </w:rPr>
        <w:t>payments from 2002 through December 31, 2023 for cases involving asbestos-related claims were $6.5 million which together with all legal fees other than corporate counsel expenses have substantially been paid by the Company’s insurers. The average cost per settled claim, excluding legal fees, was approximately $37,000.</w:t>
      </w:r>
    </w:p>
    <w:p>
      <w:pPr>
        <w:spacing w:after="0" w:line="250" w:lineRule="exact"/>
        <w:rPr>
          <w:sz w:val="20"/>
          <w:szCs w:val="20"/>
          <w:color w:val="auto"/>
        </w:rPr>
      </w:pPr>
    </w:p>
    <w:p>
      <w:pPr>
        <w:ind w:left="6" w:right="60"/>
        <w:spacing w:after="0" w:line="265" w:lineRule="auto"/>
        <w:rPr>
          <w:sz w:val="20"/>
          <w:szCs w:val="20"/>
          <w:color w:val="auto"/>
        </w:rPr>
      </w:pPr>
      <w:r>
        <w:rPr>
          <w:rFonts w:ascii="Arial" w:cs="Arial" w:eastAsia="Arial" w:hAnsi="Arial"/>
          <w:sz w:val="18"/>
          <w:szCs w:val="18"/>
          <w:color w:val="auto"/>
        </w:rPr>
        <w:t>Based upon the most recent information available to the Company regarding such claims, there were a total of 313 cases pending against the Company as of December 31, 2023 (with Illinois, New York, Pennsylvania and West Virginia having the largest number of cases), as compared with 247 cases that were pending as of December 31, 2022. During 2023, 169 new cases were filed against the Company, and the Company was dismissed from 74 cases and settled 29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18"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Other</w:t>
      </w:r>
    </w:p>
    <w:p>
      <w:pPr>
        <w:spacing w:after="0" w:line="234"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Company is also involved in legal proceedings arising in the ordinary course of its business.</w:t>
      </w:r>
    </w:p>
    <w:p>
      <w:pPr>
        <w:spacing w:after="0" w:line="248" w:lineRule="exact"/>
        <w:rPr>
          <w:sz w:val="20"/>
          <w:szCs w:val="20"/>
          <w:color w:val="auto"/>
        </w:rPr>
      </w:pPr>
    </w:p>
    <w:p>
      <w:pPr>
        <w:ind w:left="6" w:right="160"/>
        <w:spacing w:after="0" w:line="268" w:lineRule="auto"/>
        <w:rPr>
          <w:sz w:val="20"/>
          <w:szCs w:val="20"/>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the Company records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223" w:lineRule="exact"/>
        <w:rPr>
          <w:sz w:val="20"/>
          <w:szCs w:val="20"/>
          <w:color w:val="auto"/>
        </w:rPr>
      </w:pPr>
    </w:p>
    <w:p>
      <w:pPr>
        <w:ind w:left="6" w:right="540"/>
        <w:spacing w:after="0" w:line="232" w:lineRule="auto"/>
        <w:rPr>
          <w:sz w:val="20"/>
          <w:szCs w:val="20"/>
          <w:color w:val="auto"/>
        </w:rPr>
      </w:pPr>
      <w:r>
        <w:rPr>
          <w:rFonts w:ascii="Arial" w:cs="Arial" w:eastAsia="Arial" w:hAnsi="Arial"/>
          <w:sz w:val="20"/>
          <w:szCs w:val="20"/>
          <w:color w:val="auto"/>
        </w:rPr>
        <w:t>The Company is not aware of pending claims or assessments, other than as described above, which may have a material adverse impact on its liquidity, financial position, results of operations, or cash flows.</w:t>
      </w:r>
    </w:p>
    <w:p>
      <w:pPr>
        <w:spacing w:after="0" w:line="237" w:lineRule="exact"/>
        <w:rPr>
          <w:sz w:val="20"/>
          <w:szCs w:val="20"/>
          <w:color w:val="auto"/>
        </w:rPr>
      </w:pPr>
    </w:p>
    <w:p>
      <w:pPr>
        <w:ind w:left="486" w:hanging="486"/>
        <w:spacing w:after="0"/>
        <w:tabs>
          <w:tab w:leader="none" w:pos="48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20"/>
          <w:szCs w:val="20"/>
          <w:color w:val="auto"/>
        </w:rPr>
        <w:t>Income before income taxes was generated in the United States and globally as follows:</w:t>
      </w:r>
    </w:p>
    <w:p>
      <w:pPr>
        <w:spacing w:after="0" w:line="23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588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9E9E9"/>
            </w:tcBorders>
          </w:tcPr>
          <w:p>
            <w:pPr>
              <w:spacing w:after="0"/>
              <w:rPr>
                <w:sz w:val="16"/>
                <w:szCs w:val="16"/>
                <w:color w:val="auto"/>
              </w:rPr>
            </w:pPr>
          </w:p>
        </w:tc>
      </w:tr>
      <w:tr>
        <w:trPr>
          <w:trHeight w:val="218"/>
        </w:trPr>
        <w:tc>
          <w:tcPr>
            <w:tcW w:w="588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Domestic</w:t>
            </w: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7,444</w:t>
            </w:r>
          </w:p>
        </w:tc>
        <w:tc>
          <w:tcPr>
            <w:tcW w:w="22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11,971</w:t>
            </w:r>
          </w:p>
        </w:tc>
        <w:tc>
          <w:tcPr>
            <w:tcW w:w="200" w:type="dxa"/>
            <w:vAlign w:val="bottom"/>
            <w:shd w:val="clear" w:color="auto" w:fill="E9E9E9"/>
          </w:tcPr>
          <w:p>
            <w:pPr>
              <w:spacing w:after="0"/>
              <w:rPr>
                <w:sz w:val="18"/>
                <w:szCs w:val="18"/>
                <w:color w:val="auto"/>
              </w:rPr>
            </w:pPr>
          </w:p>
        </w:tc>
        <w:tc>
          <w:tcPr>
            <w:tcW w:w="120" w:type="dxa"/>
            <w:vAlign w:val="bottom"/>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771</w:t>
            </w:r>
          </w:p>
        </w:tc>
        <w:tc>
          <w:tcPr>
            <w:tcW w:w="100" w:type="dxa"/>
            <w:vAlign w:val="bottom"/>
            <w:shd w:val="clear" w:color="auto" w:fill="E9E9E9"/>
          </w:tcPr>
          <w:p>
            <w:pPr>
              <w:spacing w:after="0"/>
              <w:rPr>
                <w:sz w:val="18"/>
                <w:szCs w:val="18"/>
                <w:color w:val="auto"/>
              </w:rPr>
            </w:pPr>
          </w:p>
        </w:tc>
      </w:tr>
      <w:tr>
        <w:trPr>
          <w:trHeight w:val="228"/>
        </w:trPr>
        <w:tc>
          <w:tcPr>
            <w:tcW w:w="5880" w:type="dxa"/>
            <w:vAlign w:val="bottom"/>
          </w:tcPr>
          <w:p>
            <w:pPr>
              <w:spacing w:after="0" w:line="228" w:lineRule="exact"/>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19"/>
                <w:szCs w:val="19"/>
                <w:color w:val="auto"/>
              </w:rPr>
            </w:pPr>
          </w:p>
        </w:tc>
        <w:tc>
          <w:tcPr>
            <w:tcW w:w="1520" w:type="dxa"/>
            <w:vAlign w:val="bottom"/>
            <w:gridSpan w:val="2"/>
          </w:tcPr>
          <w:p>
            <w:pPr>
              <w:jc w:val="right"/>
              <w:ind w:right="220"/>
              <w:spacing w:after="0" w:line="228" w:lineRule="exact"/>
              <w:rPr>
                <w:sz w:val="20"/>
                <w:szCs w:val="20"/>
                <w:color w:val="auto"/>
              </w:rPr>
            </w:pPr>
            <w:r>
              <w:rPr>
                <w:rFonts w:ascii="Arial" w:cs="Arial" w:eastAsia="Arial" w:hAnsi="Arial"/>
                <w:sz w:val="20"/>
                <w:szCs w:val="20"/>
                <w:color w:val="auto"/>
              </w:rPr>
              <w:t>14,081</w:t>
            </w:r>
          </w:p>
        </w:tc>
        <w:tc>
          <w:tcPr>
            <w:tcW w:w="120" w:type="dxa"/>
            <w:vAlign w:val="bottom"/>
          </w:tcPr>
          <w:p>
            <w:pPr>
              <w:spacing w:after="0"/>
              <w:rPr>
                <w:sz w:val="19"/>
                <w:szCs w:val="19"/>
                <w:color w:val="auto"/>
              </w:rPr>
            </w:pPr>
          </w:p>
        </w:tc>
        <w:tc>
          <w:tcPr>
            <w:tcW w:w="150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11,718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3,903</w:t>
            </w:r>
          </w:p>
        </w:tc>
      </w:tr>
      <w:tr>
        <w:trPr>
          <w:trHeight w:val="219"/>
        </w:trPr>
        <w:tc>
          <w:tcPr>
            <w:tcW w:w="588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21,525</w:t>
            </w:r>
          </w:p>
        </w:tc>
        <w:tc>
          <w:tcPr>
            <w:tcW w:w="22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23,689</w:t>
            </w:r>
          </w:p>
        </w:tc>
        <w:tc>
          <w:tcPr>
            <w:tcW w:w="20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4,674</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6" w:right="20"/>
        <w:spacing w:after="0" w:line="235" w:lineRule="auto"/>
        <w:rPr>
          <w:sz w:val="20"/>
          <w:szCs w:val="20"/>
          <w:color w:val="auto"/>
        </w:rPr>
      </w:pPr>
      <w:r>
        <w:rPr>
          <w:rFonts w:ascii="Arial" w:cs="Arial" w:eastAsia="Arial" w:hAnsi="Arial"/>
          <w:sz w:val="20"/>
          <w:szCs w:val="20"/>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$0.7 million has been recorded for the deferred taxes on such undistributed foreign earnings as of December 31, 2023. The deferred taxes are attributable primarily to the foreign withholding taxes that would become payable should the Company repatriate cash held in its foreign operations.</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color w:val="auto"/>
        </w:rPr>
        <w:t>Income tax expense (benefit) consisted of the following for the years ended December 31:</w:t>
      </w:r>
    </w:p>
    <w:p>
      <w:pPr>
        <w:spacing w:after="0" w:line="238"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578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16"/>
                <w:szCs w:val="16"/>
                <w:color w:val="auto"/>
              </w:rPr>
            </w:pPr>
          </w:p>
        </w:tc>
        <w:tc>
          <w:tcPr>
            <w:tcW w:w="10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9E9E9"/>
            </w:tcBorders>
          </w:tcPr>
          <w:p>
            <w:pPr>
              <w:spacing w:after="0"/>
              <w:rPr>
                <w:sz w:val="16"/>
                <w:szCs w:val="16"/>
                <w:color w:val="auto"/>
              </w:rPr>
            </w:pPr>
          </w:p>
        </w:tc>
        <w:tc>
          <w:tcPr>
            <w:tcW w:w="8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9E9E9"/>
            </w:tcBorders>
          </w:tcPr>
          <w:p>
            <w:pPr>
              <w:spacing w:after="0"/>
              <w:rPr>
                <w:sz w:val="16"/>
                <w:szCs w:val="16"/>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Current:</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3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3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r>
      <w:tr>
        <w:trPr>
          <w:trHeight w:val="225"/>
        </w:trPr>
        <w:tc>
          <w:tcPr>
            <w:tcW w:w="5780" w:type="dxa"/>
            <w:vAlign w:val="bottom"/>
          </w:tcPr>
          <w:p>
            <w:pPr>
              <w:ind w:left="200"/>
              <w:spacing w:after="0" w:line="225" w:lineRule="exact"/>
              <w:rPr>
                <w:sz w:val="20"/>
                <w:szCs w:val="20"/>
                <w:color w:val="auto"/>
              </w:rPr>
            </w:pPr>
            <w:r>
              <w:rPr>
                <w:rFonts w:ascii="Arial" w:cs="Arial" w:eastAsia="Arial" w:hAnsi="Arial"/>
                <w:sz w:val="20"/>
                <w:szCs w:val="20"/>
                <w:color w:val="auto"/>
              </w:rPr>
              <w:t>Federal</w:t>
            </w:r>
          </w:p>
        </w:tc>
        <w:tc>
          <w:tcPr>
            <w:tcW w:w="2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21"/>
              <w:spacing w:after="0" w:line="225" w:lineRule="exact"/>
              <w:rPr>
                <w:sz w:val="20"/>
                <w:szCs w:val="20"/>
                <w:color w:val="auto"/>
              </w:rPr>
            </w:pPr>
            <w:r>
              <w:rPr>
                <w:rFonts w:ascii="Arial" w:cs="Arial" w:eastAsia="Arial" w:hAnsi="Arial"/>
                <w:sz w:val="20"/>
                <w:szCs w:val="20"/>
                <w:color w:val="auto"/>
              </w:rPr>
              <w:t>3,939</w:t>
            </w:r>
          </w:p>
        </w:tc>
        <w:tc>
          <w:tcPr>
            <w:tcW w:w="2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20"/>
              <w:spacing w:after="0" w:line="225" w:lineRule="exact"/>
              <w:rPr>
                <w:sz w:val="20"/>
                <w:szCs w:val="20"/>
                <w:color w:val="auto"/>
              </w:rPr>
            </w:pPr>
            <w:r>
              <w:rPr>
                <w:rFonts w:ascii="Arial" w:cs="Arial" w:eastAsia="Arial" w:hAnsi="Arial"/>
                <w:sz w:val="20"/>
                <w:szCs w:val="20"/>
                <w:color w:val="auto"/>
              </w:rPr>
              <w:t>5,009</w:t>
            </w:r>
          </w:p>
        </w:tc>
        <w:tc>
          <w:tcPr>
            <w:tcW w:w="2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354</w:t>
            </w: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State</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1,100</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836</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278</w:t>
            </w:r>
          </w:p>
        </w:tc>
        <w:tc>
          <w:tcPr>
            <w:tcW w:w="100" w:type="dxa"/>
            <w:vAlign w:val="bottom"/>
            <w:shd w:val="clear" w:color="auto" w:fill="E9E9E9"/>
          </w:tcPr>
          <w:p>
            <w:pPr>
              <w:spacing w:after="0"/>
              <w:rPr>
                <w:sz w:val="19"/>
                <w:szCs w:val="19"/>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Foreign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1"/>
              <w:spacing w:after="0" w:line="228" w:lineRule="exact"/>
              <w:rPr>
                <w:sz w:val="20"/>
                <w:szCs w:val="20"/>
                <w:color w:val="auto"/>
              </w:rPr>
            </w:pPr>
            <w:r>
              <w:rPr>
                <w:rFonts w:ascii="Arial" w:cs="Arial" w:eastAsia="Arial" w:hAnsi="Arial"/>
                <w:sz w:val="20"/>
                <w:szCs w:val="20"/>
                <w:color w:val="auto"/>
              </w:rPr>
              <w:t>2,107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20"/>
              <w:spacing w:after="0" w:line="228" w:lineRule="exact"/>
              <w:rPr>
                <w:sz w:val="20"/>
                <w:szCs w:val="20"/>
                <w:color w:val="auto"/>
              </w:rPr>
            </w:pPr>
            <w:r>
              <w:rPr>
                <w:rFonts w:ascii="Arial" w:cs="Arial" w:eastAsia="Arial" w:hAnsi="Arial"/>
                <w:sz w:val="20"/>
                <w:szCs w:val="20"/>
                <w:color w:val="auto"/>
              </w:rPr>
              <w:t>1,755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1,972</w:t>
            </w:r>
          </w:p>
        </w:tc>
      </w:tr>
      <w:tr>
        <w:trPr>
          <w:trHeight w:val="218"/>
        </w:trPr>
        <w:tc>
          <w:tcPr>
            <w:tcW w:w="578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bottom w:val="single" w:sz="8" w:color="auto"/>
            </w:tcBorders>
            <w:shd w:val="clear" w:color="auto" w:fill="E9E9E9"/>
          </w:tcPr>
          <w:p>
            <w:pPr>
              <w:spacing w:after="0"/>
              <w:rPr>
                <w:sz w:val="18"/>
                <w:szCs w:val="18"/>
                <w:color w:val="auto"/>
              </w:rPr>
            </w:pP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7,147</w:t>
            </w: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bottom w:val="single" w:sz="8" w:color="auto"/>
            </w:tcBorders>
            <w:shd w:val="clear" w:color="auto" w:fill="E9E9E9"/>
          </w:tcPr>
          <w:p>
            <w:pPr>
              <w:spacing w:after="0"/>
              <w:rPr>
                <w:sz w:val="18"/>
                <w:szCs w:val="18"/>
                <w:color w:val="auto"/>
              </w:rPr>
            </w:pP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7,600</w:t>
            </w: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spacing w:after="0"/>
              <w:rPr>
                <w:sz w:val="18"/>
                <w:szCs w:val="18"/>
                <w:color w:val="auto"/>
              </w:rPr>
            </w:pP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2,604</w:t>
            </w:r>
          </w:p>
        </w:tc>
        <w:tc>
          <w:tcPr>
            <w:tcW w:w="100" w:type="dxa"/>
            <w:vAlign w:val="bottom"/>
            <w:tcBorders>
              <w:top w:val="single" w:sz="8" w:color="E9E9E9"/>
            </w:tcBorders>
            <w:shd w:val="clear" w:color="auto" w:fill="E9E9E9"/>
          </w:tcPr>
          <w:p>
            <w:pPr>
              <w:spacing w:after="0"/>
              <w:rPr>
                <w:sz w:val="18"/>
                <w:szCs w:val="18"/>
                <w:color w:val="auto"/>
              </w:rPr>
            </w:pPr>
          </w:p>
        </w:tc>
      </w:tr>
      <w:tr>
        <w:trPr>
          <w:trHeight w:val="217"/>
        </w:trPr>
        <w:tc>
          <w:tcPr>
            <w:tcW w:w="5780" w:type="dxa"/>
            <w:vAlign w:val="bottom"/>
          </w:tcPr>
          <w:p>
            <w:pPr>
              <w:spacing w:after="0" w:line="217" w:lineRule="exact"/>
              <w:rPr>
                <w:sz w:val="20"/>
                <w:szCs w:val="20"/>
                <w:color w:val="auto"/>
              </w:rPr>
            </w:pPr>
            <w:r>
              <w:rPr>
                <w:rFonts w:ascii="Arial" w:cs="Arial" w:eastAsia="Arial" w:hAnsi="Arial"/>
                <w:sz w:val="20"/>
                <w:szCs w:val="20"/>
                <w:color w:val="auto"/>
              </w:rPr>
              <w:t>Deferred: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Federal</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(495</w:t>
            </w:r>
          </w:p>
        </w:tc>
        <w:tc>
          <w:tcPr>
            <w:tcW w:w="1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(3,001)</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426</w:t>
            </w:r>
          </w:p>
        </w:tc>
        <w:tc>
          <w:tcPr>
            <w:tcW w:w="100" w:type="dxa"/>
            <w:vAlign w:val="bottom"/>
            <w:shd w:val="clear" w:color="auto" w:fill="E9E9E9"/>
          </w:tcPr>
          <w:p>
            <w:pPr>
              <w:spacing w:after="0"/>
              <w:rPr>
                <w:sz w:val="19"/>
                <w:szCs w:val="19"/>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State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auto"/>
              </w:rPr>
              <w:t>(231)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45</w:t>
            </w: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Foreign</w:t>
            </w: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580</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1,058</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(384)</w:t>
            </w:r>
          </w:p>
        </w:tc>
        <w:tc>
          <w:tcPr>
            <w:tcW w:w="100" w:type="dxa"/>
            <w:vAlign w:val="bottom"/>
            <w:shd w:val="clear" w:color="auto" w:fill="E9E9E9"/>
          </w:tcPr>
          <w:p>
            <w:pPr>
              <w:spacing w:after="0"/>
              <w:rPr>
                <w:sz w:val="19"/>
                <w:szCs w:val="19"/>
                <w:color w:val="auto"/>
              </w:rPr>
            </w:pPr>
          </w:p>
        </w:tc>
      </w:tr>
      <w:tr>
        <w:trPr>
          <w:trHeight w:val="218"/>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line="217" w:lineRule="exact"/>
              <w:rPr>
                <w:sz w:val="20"/>
                <w:szCs w:val="20"/>
                <w:color w:val="auto"/>
              </w:rPr>
            </w:pPr>
            <w:r>
              <w:rPr>
                <w:rFonts w:ascii="Arial" w:cs="Arial" w:eastAsia="Arial" w:hAnsi="Arial"/>
                <w:sz w:val="20"/>
                <w:szCs w:val="20"/>
                <w:color w:val="auto"/>
              </w:rPr>
              <w:t>(2,174)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87</w:t>
            </w:r>
          </w:p>
        </w:tc>
      </w:tr>
      <w:tr>
        <w:trPr>
          <w:trHeight w:val="218"/>
        </w:trPr>
        <w:tc>
          <w:tcPr>
            <w:tcW w:w="578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7,024</w:t>
            </w: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5,426</w:t>
            </w: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bottom w:val="single" w:sz="8" w:color="auto"/>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2,691</w:t>
            </w:r>
          </w:p>
        </w:tc>
        <w:tc>
          <w:tcPr>
            <w:tcW w:w="100" w:type="dxa"/>
            <w:vAlign w:val="bottom"/>
            <w:tcBorders>
              <w:top w:val="single" w:sz="8" w:color="E9E9E9"/>
            </w:tcBorders>
            <w:shd w:val="clear" w:color="auto" w:fill="E9E9E9"/>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6721475</wp:posOffset>
                </wp:positionH>
                <wp:positionV relativeFrom="paragraph">
                  <wp:posOffset>-911225</wp:posOffset>
                </wp:positionV>
                <wp:extent cx="6921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71.7499pt" to="534.7pt,-71.7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6721475</wp:posOffset>
                </wp:positionH>
                <wp:positionV relativeFrom="paragraph">
                  <wp:posOffset>-325755</wp:posOffset>
                </wp:positionV>
                <wp:extent cx="6921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25.6499pt" to="534.7pt,-25.6499pt" o:allowincell="f" strokecolor="#FFFFFF" strokeweight="0.475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F-27</w:t>
      </w:r>
    </w:p>
    <w:p>
      <w:pPr>
        <w:sectPr>
          <w:pgSz w:w="11880" w:h="15480" w:orient="portrait"/>
          <w:cols w:equalWidth="0" w:num="1">
            <w:col w:w="10686"/>
          </w:cols>
          <w:pgMar w:left="594" w:top="849" w:right="600" w:bottom="46"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The income tax expense (benefit) differs from the statutory rate due to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9E9E9"/>
            </w:tcBorders>
          </w:tcPr>
          <w:p>
            <w:pPr>
              <w:spacing w:after="0"/>
              <w:rPr>
                <w:sz w:val="16"/>
                <w:szCs w:val="16"/>
                <w:color w:val="auto"/>
              </w:rPr>
            </w:pPr>
          </w:p>
        </w:tc>
      </w:tr>
      <w:tr>
        <w:trPr>
          <w:trHeight w:val="218"/>
        </w:trPr>
        <w:tc>
          <w:tcPr>
            <w:tcW w:w="588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Tax expense at statutory rate</w:t>
            </w: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4,488</w:t>
            </w:r>
          </w:p>
        </w:tc>
        <w:tc>
          <w:tcPr>
            <w:tcW w:w="22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4,975</w:t>
            </w:r>
          </w:p>
        </w:tc>
        <w:tc>
          <w:tcPr>
            <w:tcW w:w="200" w:type="dxa"/>
            <w:vAlign w:val="bottom"/>
            <w:shd w:val="clear" w:color="auto" w:fill="E9E9E9"/>
          </w:tcPr>
          <w:p>
            <w:pPr>
              <w:spacing w:after="0"/>
              <w:rPr>
                <w:sz w:val="18"/>
                <w:szCs w:val="18"/>
                <w:color w:val="auto"/>
              </w:rPr>
            </w:pPr>
          </w:p>
        </w:tc>
        <w:tc>
          <w:tcPr>
            <w:tcW w:w="120" w:type="dxa"/>
            <w:vAlign w:val="bottom"/>
            <w:gridSpan w:val="2"/>
            <w:shd w:val="clear" w:color="auto" w:fill="E9E9E9"/>
          </w:tcPr>
          <w:p>
            <w:pPr>
              <w:jc w:val="right"/>
              <w:spacing w:after="0" w:line="217"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981</w:t>
            </w:r>
          </w:p>
        </w:tc>
        <w:tc>
          <w:tcPr>
            <w:tcW w:w="100" w:type="dxa"/>
            <w:vAlign w:val="bottom"/>
            <w:shd w:val="clear" w:color="auto" w:fill="E9E9E9"/>
          </w:tcPr>
          <w:p>
            <w:pPr>
              <w:spacing w:after="0"/>
              <w:rPr>
                <w:sz w:val="18"/>
                <w:szCs w:val="18"/>
                <w:color w:val="auto"/>
              </w:rPr>
            </w:pPr>
          </w:p>
        </w:tc>
      </w:tr>
      <w:tr>
        <w:trPr>
          <w:trHeight w:val="228"/>
        </w:trPr>
        <w:tc>
          <w:tcPr>
            <w:tcW w:w="5880" w:type="dxa"/>
            <w:vAlign w:val="bottom"/>
          </w:tcPr>
          <w:p>
            <w:pPr>
              <w:spacing w:after="0" w:line="228" w:lineRule="exact"/>
              <w:rPr>
                <w:sz w:val="20"/>
                <w:szCs w:val="20"/>
                <w:color w:val="auto"/>
              </w:rPr>
            </w:pPr>
            <w:r>
              <w:rPr>
                <w:rFonts w:ascii="Arial" w:cs="Arial" w:eastAsia="Arial" w:hAnsi="Arial"/>
                <w:sz w:val="20"/>
                <w:szCs w:val="20"/>
                <w:color w:val="auto"/>
              </w:rPr>
              <w:t>Increase (decrease) in tax resulting from:</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8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State income tax, net of federal benefit</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541</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340</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334</w:t>
            </w:r>
          </w:p>
        </w:tc>
        <w:tc>
          <w:tcPr>
            <w:tcW w:w="100" w:type="dxa"/>
            <w:vAlign w:val="bottom"/>
            <w:shd w:val="clear" w:color="auto" w:fill="E9E9E9"/>
          </w:tcPr>
          <w:p>
            <w:pPr>
              <w:spacing w:after="0"/>
              <w:rPr>
                <w:sz w:val="19"/>
                <w:szCs w:val="19"/>
                <w:color w:val="auto"/>
              </w:rPr>
            </w:pPr>
          </w:p>
        </w:tc>
      </w:tr>
      <w:tr>
        <w:trPr>
          <w:trHeight w:val="228"/>
        </w:trPr>
        <w:tc>
          <w:tcPr>
            <w:tcW w:w="5880" w:type="dxa"/>
            <w:vAlign w:val="bottom"/>
          </w:tcPr>
          <w:p>
            <w:pPr>
              <w:ind w:left="200"/>
              <w:spacing w:after="0" w:line="228" w:lineRule="exact"/>
              <w:rPr>
                <w:sz w:val="20"/>
                <w:szCs w:val="20"/>
                <w:color w:val="auto"/>
              </w:rPr>
            </w:pPr>
            <w:r>
              <w:rPr>
                <w:rFonts w:ascii="Arial" w:cs="Arial" w:eastAsia="Arial" w:hAnsi="Arial"/>
                <w:sz w:val="20"/>
                <w:szCs w:val="20"/>
                <w:color w:val="auto"/>
              </w:rPr>
              <w:t>Other permanent differences</w:t>
            </w:r>
          </w:p>
        </w:tc>
        <w:tc>
          <w:tcPr>
            <w:tcW w:w="120" w:type="dxa"/>
            <w:vAlign w:val="bottom"/>
          </w:tcPr>
          <w:p>
            <w:pPr>
              <w:spacing w:after="0"/>
              <w:rPr>
                <w:sz w:val="19"/>
                <w:szCs w:val="19"/>
                <w:color w:val="auto"/>
              </w:rPr>
            </w:pPr>
          </w:p>
        </w:tc>
        <w:tc>
          <w:tcPr>
            <w:tcW w:w="1520" w:type="dxa"/>
            <w:vAlign w:val="bottom"/>
            <w:gridSpan w:val="2"/>
          </w:tcPr>
          <w:p>
            <w:pPr>
              <w:jc w:val="right"/>
              <w:ind w:right="121"/>
              <w:spacing w:after="0" w:line="228" w:lineRule="exact"/>
              <w:rPr>
                <w:sz w:val="20"/>
                <w:szCs w:val="20"/>
                <w:color w:val="auto"/>
              </w:rPr>
            </w:pPr>
            <w:r>
              <w:rPr>
                <w:rFonts w:ascii="Arial" w:cs="Arial" w:eastAsia="Arial" w:hAnsi="Arial"/>
                <w:sz w:val="20"/>
                <w:szCs w:val="20"/>
                <w:color w:val="auto"/>
              </w:rPr>
              <w:t>290</w:t>
            </w:r>
          </w:p>
        </w:tc>
        <w:tc>
          <w:tcPr>
            <w:tcW w:w="120" w:type="dxa"/>
            <w:vAlign w:val="bottom"/>
          </w:tcPr>
          <w:p>
            <w:pPr>
              <w:spacing w:after="0"/>
              <w:rPr>
                <w:sz w:val="19"/>
                <w:szCs w:val="19"/>
                <w:color w:val="auto"/>
              </w:rPr>
            </w:pPr>
          </w:p>
        </w:tc>
        <w:tc>
          <w:tcPr>
            <w:tcW w:w="150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(147)</w:t>
            </w:r>
          </w:p>
        </w:tc>
      </w:tr>
      <w:tr>
        <w:trPr>
          <w:trHeight w:val="228"/>
        </w:trPr>
        <w:tc>
          <w:tcPr>
            <w:tcW w:w="58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Impact of rate differences and adjustments</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(1,046</w:t>
            </w:r>
          </w:p>
        </w:tc>
        <w:tc>
          <w:tcPr>
            <w:tcW w:w="220" w:type="dxa"/>
            <w:vAlign w:val="bottom"/>
            <w:shd w:val="clear" w:color="auto" w:fill="E9E9E9"/>
          </w:tcPr>
          <w:p>
            <w:pPr>
              <w:jc w:val="right"/>
              <w:ind w:right="41"/>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565</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876</w:t>
            </w:r>
          </w:p>
        </w:tc>
        <w:tc>
          <w:tcPr>
            <w:tcW w:w="100" w:type="dxa"/>
            <w:vAlign w:val="bottom"/>
            <w:shd w:val="clear" w:color="auto" w:fill="E9E9E9"/>
          </w:tcPr>
          <w:p>
            <w:pPr>
              <w:spacing w:after="0"/>
              <w:rPr>
                <w:sz w:val="19"/>
                <w:szCs w:val="19"/>
                <w:color w:val="auto"/>
              </w:rPr>
            </w:pPr>
          </w:p>
        </w:tc>
      </w:tr>
      <w:tr>
        <w:trPr>
          <w:trHeight w:val="225"/>
        </w:trPr>
        <w:tc>
          <w:tcPr>
            <w:tcW w:w="5880" w:type="dxa"/>
            <w:vAlign w:val="bottom"/>
          </w:tcPr>
          <w:p>
            <w:pPr>
              <w:ind w:left="200"/>
              <w:spacing w:after="0" w:line="225" w:lineRule="exact"/>
              <w:rPr>
                <w:sz w:val="20"/>
                <w:szCs w:val="20"/>
                <w:color w:val="auto"/>
              </w:rPr>
            </w:pPr>
            <w:r>
              <w:rPr>
                <w:rFonts w:ascii="Arial" w:cs="Arial" w:eastAsia="Arial" w:hAnsi="Arial"/>
                <w:sz w:val="20"/>
                <w:szCs w:val="20"/>
                <w:color w:val="auto"/>
              </w:rPr>
              <w:t>United States tax credits and incentives</w:t>
            </w:r>
          </w:p>
        </w:tc>
        <w:tc>
          <w:tcPr>
            <w:tcW w:w="120" w:type="dxa"/>
            <w:vAlign w:val="bottom"/>
          </w:tcPr>
          <w:p>
            <w:pPr>
              <w:spacing w:after="0"/>
              <w:rPr>
                <w:sz w:val="19"/>
                <w:szCs w:val="19"/>
                <w:color w:val="auto"/>
              </w:rPr>
            </w:pPr>
          </w:p>
        </w:tc>
        <w:tc>
          <w:tcPr>
            <w:tcW w:w="1520" w:type="dxa"/>
            <w:vAlign w:val="bottom"/>
            <w:gridSpan w:val="2"/>
          </w:tcPr>
          <w:p>
            <w:pPr>
              <w:jc w:val="right"/>
              <w:ind w:right="41"/>
              <w:spacing w:after="0" w:line="225" w:lineRule="exact"/>
              <w:rPr>
                <w:sz w:val="20"/>
                <w:szCs w:val="20"/>
                <w:color w:val="auto"/>
              </w:rPr>
            </w:pPr>
            <w:r>
              <w:rPr>
                <w:rFonts w:ascii="Arial" w:cs="Arial" w:eastAsia="Arial" w:hAnsi="Arial"/>
                <w:sz w:val="20"/>
                <w:szCs w:val="20"/>
                <w:color w:val="auto"/>
              </w:rPr>
              <w:t>(532)</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line="225" w:lineRule="exact"/>
              <w:rPr>
                <w:sz w:val="20"/>
                <w:szCs w:val="20"/>
                <w:color w:val="auto"/>
              </w:rPr>
            </w:pPr>
            <w:r>
              <w:rPr>
                <w:rFonts w:ascii="Arial" w:cs="Arial" w:eastAsia="Arial" w:hAnsi="Arial"/>
                <w:sz w:val="20"/>
                <w:szCs w:val="20"/>
                <w:color w:val="auto"/>
              </w:rPr>
              <w:t>(626)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300</w:t>
            </w:r>
          </w:p>
        </w:tc>
      </w:tr>
      <w:tr>
        <w:trPr>
          <w:trHeight w:val="228"/>
        </w:trPr>
        <w:tc>
          <w:tcPr>
            <w:tcW w:w="58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Foreign tax credits and incentives</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(812</w:t>
            </w:r>
          </w:p>
        </w:tc>
        <w:tc>
          <w:tcPr>
            <w:tcW w:w="220" w:type="dxa"/>
            <w:vAlign w:val="bottom"/>
            <w:shd w:val="clear" w:color="auto" w:fill="E9E9E9"/>
          </w:tcPr>
          <w:p>
            <w:pPr>
              <w:jc w:val="right"/>
              <w:ind w:right="41"/>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(895)</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(265)</w:t>
            </w:r>
          </w:p>
        </w:tc>
        <w:tc>
          <w:tcPr>
            <w:tcW w:w="100" w:type="dxa"/>
            <w:vAlign w:val="bottom"/>
            <w:shd w:val="clear" w:color="auto" w:fill="E9E9E9"/>
          </w:tcPr>
          <w:p>
            <w:pPr>
              <w:spacing w:after="0"/>
              <w:rPr>
                <w:sz w:val="19"/>
                <w:szCs w:val="19"/>
                <w:color w:val="auto"/>
              </w:rPr>
            </w:pPr>
          </w:p>
        </w:tc>
      </w:tr>
      <w:tr>
        <w:trPr>
          <w:trHeight w:val="228"/>
        </w:trPr>
        <w:tc>
          <w:tcPr>
            <w:tcW w:w="5880" w:type="dxa"/>
            <w:vAlign w:val="bottom"/>
          </w:tcPr>
          <w:p>
            <w:pPr>
              <w:ind w:left="200"/>
              <w:spacing w:after="0" w:line="228" w:lineRule="exact"/>
              <w:rPr>
                <w:sz w:val="20"/>
                <w:szCs w:val="20"/>
                <w:color w:val="auto"/>
              </w:rPr>
            </w:pPr>
            <w:r>
              <w:rPr>
                <w:rFonts w:ascii="Arial" w:cs="Arial" w:eastAsia="Arial" w:hAnsi="Arial"/>
                <w:sz w:val="20"/>
                <w:szCs w:val="20"/>
                <w:color w:val="auto"/>
              </w:rPr>
              <w:t>Change in valuation allowance</w:t>
            </w:r>
          </w:p>
        </w:tc>
        <w:tc>
          <w:tcPr>
            <w:tcW w:w="120" w:type="dxa"/>
            <w:vAlign w:val="bottom"/>
          </w:tcPr>
          <w:p>
            <w:pPr>
              <w:spacing w:after="0"/>
              <w:rPr>
                <w:sz w:val="19"/>
                <w:szCs w:val="19"/>
                <w:color w:val="auto"/>
              </w:rPr>
            </w:pPr>
          </w:p>
        </w:tc>
        <w:tc>
          <w:tcPr>
            <w:tcW w:w="1520" w:type="dxa"/>
            <w:vAlign w:val="bottom"/>
            <w:gridSpan w:val="2"/>
          </w:tcPr>
          <w:p>
            <w:pPr>
              <w:jc w:val="right"/>
              <w:ind w:right="121"/>
              <w:spacing w:after="0" w:line="228" w:lineRule="exact"/>
              <w:rPr>
                <w:sz w:val="20"/>
                <w:szCs w:val="20"/>
                <w:color w:val="auto"/>
              </w:rPr>
            </w:pPr>
            <w:r>
              <w:rPr>
                <w:rFonts w:ascii="Arial" w:cs="Arial" w:eastAsia="Arial" w:hAnsi="Arial"/>
                <w:sz w:val="20"/>
                <w:szCs w:val="20"/>
                <w:color w:val="auto"/>
              </w:rPr>
              <w:t>1,782</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(526)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(489)</w:t>
            </w:r>
          </w:p>
        </w:tc>
      </w:tr>
      <w:tr>
        <w:trPr>
          <w:trHeight w:val="228"/>
        </w:trPr>
        <w:tc>
          <w:tcPr>
            <w:tcW w:w="58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Foreign withholding taxes on repatriation of foreign earnings</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(592</w:t>
            </w:r>
          </w:p>
        </w:tc>
        <w:tc>
          <w:tcPr>
            <w:tcW w:w="220" w:type="dxa"/>
            <w:vAlign w:val="bottom"/>
            <w:shd w:val="clear" w:color="auto" w:fill="E9E9E9"/>
          </w:tcPr>
          <w:p>
            <w:pPr>
              <w:jc w:val="right"/>
              <w:ind w:right="41"/>
              <w:spacing w:after="0" w:line="228" w:lineRule="exact"/>
              <w:rPr>
                <w:sz w:val="20"/>
                <w:szCs w:val="20"/>
                <w:color w:val="auto"/>
              </w:rPr>
            </w:pPr>
            <w:r>
              <w:rPr>
                <w:rFonts w:ascii="Arial" w:cs="Arial" w:eastAsia="Arial" w:hAnsi="Arial"/>
                <w:sz w:val="20"/>
                <w:szCs w:val="20"/>
                <w:color w:val="auto"/>
                <w:w w:val="89"/>
                <w:shd w:val="clear" w:color="auto" w:fill="E9E9E9"/>
              </w:rPr>
              <w:t>)</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139</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244</w:t>
            </w:r>
          </w:p>
        </w:tc>
        <w:tc>
          <w:tcPr>
            <w:tcW w:w="100" w:type="dxa"/>
            <w:vAlign w:val="bottom"/>
            <w:shd w:val="clear" w:color="auto" w:fill="E9E9E9"/>
          </w:tcPr>
          <w:p>
            <w:pPr>
              <w:spacing w:after="0"/>
              <w:rPr>
                <w:sz w:val="19"/>
                <w:szCs w:val="19"/>
                <w:color w:val="auto"/>
              </w:rPr>
            </w:pPr>
          </w:p>
        </w:tc>
      </w:tr>
      <w:tr>
        <w:trPr>
          <w:trHeight w:val="228"/>
        </w:trPr>
        <w:tc>
          <w:tcPr>
            <w:tcW w:w="5880" w:type="dxa"/>
            <w:vAlign w:val="bottom"/>
          </w:tcPr>
          <w:p>
            <w:pPr>
              <w:ind w:left="200"/>
              <w:spacing w:after="0" w:line="228" w:lineRule="exact"/>
              <w:rPr>
                <w:sz w:val="20"/>
                <w:szCs w:val="20"/>
                <w:color w:val="auto"/>
              </w:rPr>
            </w:pPr>
            <w:r>
              <w:rPr>
                <w:rFonts w:ascii="Arial" w:cs="Arial" w:eastAsia="Arial" w:hAnsi="Arial"/>
                <w:sz w:val="20"/>
                <w:szCs w:val="20"/>
                <w:color w:val="auto"/>
              </w:rPr>
              <w:t>Earnout expense (income)</w:t>
            </w:r>
          </w:p>
        </w:tc>
        <w:tc>
          <w:tcPr>
            <w:tcW w:w="120" w:type="dxa"/>
            <w:vAlign w:val="bottom"/>
          </w:tcPr>
          <w:p>
            <w:pPr>
              <w:spacing w:after="0"/>
              <w:rPr>
                <w:sz w:val="19"/>
                <w:szCs w:val="19"/>
                <w:color w:val="auto"/>
              </w:rPr>
            </w:pPr>
          </w:p>
        </w:tc>
        <w:tc>
          <w:tcPr>
            <w:tcW w:w="1520" w:type="dxa"/>
            <w:vAlign w:val="bottom"/>
            <w:gridSpan w:val="2"/>
          </w:tcPr>
          <w:p>
            <w:pPr>
              <w:jc w:val="right"/>
              <w:ind w:right="121"/>
              <w:spacing w:after="0" w:line="228" w:lineRule="exact"/>
              <w:rPr>
                <w:sz w:val="20"/>
                <w:szCs w:val="20"/>
                <w:color w:val="auto"/>
              </w:rPr>
            </w:pPr>
            <w:r>
              <w:rPr>
                <w:rFonts w:ascii="Arial" w:cs="Arial" w:eastAsia="Arial" w:hAnsi="Arial"/>
                <w:sz w:val="20"/>
                <w:szCs w:val="20"/>
                <w:color w:val="auto"/>
              </w:rPr>
              <w:t>85</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233</w:t>
            </w:r>
          </w:p>
        </w:tc>
      </w:tr>
      <w:tr>
        <w:trPr>
          <w:trHeight w:val="228"/>
        </w:trPr>
        <w:tc>
          <w:tcPr>
            <w:tcW w:w="58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Equity compensation</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460</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339</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169</w:t>
            </w:r>
          </w:p>
        </w:tc>
        <w:tc>
          <w:tcPr>
            <w:tcW w:w="100" w:type="dxa"/>
            <w:vAlign w:val="bottom"/>
            <w:shd w:val="clear" w:color="auto" w:fill="E9E9E9"/>
          </w:tcPr>
          <w:p>
            <w:pPr>
              <w:spacing w:after="0"/>
              <w:rPr>
                <w:sz w:val="19"/>
                <w:szCs w:val="19"/>
                <w:color w:val="auto"/>
              </w:rPr>
            </w:pPr>
          </w:p>
        </w:tc>
      </w:tr>
      <w:tr>
        <w:trPr>
          <w:trHeight w:val="225"/>
        </w:trPr>
        <w:tc>
          <w:tcPr>
            <w:tcW w:w="5880" w:type="dxa"/>
            <w:vAlign w:val="bottom"/>
          </w:tcPr>
          <w:p>
            <w:pPr>
              <w:ind w:left="200"/>
              <w:spacing w:after="0" w:line="225" w:lineRule="exact"/>
              <w:rPr>
                <w:sz w:val="20"/>
                <w:szCs w:val="20"/>
                <w:color w:val="auto"/>
              </w:rPr>
            </w:pPr>
            <w:r>
              <w:rPr>
                <w:rFonts w:ascii="Arial" w:cs="Arial" w:eastAsia="Arial" w:hAnsi="Arial"/>
                <w:sz w:val="20"/>
                <w:szCs w:val="20"/>
                <w:color w:val="auto"/>
              </w:rPr>
              <w:t>Excess compensation</w:t>
            </w:r>
          </w:p>
        </w:tc>
        <w:tc>
          <w:tcPr>
            <w:tcW w:w="120" w:type="dxa"/>
            <w:vAlign w:val="bottom"/>
          </w:tcPr>
          <w:p>
            <w:pPr>
              <w:spacing w:after="0"/>
              <w:rPr>
                <w:sz w:val="19"/>
                <w:szCs w:val="19"/>
                <w:color w:val="auto"/>
              </w:rPr>
            </w:pPr>
          </w:p>
        </w:tc>
        <w:tc>
          <w:tcPr>
            <w:tcW w:w="1520" w:type="dxa"/>
            <w:vAlign w:val="bottom"/>
            <w:gridSpan w:val="2"/>
          </w:tcPr>
          <w:p>
            <w:pPr>
              <w:jc w:val="right"/>
              <w:ind w:right="121"/>
              <w:spacing w:after="0" w:line="225" w:lineRule="exact"/>
              <w:rPr>
                <w:sz w:val="20"/>
                <w:szCs w:val="20"/>
                <w:color w:val="auto"/>
              </w:rPr>
            </w:pPr>
            <w:r>
              <w:rPr>
                <w:rFonts w:ascii="Arial" w:cs="Arial" w:eastAsia="Arial" w:hAnsi="Arial"/>
                <w:sz w:val="20"/>
                <w:szCs w:val="20"/>
                <w:color w:val="auto"/>
              </w:rPr>
              <w:t>360</w:t>
            </w:r>
          </w:p>
        </w:tc>
        <w:tc>
          <w:tcPr>
            <w:tcW w:w="120" w:type="dxa"/>
            <w:vAlign w:val="bottom"/>
          </w:tcPr>
          <w:p>
            <w:pPr>
              <w:spacing w:after="0"/>
              <w:rPr>
                <w:sz w:val="19"/>
                <w:szCs w:val="19"/>
                <w:color w:val="auto"/>
              </w:rPr>
            </w:pPr>
          </w:p>
        </w:tc>
        <w:tc>
          <w:tcPr>
            <w:tcW w:w="1500" w:type="dxa"/>
            <w:vAlign w:val="bottom"/>
            <w:gridSpan w:val="2"/>
          </w:tcPr>
          <w:p>
            <w:pPr>
              <w:jc w:val="right"/>
              <w:ind w:right="200"/>
              <w:spacing w:after="0" w:line="225" w:lineRule="exact"/>
              <w:rPr>
                <w:sz w:val="20"/>
                <w:szCs w:val="20"/>
                <w:color w:val="auto"/>
              </w:rPr>
            </w:pPr>
            <w:r>
              <w:rPr>
                <w:rFonts w:ascii="Arial" w:cs="Arial" w:eastAsia="Arial" w:hAnsi="Arial"/>
                <w:sz w:val="20"/>
                <w:szCs w:val="20"/>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w:t>
            </w:r>
          </w:p>
        </w:tc>
      </w:tr>
      <w:tr>
        <w:trPr>
          <w:trHeight w:val="228"/>
        </w:trPr>
        <w:tc>
          <w:tcPr>
            <w:tcW w:w="58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Provision-to-return adjustments</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528</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(189)</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127</w:t>
            </w:r>
          </w:p>
        </w:tc>
        <w:tc>
          <w:tcPr>
            <w:tcW w:w="100" w:type="dxa"/>
            <w:vAlign w:val="bottom"/>
            <w:shd w:val="clear" w:color="auto" w:fill="E9E9E9"/>
          </w:tcPr>
          <w:p>
            <w:pPr>
              <w:spacing w:after="0"/>
              <w:rPr>
                <w:sz w:val="19"/>
                <w:szCs w:val="19"/>
                <w:color w:val="auto"/>
              </w:rPr>
            </w:pPr>
          </w:p>
        </w:tc>
      </w:tr>
      <w:tr>
        <w:trPr>
          <w:trHeight w:val="228"/>
        </w:trPr>
        <w:tc>
          <w:tcPr>
            <w:tcW w:w="5880" w:type="dxa"/>
            <w:vAlign w:val="bottom"/>
          </w:tcPr>
          <w:p>
            <w:pPr>
              <w:ind w:left="200"/>
              <w:spacing w:after="0" w:line="228" w:lineRule="exact"/>
              <w:rPr>
                <w:sz w:val="20"/>
                <w:szCs w:val="20"/>
                <w:color w:val="auto"/>
              </w:rPr>
            </w:pPr>
            <w:r>
              <w:rPr>
                <w:rFonts w:ascii="Arial" w:cs="Arial" w:eastAsia="Arial" w:hAnsi="Arial"/>
                <w:sz w:val="20"/>
                <w:szCs w:val="20"/>
                <w:color w:val="auto"/>
              </w:rPr>
              <w:t>Investment in joint venture</w:t>
            </w:r>
          </w:p>
        </w:tc>
        <w:tc>
          <w:tcPr>
            <w:tcW w:w="120" w:type="dxa"/>
            <w:vAlign w:val="bottom"/>
          </w:tcPr>
          <w:p>
            <w:pPr>
              <w:spacing w:after="0"/>
              <w:rPr>
                <w:sz w:val="19"/>
                <w:szCs w:val="19"/>
                <w:color w:val="auto"/>
              </w:rPr>
            </w:pPr>
          </w:p>
        </w:tc>
        <w:tc>
          <w:tcPr>
            <w:tcW w:w="1520" w:type="dxa"/>
            <w:vAlign w:val="bottom"/>
            <w:gridSpan w:val="2"/>
          </w:tcPr>
          <w:p>
            <w:pPr>
              <w:jc w:val="right"/>
              <w:ind w:right="41"/>
              <w:spacing w:after="0" w:line="228" w:lineRule="exact"/>
              <w:rPr>
                <w:sz w:val="20"/>
                <w:szCs w:val="20"/>
                <w:color w:val="auto"/>
              </w:rPr>
            </w:pPr>
            <w:r>
              <w:rPr>
                <w:rFonts w:ascii="Arial" w:cs="Arial" w:eastAsia="Arial" w:hAnsi="Arial"/>
                <w:sz w:val="20"/>
                <w:szCs w:val="20"/>
                <w:color w:val="auto"/>
              </w:rPr>
              <w:t>(155)</w:t>
            </w:r>
          </w:p>
        </w:tc>
        <w:tc>
          <w:tcPr>
            <w:tcW w:w="120" w:type="dxa"/>
            <w:vAlign w:val="bottom"/>
          </w:tcPr>
          <w:p>
            <w:pPr>
              <w:spacing w:after="0"/>
              <w:rPr>
                <w:sz w:val="19"/>
                <w:szCs w:val="19"/>
                <w:color w:val="auto"/>
              </w:rPr>
            </w:pPr>
          </w:p>
        </w:tc>
        <w:tc>
          <w:tcPr>
            <w:tcW w:w="150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237</w:t>
            </w:r>
          </w:p>
        </w:tc>
      </w:tr>
      <w:tr>
        <w:trPr>
          <w:trHeight w:val="229"/>
        </w:trPr>
        <w:tc>
          <w:tcPr>
            <w:tcW w:w="58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Net effect GILTI and FDII</w:t>
            </w: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1,400</w:t>
            </w:r>
          </w:p>
        </w:tc>
        <w:tc>
          <w:tcPr>
            <w:tcW w:w="2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565</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9"/>
                <w:szCs w:val="19"/>
                <w:color w:val="auto"/>
              </w:rPr>
            </w:pPr>
          </w:p>
        </w:tc>
      </w:tr>
      <w:tr>
        <w:trPr>
          <w:trHeight w:val="228"/>
        </w:trPr>
        <w:tc>
          <w:tcPr>
            <w:tcW w:w="5880" w:type="dxa"/>
            <w:vAlign w:val="bottom"/>
          </w:tcPr>
          <w:p>
            <w:pPr>
              <w:ind w:left="200"/>
              <w:spacing w:after="0" w:line="228" w:lineRule="exact"/>
              <w:rPr>
                <w:sz w:val="20"/>
                <w:szCs w:val="20"/>
                <w:color w:val="auto"/>
              </w:rPr>
            </w:pPr>
            <w:r>
              <w:rPr>
                <w:rFonts w:ascii="Arial" w:cs="Arial" w:eastAsia="Arial" w:hAnsi="Arial"/>
                <w:sz w:val="20"/>
                <w:szCs w:val="20"/>
                <w:color w:val="auto"/>
              </w:rPr>
              <w:t>Other</w:t>
            </w:r>
          </w:p>
        </w:tc>
        <w:tc>
          <w:tcPr>
            <w:tcW w:w="120" w:type="dxa"/>
            <w:vAlign w:val="bottom"/>
          </w:tcPr>
          <w:p>
            <w:pPr>
              <w:spacing w:after="0"/>
              <w:rPr>
                <w:sz w:val="19"/>
                <w:szCs w:val="19"/>
                <w:color w:val="auto"/>
              </w:rPr>
            </w:pPr>
          </w:p>
        </w:tc>
        <w:tc>
          <w:tcPr>
            <w:tcW w:w="1520" w:type="dxa"/>
            <w:vAlign w:val="bottom"/>
            <w:gridSpan w:val="2"/>
          </w:tcPr>
          <w:p>
            <w:pPr>
              <w:jc w:val="right"/>
              <w:ind w:right="121"/>
              <w:spacing w:after="0" w:line="228" w:lineRule="exact"/>
              <w:rPr>
                <w:sz w:val="20"/>
                <w:szCs w:val="20"/>
                <w:color w:val="auto"/>
              </w:rPr>
            </w:pPr>
            <w:r>
              <w:rPr>
                <w:rFonts w:ascii="Arial" w:cs="Arial" w:eastAsia="Arial" w:hAnsi="Arial"/>
                <w:sz w:val="20"/>
                <w:szCs w:val="20"/>
                <w:color w:val="auto"/>
              </w:rPr>
              <w:t>227</w:t>
            </w:r>
          </w:p>
        </w:tc>
        <w:tc>
          <w:tcPr>
            <w:tcW w:w="120" w:type="dxa"/>
            <w:vAlign w:val="bottom"/>
          </w:tcPr>
          <w:p>
            <w:pPr>
              <w:spacing w:after="0"/>
              <w:rPr>
                <w:sz w:val="19"/>
                <w:szCs w:val="19"/>
                <w:color w:val="auto"/>
              </w:rPr>
            </w:pPr>
          </w:p>
        </w:tc>
        <w:tc>
          <w:tcPr>
            <w:tcW w:w="150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91</w:t>
            </w:r>
          </w:p>
        </w:tc>
      </w:tr>
      <w:tr>
        <w:trPr>
          <w:trHeight w:val="218"/>
        </w:trPr>
        <w:tc>
          <w:tcPr>
            <w:tcW w:w="588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7,024</w:t>
            </w: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5,426</w:t>
            </w: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bottom w:val="single" w:sz="8" w:color="auto"/>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2,691</w:t>
            </w:r>
          </w:p>
        </w:tc>
        <w:tc>
          <w:tcPr>
            <w:tcW w:w="100" w:type="dxa"/>
            <w:vAlign w:val="bottom"/>
            <w:tcBorders>
              <w:top w:val="single" w:sz="8" w:color="E9E9E9"/>
            </w:tcBorders>
            <w:shd w:val="clear" w:color="auto" w:fill="E9E9E9"/>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600"/>
        <w:spacing w:after="0" w:line="234" w:lineRule="auto"/>
        <w:rPr>
          <w:sz w:val="20"/>
          <w:szCs w:val="20"/>
          <w:color w:val="auto"/>
        </w:rPr>
      </w:pPr>
      <w:r>
        <w:rPr>
          <w:rFonts w:ascii="Arial" w:cs="Arial" w:eastAsia="Arial" w:hAnsi="Arial"/>
          <w:sz w:val="20"/>
          <w:szCs w:val="20"/>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16"/>
                <w:szCs w:val="16"/>
                <w:color w:val="auto"/>
              </w:rPr>
            </w:pPr>
          </w:p>
        </w:tc>
        <w:tc>
          <w:tcPr>
            <w:tcW w:w="8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9E9E9"/>
            </w:tcBorders>
          </w:tcPr>
          <w:p>
            <w:pPr>
              <w:spacing w:after="0"/>
              <w:rPr>
                <w:sz w:val="16"/>
                <w:szCs w:val="16"/>
                <w:color w:val="auto"/>
              </w:rPr>
            </w:pPr>
          </w:p>
        </w:tc>
      </w:tr>
      <w:tr>
        <w:trPr>
          <w:trHeight w:val="218"/>
        </w:trPr>
        <w:tc>
          <w:tcPr>
            <w:tcW w:w="694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Gross deferred tax assets:</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54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5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r>
      <w:tr>
        <w:trPr>
          <w:trHeight w:val="225"/>
        </w:trPr>
        <w:tc>
          <w:tcPr>
            <w:tcW w:w="6940" w:type="dxa"/>
            <w:vAlign w:val="bottom"/>
          </w:tcPr>
          <w:p>
            <w:pPr>
              <w:ind w:left="200"/>
              <w:spacing w:after="0" w:line="225" w:lineRule="exact"/>
              <w:rPr>
                <w:sz w:val="20"/>
                <w:szCs w:val="20"/>
                <w:color w:val="auto"/>
              </w:rPr>
            </w:pPr>
            <w:r>
              <w:rPr>
                <w:rFonts w:ascii="Arial" w:cs="Arial" w:eastAsia="Arial" w:hAnsi="Arial"/>
                <w:sz w:val="20"/>
                <w:szCs w:val="20"/>
                <w:color w:val="auto"/>
              </w:rPr>
              <w:t>Accrued expenses</w:t>
            </w:r>
          </w:p>
        </w:tc>
        <w:tc>
          <w:tcPr>
            <w:tcW w:w="2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1540" w:type="dxa"/>
            <w:vAlign w:val="bottom"/>
          </w:tcPr>
          <w:p>
            <w:pPr>
              <w:jc w:val="right"/>
              <w:spacing w:after="0" w:line="225" w:lineRule="exact"/>
              <w:rPr>
                <w:sz w:val="20"/>
                <w:szCs w:val="20"/>
                <w:color w:val="auto"/>
              </w:rPr>
            </w:pPr>
            <w:r>
              <w:rPr>
                <w:rFonts w:ascii="Arial" w:cs="Arial" w:eastAsia="Arial" w:hAnsi="Arial"/>
                <w:sz w:val="20"/>
                <w:szCs w:val="20"/>
                <w:color w:val="auto"/>
              </w:rPr>
              <w:t>729</w:t>
            </w:r>
          </w:p>
        </w:tc>
        <w:tc>
          <w:tcPr>
            <w:tcW w:w="120" w:type="dxa"/>
            <w:vAlign w:val="bottom"/>
          </w:tcPr>
          <w:p>
            <w:pPr>
              <w:spacing w:after="0"/>
              <w:rPr>
                <w:sz w:val="19"/>
                <w:szCs w:val="19"/>
                <w:color w:val="auto"/>
              </w:rPr>
            </w:pPr>
          </w:p>
        </w:tc>
        <w:tc>
          <w:tcPr>
            <w:tcW w:w="2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w:t>
            </w:r>
          </w:p>
        </w:tc>
        <w:tc>
          <w:tcPr>
            <w:tcW w:w="164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692</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Reserves on assets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2,769</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2,228</w:t>
            </w:r>
          </w:p>
        </w:tc>
        <w:tc>
          <w:tcPr>
            <w:tcW w:w="100" w:type="dxa"/>
            <w:vAlign w:val="bottom"/>
            <w:shd w:val="clear" w:color="auto" w:fill="E9E9E9"/>
          </w:tcPr>
          <w:p>
            <w:pPr>
              <w:spacing w:after="0"/>
              <w:rPr>
                <w:sz w:val="19"/>
                <w:szCs w:val="19"/>
                <w:color w:val="auto"/>
              </w:rPr>
            </w:pPr>
          </w:p>
        </w:tc>
      </w:tr>
      <w:tr>
        <w:trPr>
          <w:trHeight w:val="228"/>
        </w:trPr>
        <w:tc>
          <w:tcPr>
            <w:tcW w:w="6940" w:type="dxa"/>
            <w:vAlign w:val="bottom"/>
          </w:tcPr>
          <w:p>
            <w:pPr>
              <w:ind w:left="200"/>
              <w:spacing w:after="0" w:line="228" w:lineRule="exact"/>
              <w:rPr>
                <w:sz w:val="20"/>
                <w:szCs w:val="20"/>
                <w:color w:val="auto"/>
              </w:rPr>
            </w:pPr>
            <w:r>
              <w:rPr>
                <w:rFonts w:ascii="Arial" w:cs="Arial" w:eastAsia="Arial" w:hAnsi="Arial"/>
                <w:sz w:val="20"/>
                <w:szCs w:val="20"/>
                <w:color w:val="auto"/>
              </w:rPr>
              <w:t>Share-based compensation awards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372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452</w:t>
            </w:r>
          </w:p>
        </w:tc>
      </w:tr>
      <w:tr>
        <w:trPr>
          <w:trHeight w:val="229"/>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Minimum pension</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920</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1,247</w:t>
            </w:r>
          </w:p>
        </w:tc>
        <w:tc>
          <w:tcPr>
            <w:tcW w:w="100" w:type="dxa"/>
            <w:vAlign w:val="bottom"/>
            <w:shd w:val="clear" w:color="auto" w:fill="E9E9E9"/>
          </w:tcPr>
          <w:p>
            <w:pPr>
              <w:spacing w:after="0"/>
              <w:rPr>
                <w:sz w:val="19"/>
                <w:szCs w:val="19"/>
                <w:color w:val="auto"/>
              </w:rPr>
            </w:pPr>
          </w:p>
        </w:tc>
      </w:tr>
      <w:tr>
        <w:trPr>
          <w:trHeight w:val="228"/>
        </w:trPr>
        <w:tc>
          <w:tcPr>
            <w:tcW w:w="6940" w:type="dxa"/>
            <w:vAlign w:val="bottom"/>
          </w:tcPr>
          <w:p>
            <w:pPr>
              <w:ind w:left="200"/>
              <w:spacing w:after="0" w:line="228" w:lineRule="exact"/>
              <w:rPr>
                <w:sz w:val="20"/>
                <w:szCs w:val="20"/>
                <w:color w:val="auto"/>
              </w:rPr>
            </w:pPr>
            <w:r>
              <w:rPr>
                <w:rFonts w:ascii="Arial" w:cs="Arial" w:eastAsia="Arial" w:hAnsi="Arial"/>
                <w:sz w:val="20"/>
                <w:szCs w:val="20"/>
                <w:color w:val="auto"/>
              </w:rPr>
              <w:t>Net operating loss carry-forwards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3,785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3,142</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Tax credit carry-forwards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2,302</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2,349</w:t>
            </w:r>
          </w:p>
        </w:tc>
        <w:tc>
          <w:tcPr>
            <w:tcW w:w="100" w:type="dxa"/>
            <w:vAlign w:val="bottom"/>
            <w:shd w:val="clear" w:color="auto" w:fill="E9E9E9"/>
          </w:tcPr>
          <w:p>
            <w:pPr>
              <w:spacing w:after="0"/>
              <w:rPr>
                <w:sz w:val="19"/>
                <w:szCs w:val="19"/>
                <w:color w:val="auto"/>
              </w:rPr>
            </w:pPr>
          </w:p>
        </w:tc>
      </w:tr>
      <w:tr>
        <w:trPr>
          <w:trHeight w:val="225"/>
        </w:trPr>
        <w:tc>
          <w:tcPr>
            <w:tcW w:w="6940" w:type="dxa"/>
            <w:vAlign w:val="bottom"/>
          </w:tcPr>
          <w:p>
            <w:pPr>
              <w:ind w:left="200"/>
              <w:spacing w:after="0" w:line="225" w:lineRule="exact"/>
              <w:rPr>
                <w:sz w:val="20"/>
                <w:szCs w:val="20"/>
                <w:color w:val="auto"/>
              </w:rPr>
            </w:pPr>
            <w:r>
              <w:rPr>
                <w:rFonts w:ascii="Arial" w:cs="Arial" w:eastAsia="Arial" w:hAnsi="Arial"/>
                <w:sz w:val="20"/>
                <w:szCs w:val="20"/>
                <w:color w:val="auto"/>
              </w:rPr>
              <w:t>Investment in joint venture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25" w:lineRule="exact"/>
              <w:rPr>
                <w:sz w:val="20"/>
                <w:szCs w:val="20"/>
                <w:color w:val="auto"/>
              </w:rPr>
            </w:pPr>
            <w:r>
              <w:rPr>
                <w:rFonts w:ascii="Arial" w:cs="Arial" w:eastAsia="Arial" w:hAnsi="Arial"/>
                <w:sz w:val="20"/>
                <w:szCs w:val="20"/>
                <w:color w:val="auto"/>
              </w:rPr>
              <w:t>926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815</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Leases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3,699</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2,564</w:t>
            </w:r>
          </w:p>
        </w:tc>
        <w:tc>
          <w:tcPr>
            <w:tcW w:w="100" w:type="dxa"/>
            <w:vAlign w:val="bottom"/>
            <w:shd w:val="clear" w:color="auto" w:fill="E9E9E9"/>
          </w:tcPr>
          <w:p>
            <w:pPr>
              <w:spacing w:after="0"/>
              <w:rPr>
                <w:sz w:val="19"/>
                <w:szCs w:val="19"/>
                <w:color w:val="auto"/>
              </w:rPr>
            </w:pPr>
          </w:p>
        </w:tc>
      </w:tr>
      <w:tr>
        <w:trPr>
          <w:trHeight w:val="228"/>
        </w:trPr>
        <w:tc>
          <w:tcPr>
            <w:tcW w:w="6940" w:type="dxa"/>
            <w:vAlign w:val="bottom"/>
          </w:tcPr>
          <w:p>
            <w:pPr>
              <w:ind w:left="200"/>
              <w:spacing w:after="0" w:line="228" w:lineRule="exact"/>
              <w:rPr>
                <w:sz w:val="20"/>
                <w:szCs w:val="20"/>
                <w:color w:val="auto"/>
              </w:rPr>
            </w:pPr>
            <w:r>
              <w:rPr>
                <w:rFonts w:ascii="Arial" w:cs="Arial" w:eastAsia="Arial" w:hAnsi="Arial"/>
                <w:sz w:val="20"/>
                <w:szCs w:val="20"/>
                <w:color w:val="auto"/>
              </w:rPr>
              <w:t>Research and development costs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3,857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3,224</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Other</w:t>
            </w: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69</w:t>
            </w:r>
          </w:p>
        </w:tc>
        <w:tc>
          <w:tcPr>
            <w:tcW w:w="100" w:type="dxa"/>
            <w:vAlign w:val="bottom"/>
            <w:shd w:val="clear" w:color="auto" w:fill="E9E9E9"/>
          </w:tcPr>
          <w:p>
            <w:pPr>
              <w:spacing w:after="0"/>
              <w:rPr>
                <w:sz w:val="19"/>
                <w:szCs w:val="19"/>
                <w:color w:val="auto"/>
              </w:rPr>
            </w:pPr>
          </w:p>
        </w:tc>
      </w:tr>
      <w:tr>
        <w:trPr>
          <w:trHeight w:val="218"/>
        </w:trPr>
        <w:tc>
          <w:tcPr>
            <w:tcW w:w="6940" w:type="dxa"/>
            <w:vAlign w:val="bottom"/>
          </w:tcPr>
          <w:p>
            <w:pPr>
              <w:spacing w:after="0" w:line="217" w:lineRule="exact"/>
              <w:rPr>
                <w:sz w:val="20"/>
                <w:szCs w:val="20"/>
                <w:color w:val="auto"/>
              </w:rPr>
            </w:pPr>
            <w:r>
              <w:rPr>
                <w:rFonts w:ascii="Arial" w:cs="Arial" w:eastAsia="Arial" w:hAnsi="Arial"/>
                <w:sz w:val="20"/>
                <w:szCs w:val="20"/>
                <w:color w:val="auto"/>
              </w:rPr>
              <w:t>Total gross deferred tax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19,359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16,782</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Valuation allowances</w:t>
            </w: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(6,545)</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(4,950)</w:t>
            </w:r>
          </w:p>
        </w:tc>
        <w:tc>
          <w:tcPr>
            <w:tcW w:w="100" w:type="dxa"/>
            <w:vAlign w:val="bottom"/>
            <w:shd w:val="clear" w:color="auto" w:fill="E9E9E9"/>
          </w:tcPr>
          <w:p>
            <w:pPr>
              <w:spacing w:after="0"/>
              <w:rPr>
                <w:sz w:val="19"/>
                <w:szCs w:val="19"/>
                <w:color w:val="auto"/>
              </w:rPr>
            </w:pPr>
          </w:p>
        </w:tc>
      </w:tr>
      <w:tr>
        <w:trPr>
          <w:trHeight w:val="218"/>
        </w:trPr>
        <w:tc>
          <w:tcPr>
            <w:tcW w:w="6940" w:type="dxa"/>
            <w:vAlign w:val="bottom"/>
          </w:tcPr>
          <w:p>
            <w:pPr>
              <w:spacing w:after="0"/>
              <w:rPr>
                <w:sz w:val="18"/>
                <w:szCs w:val="18"/>
                <w:color w:val="auto"/>
              </w:rPr>
            </w:pPr>
          </w:p>
        </w:tc>
        <w:tc>
          <w:tcPr>
            <w:tcW w:w="22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12,814</w:t>
            </w:r>
          </w:p>
        </w:tc>
        <w:tc>
          <w:tcPr>
            <w:tcW w:w="120" w:type="dxa"/>
            <w:vAlign w:val="bottom"/>
          </w:tcPr>
          <w:p>
            <w:pPr>
              <w:spacing w:after="0"/>
              <w:rPr>
                <w:sz w:val="18"/>
                <w:szCs w:val="18"/>
                <w:color w:val="auto"/>
              </w:rPr>
            </w:pP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6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11,832</w:t>
            </w:r>
          </w:p>
        </w:tc>
      </w:tr>
      <w:tr>
        <w:trPr>
          <w:trHeight w:val="218"/>
        </w:trPr>
        <w:tc>
          <w:tcPr>
            <w:tcW w:w="694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540" w:type="dxa"/>
            <w:vAlign w:val="bottom"/>
            <w:tcBorders>
              <w:top w:val="single" w:sz="8" w:color="auto"/>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54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r>
      <w:tr>
        <w:trPr>
          <w:trHeight w:val="225"/>
        </w:trPr>
        <w:tc>
          <w:tcPr>
            <w:tcW w:w="6940" w:type="dxa"/>
            <w:vAlign w:val="bottom"/>
          </w:tcPr>
          <w:p>
            <w:pPr>
              <w:spacing w:after="0" w:line="225" w:lineRule="exact"/>
              <w:rPr>
                <w:sz w:val="20"/>
                <w:szCs w:val="20"/>
                <w:color w:val="auto"/>
              </w:rPr>
            </w:pPr>
            <w:r>
              <w:rPr>
                <w:rFonts w:ascii="Arial" w:cs="Arial" w:eastAsia="Arial" w:hAnsi="Arial"/>
                <w:sz w:val="20"/>
                <w:szCs w:val="20"/>
                <w:color w:val="auto"/>
              </w:rPr>
              <w:t>Gross deferred tax liabilities: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Depreciation</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(1,809</w:t>
            </w:r>
          </w:p>
        </w:tc>
        <w:tc>
          <w:tcPr>
            <w:tcW w:w="1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74"/>
                <w:shd w:val="clear" w:color="auto" w:fill="E9E9E9"/>
              </w:rPr>
              <w:t>)</w:t>
            </w: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(727)</w:t>
            </w:r>
          </w:p>
        </w:tc>
        <w:tc>
          <w:tcPr>
            <w:tcW w:w="100" w:type="dxa"/>
            <w:vAlign w:val="bottom"/>
            <w:shd w:val="clear" w:color="auto" w:fill="E9E9E9"/>
          </w:tcPr>
          <w:p>
            <w:pPr>
              <w:spacing w:after="0"/>
              <w:rPr>
                <w:sz w:val="19"/>
                <w:szCs w:val="19"/>
                <w:color w:val="auto"/>
              </w:rPr>
            </w:pPr>
          </w:p>
        </w:tc>
      </w:tr>
      <w:tr>
        <w:trPr>
          <w:trHeight w:val="228"/>
        </w:trPr>
        <w:tc>
          <w:tcPr>
            <w:tcW w:w="6940" w:type="dxa"/>
            <w:vAlign w:val="bottom"/>
          </w:tcPr>
          <w:p>
            <w:pPr>
              <w:ind w:left="200"/>
              <w:spacing w:after="0" w:line="228" w:lineRule="exact"/>
              <w:rPr>
                <w:sz w:val="20"/>
                <w:szCs w:val="20"/>
                <w:color w:val="auto"/>
              </w:rPr>
            </w:pPr>
            <w:r>
              <w:rPr>
                <w:rFonts w:ascii="Arial" w:cs="Arial" w:eastAsia="Arial" w:hAnsi="Arial"/>
                <w:sz w:val="20"/>
                <w:szCs w:val="20"/>
                <w:color w:val="auto"/>
              </w:rPr>
              <w:t>Goodwill and intangibles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(14,299)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(13,310)</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Prepaid expenses and inventory</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(95)</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(783)</w:t>
            </w:r>
          </w:p>
        </w:tc>
        <w:tc>
          <w:tcPr>
            <w:tcW w:w="100" w:type="dxa"/>
            <w:vAlign w:val="bottom"/>
            <w:shd w:val="clear" w:color="auto" w:fill="E9E9E9"/>
          </w:tcPr>
          <w:p>
            <w:pPr>
              <w:spacing w:after="0"/>
              <w:rPr>
                <w:sz w:val="19"/>
                <w:szCs w:val="19"/>
                <w:color w:val="auto"/>
              </w:rPr>
            </w:pPr>
          </w:p>
        </w:tc>
      </w:tr>
      <w:tr>
        <w:trPr>
          <w:trHeight w:val="228"/>
        </w:trPr>
        <w:tc>
          <w:tcPr>
            <w:tcW w:w="6940" w:type="dxa"/>
            <w:vAlign w:val="bottom"/>
          </w:tcPr>
          <w:p>
            <w:pPr>
              <w:ind w:left="200"/>
              <w:spacing w:after="0" w:line="228" w:lineRule="exact"/>
              <w:rPr>
                <w:sz w:val="20"/>
                <w:szCs w:val="20"/>
                <w:color w:val="auto"/>
              </w:rPr>
            </w:pPr>
            <w:r>
              <w:rPr>
                <w:rFonts w:ascii="Arial" w:cs="Arial" w:eastAsia="Arial" w:hAnsi="Arial"/>
                <w:sz w:val="20"/>
                <w:szCs w:val="20"/>
                <w:color w:val="auto"/>
              </w:rPr>
              <w:t>Withholding tax on unremitted foreign earnings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(662)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(1,254)</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Leases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(3,571</w:t>
            </w:r>
          </w:p>
        </w:tc>
        <w:tc>
          <w:tcPr>
            <w:tcW w:w="1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74"/>
                <w:shd w:val="clear" w:color="auto" w:fill="E9E9E9"/>
              </w:rPr>
              <w:t>)</w:t>
            </w: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(2,564)</w:t>
            </w:r>
          </w:p>
        </w:tc>
        <w:tc>
          <w:tcPr>
            <w:tcW w:w="100" w:type="dxa"/>
            <w:vAlign w:val="bottom"/>
            <w:shd w:val="clear" w:color="auto" w:fill="E9E9E9"/>
          </w:tcPr>
          <w:p>
            <w:pPr>
              <w:spacing w:after="0"/>
              <w:rPr>
                <w:sz w:val="19"/>
                <w:szCs w:val="19"/>
                <w:color w:val="auto"/>
              </w:rPr>
            </w:pPr>
          </w:p>
        </w:tc>
      </w:tr>
      <w:tr>
        <w:trPr>
          <w:trHeight w:val="225"/>
        </w:trPr>
        <w:tc>
          <w:tcPr>
            <w:tcW w:w="6940" w:type="dxa"/>
            <w:vAlign w:val="bottom"/>
          </w:tcPr>
          <w:p>
            <w:pPr>
              <w:ind w:left="200"/>
              <w:spacing w:after="0" w:line="225" w:lineRule="exact"/>
              <w:rPr>
                <w:sz w:val="20"/>
                <w:szCs w:val="20"/>
                <w:color w:val="auto"/>
              </w:rPr>
            </w:pPr>
            <w:r>
              <w:rPr>
                <w:rFonts w:ascii="Arial" w:cs="Arial" w:eastAsia="Arial" w:hAnsi="Arial"/>
                <w:sz w:val="20"/>
                <w:szCs w:val="20"/>
                <w:color w:val="auto"/>
              </w:rPr>
              <w:t>Revenue recognition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(694)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(1,031)</w:t>
            </w:r>
          </w:p>
        </w:tc>
      </w:tr>
      <w:tr>
        <w:trPr>
          <w:trHeight w:val="228"/>
        </w:trPr>
        <w:tc>
          <w:tcPr>
            <w:tcW w:w="694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Other</w:t>
            </w: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(218</w:t>
            </w:r>
          </w:p>
        </w:tc>
        <w:tc>
          <w:tcPr>
            <w:tcW w:w="1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74"/>
                <w:shd w:val="clear" w:color="auto" w:fill="E9E9E9"/>
              </w:rPr>
              <w:t>)</w:t>
            </w: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9"/>
                <w:szCs w:val="19"/>
                <w:color w:val="auto"/>
              </w:rPr>
            </w:pPr>
          </w:p>
        </w:tc>
      </w:tr>
      <w:tr>
        <w:trPr>
          <w:trHeight w:val="218"/>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(21,348)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0"/>
              <w:spacing w:after="0" w:line="217" w:lineRule="exact"/>
              <w:rPr>
                <w:sz w:val="20"/>
                <w:szCs w:val="20"/>
                <w:color w:val="auto"/>
              </w:rPr>
            </w:pPr>
            <w:r>
              <w:rPr>
                <w:rFonts w:ascii="Arial" w:cs="Arial" w:eastAsia="Arial" w:hAnsi="Arial"/>
                <w:sz w:val="20"/>
                <w:szCs w:val="20"/>
                <w:color w:val="auto"/>
              </w:rPr>
              <w:t>(19,669)</w:t>
            </w:r>
          </w:p>
        </w:tc>
      </w:tr>
      <w:tr>
        <w:trPr>
          <w:trHeight w:val="219"/>
        </w:trPr>
        <w:tc>
          <w:tcPr>
            <w:tcW w:w="694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color w:val="auto"/>
              </w:rPr>
              <w:t>Net deferred tax liabilities</w:t>
            </w:r>
          </w:p>
        </w:tc>
        <w:tc>
          <w:tcPr>
            <w:tcW w:w="1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5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(8,534</w:t>
            </w:r>
          </w:p>
        </w:tc>
        <w:tc>
          <w:tcPr>
            <w:tcW w:w="120" w:type="dxa"/>
            <w:vAlign w:val="bottom"/>
            <w:tcBorders>
              <w:top w:val="single" w:sz="8" w:color="E9E9E9"/>
            </w:tcBorders>
            <w:shd w:val="clear" w:color="auto" w:fill="E9E9E9"/>
          </w:tcPr>
          <w:p>
            <w:pPr>
              <w:jc w:val="right"/>
              <w:spacing w:after="0"/>
              <w:rPr>
                <w:sz w:val="20"/>
                <w:szCs w:val="20"/>
                <w:color w:val="auto"/>
              </w:rPr>
            </w:pPr>
            <w:r>
              <w:rPr>
                <w:rFonts w:ascii="Arial" w:cs="Arial" w:eastAsia="Arial" w:hAnsi="Arial"/>
                <w:sz w:val="16"/>
                <w:szCs w:val="16"/>
                <w:color w:val="auto"/>
                <w:w w:val="74"/>
                <w:shd w:val="clear" w:color="auto" w:fill="E9E9E9"/>
              </w:rPr>
              <w:t>)</w:t>
            </w:r>
          </w:p>
        </w:tc>
        <w:tc>
          <w:tcPr>
            <w:tcW w:w="8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5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(7,837)</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-2080895</wp:posOffset>
                </wp:positionV>
                <wp:extent cx="7112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63.8499pt" to="534.4pt,-163.8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-1784985</wp:posOffset>
                </wp:positionV>
                <wp:extent cx="7112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40.5499pt" to="534.4pt,-140.5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-327025</wp:posOffset>
                </wp:positionV>
                <wp:extent cx="7112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25.7499pt" to="534.4pt,-25.7499pt" o:allowincell="f" strokecolor="#FFFFFF" strokeweight="0.4752pt"/>
            </w:pict>
          </mc:Fallback>
        </mc:AlternateContent>
      </w:r>
    </w:p>
    <w:p>
      <w:pPr>
        <w:spacing w:after="0" w:line="227" w:lineRule="exact"/>
        <w:rPr>
          <w:sz w:val="20"/>
          <w:szCs w:val="20"/>
          <w:color w:val="auto"/>
        </w:rPr>
      </w:pPr>
    </w:p>
    <w:p>
      <w:pPr>
        <w:ind w:right="120"/>
        <w:spacing w:after="0" w:line="249" w:lineRule="auto"/>
        <w:rPr>
          <w:sz w:val="20"/>
          <w:szCs w:val="20"/>
          <w:color w:val="auto"/>
        </w:rPr>
      </w:pPr>
      <w:r>
        <w:rPr>
          <w:rFonts w:ascii="Arial" w:cs="Arial" w:eastAsia="Arial" w:hAnsi="Arial"/>
          <w:sz w:val="19"/>
          <w:szCs w:val="19"/>
          <w:color w:val="auto"/>
        </w:rPr>
        <w:t>As of December 31, 2023, state and local net operating loss carry forwards total $41.0 million, which expire from 2024 to 2043. The Company has recorded a valuation allowance on certain of these net operating loss carry forwards to reflect expected realization. The Company also has net operating loss carry forwards in foreign jurisdictions totaling $11.2 million. As of December 31, 2023 and 2022, the Company has recorded a valuation reserve, including but not limited to net operating losses, in the amount of $6.5 million and $5.0 million, respectively. The changes in the valuation allowance resulted in additional income tax expense (benefit) of $1.5 million, $(0.5) million, and $(0.5) million in 2023, 2022, and 2021, respectively.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F-28</w:t>
      </w:r>
    </w:p>
    <w:p>
      <w:pPr>
        <w:sectPr>
          <w:pgSz w:w="11880" w:h="15480" w:orient="portrait"/>
          <w:cols w:equalWidth="0" w:num="1">
            <w:col w:w="10680"/>
          </w:cols>
          <w:pgMar w:left="600" w:top="837" w:right="600" w:bottom="46" w:gutter="0" w:footer="0" w:header="0"/>
        </w:sectPr>
      </w:pPr>
    </w:p>
    <w:bookmarkStart w:id="88" w:name="page89"/>
    <w:bookmarkEnd w:id="88"/>
    <w:p>
      <w:pPr>
        <w:ind w:left="6"/>
        <w:spacing w:after="0" w:line="250" w:lineRule="auto"/>
        <w:rPr>
          <w:sz w:val="20"/>
          <w:szCs w:val="20"/>
          <w:color w:val="auto"/>
        </w:rPr>
      </w:pPr>
      <w:r>
        <w:rPr>
          <w:rFonts w:ascii="Arial" w:cs="Arial" w:eastAsia="Arial" w:hAnsi="Arial"/>
          <w:sz w:val="19"/>
          <w:szCs w:val="19"/>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2023. The amount of the deferred tax assets considered realizable, however, could be reduced in the near term if estimates of future taxable income during the carryforward period are reduced.</w:t>
      </w:r>
    </w:p>
    <w:p>
      <w:pPr>
        <w:spacing w:after="0" w:line="237" w:lineRule="exact"/>
        <w:rPr>
          <w:sz w:val="20"/>
          <w:szCs w:val="20"/>
          <w:color w:val="auto"/>
        </w:rPr>
      </w:pPr>
    </w:p>
    <w:p>
      <w:pPr>
        <w:ind w:left="6" w:right="20"/>
        <w:spacing w:after="0" w:line="250" w:lineRule="auto"/>
        <w:rPr>
          <w:sz w:val="20"/>
          <w:szCs w:val="20"/>
          <w:color w:val="auto"/>
        </w:rPr>
      </w:pPr>
      <w:r>
        <w:rPr>
          <w:rFonts w:ascii="Arial" w:cs="Arial" w:eastAsia="Arial" w:hAnsi="Arial"/>
          <w:sz w:val="19"/>
          <w:szCs w:val="19"/>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227"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704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66"/>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8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9E9E9"/>
            </w:tcBorders>
          </w:tcPr>
          <w:p>
            <w:pPr>
              <w:spacing w:after="0"/>
              <w:rPr>
                <w:sz w:val="16"/>
                <w:szCs w:val="16"/>
                <w:color w:val="auto"/>
              </w:rPr>
            </w:pPr>
          </w:p>
        </w:tc>
      </w:tr>
      <w:tr>
        <w:trPr>
          <w:trHeight w:val="218"/>
        </w:trPr>
        <w:tc>
          <w:tcPr>
            <w:tcW w:w="704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Balance as of January 1,</w:t>
            </w: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144</w:t>
            </w:r>
          </w:p>
        </w:tc>
        <w:tc>
          <w:tcPr>
            <w:tcW w:w="2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2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141</w:t>
            </w:r>
          </w:p>
        </w:tc>
        <w:tc>
          <w:tcPr>
            <w:tcW w:w="100" w:type="dxa"/>
            <w:vAlign w:val="bottom"/>
            <w:shd w:val="clear" w:color="auto" w:fill="E9E9E9"/>
          </w:tcPr>
          <w:p>
            <w:pPr>
              <w:spacing w:after="0"/>
              <w:rPr>
                <w:sz w:val="18"/>
                <w:szCs w:val="18"/>
                <w:color w:val="auto"/>
              </w:rPr>
            </w:pPr>
          </w:p>
        </w:tc>
      </w:tr>
      <w:tr>
        <w:trPr>
          <w:trHeight w:val="228"/>
        </w:trPr>
        <w:tc>
          <w:tcPr>
            <w:tcW w:w="7040" w:type="dxa"/>
            <w:vAlign w:val="bottom"/>
            <w:tcBorders>
              <w:bottom w:val="single" w:sz="8" w:color="E9E9E9"/>
            </w:tcBorders>
          </w:tcPr>
          <w:p>
            <w:pPr>
              <w:spacing w:after="0" w:line="228" w:lineRule="exact"/>
              <w:rPr>
                <w:sz w:val="20"/>
                <w:szCs w:val="20"/>
                <w:color w:val="auto"/>
              </w:rPr>
            </w:pPr>
            <w:r>
              <w:rPr>
                <w:rFonts w:ascii="Arial" w:cs="Arial" w:eastAsia="Arial" w:hAnsi="Arial"/>
                <w:sz w:val="20"/>
                <w:szCs w:val="20"/>
                <w:color w:val="auto"/>
              </w:rPr>
              <w:t>Additions for tax positions taken in prior years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7</w:t>
            </w:r>
          </w:p>
        </w:tc>
        <w:tc>
          <w:tcPr>
            <w:tcW w:w="20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3</w:t>
            </w:r>
          </w:p>
        </w:tc>
        <w:tc>
          <w:tcPr>
            <w:tcW w:w="100" w:type="dxa"/>
            <w:vAlign w:val="bottom"/>
            <w:tcBorders>
              <w:bottom w:val="single" w:sz="8" w:color="E9E9E9"/>
            </w:tcBorders>
          </w:tcPr>
          <w:p>
            <w:pPr>
              <w:spacing w:after="0"/>
              <w:rPr>
                <w:sz w:val="19"/>
                <w:szCs w:val="19"/>
                <w:color w:val="auto"/>
              </w:rPr>
            </w:pPr>
          </w:p>
        </w:tc>
      </w:tr>
      <w:tr>
        <w:trPr>
          <w:trHeight w:val="219"/>
        </w:trPr>
        <w:tc>
          <w:tcPr>
            <w:tcW w:w="7040" w:type="dxa"/>
            <w:vAlign w:val="bottom"/>
            <w:shd w:val="clear" w:color="auto" w:fill="E9E9E9"/>
          </w:tcPr>
          <w:p>
            <w:pPr>
              <w:spacing w:after="0" w:line="217" w:lineRule="exact"/>
              <w:rPr>
                <w:sz w:val="20"/>
                <w:szCs w:val="20"/>
                <w:color w:val="auto"/>
              </w:rPr>
            </w:pPr>
            <w:r>
              <w:rPr>
                <w:rFonts w:ascii="Arial" w:cs="Arial" w:eastAsia="Arial" w:hAnsi="Arial"/>
                <w:sz w:val="20"/>
                <w:szCs w:val="20"/>
                <w:color w:val="auto"/>
              </w:rPr>
              <w:t>Balance as of December 31,</w:t>
            </w:r>
          </w:p>
        </w:tc>
        <w:tc>
          <w:tcPr>
            <w:tcW w:w="12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54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151</w:t>
            </w:r>
          </w:p>
        </w:tc>
        <w:tc>
          <w:tcPr>
            <w:tcW w:w="20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54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144</w:t>
            </w:r>
          </w:p>
        </w:tc>
        <w:tc>
          <w:tcPr>
            <w:tcW w:w="100" w:type="dxa"/>
            <w:vAlign w:val="bottom"/>
            <w:shd w:val="clear" w:color="auto" w:fill="E9E9E9"/>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6"/>
        <w:spacing w:after="0" w:line="234" w:lineRule="auto"/>
        <w:rPr>
          <w:sz w:val="20"/>
          <w:szCs w:val="20"/>
          <w:color w:val="auto"/>
        </w:rPr>
      </w:pPr>
      <w:r>
        <w:rPr>
          <w:rFonts w:ascii="Arial" w:cs="Arial" w:eastAsia="Arial" w:hAnsi="Arial"/>
          <w:sz w:val="20"/>
          <w:szCs w:val="20"/>
          <w:color w:val="auto"/>
        </w:rPr>
        <w:t>The Company recognizes interest and penalties related to uncertain tax positions in income tax expense. The reserve for uncertain tax positions includes $0.1 million of interest and penalties as of December 31, 2023 and 2022. The favorable settlement of all uncertain tax positions would impact the Company’s effective income tax rate. Tax years going back to 2018 remain open for examination by all significant federal, state and foreign authorities.</w:t>
      </w:r>
    </w:p>
    <w:p>
      <w:pPr>
        <w:spacing w:after="0" w:line="238" w:lineRule="exact"/>
        <w:rPr>
          <w:sz w:val="20"/>
          <w:szCs w:val="20"/>
          <w:color w:val="auto"/>
        </w:rPr>
      </w:pPr>
    </w:p>
    <w:p>
      <w:pPr>
        <w:ind w:left="486" w:hanging="486"/>
        <w:spacing w:after="0"/>
        <w:tabs>
          <w:tab w:leader="none" w:pos="486"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Acquisitions and Joint Ventures</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Kemco Systems Co., LLC</w:t>
      </w:r>
    </w:p>
    <w:p>
      <w:pPr>
        <w:spacing w:after="0" w:line="248" w:lineRule="exact"/>
        <w:rPr>
          <w:sz w:val="20"/>
          <w:szCs w:val="20"/>
          <w:color w:val="auto"/>
        </w:rPr>
      </w:pPr>
    </w:p>
    <w:p>
      <w:pPr>
        <w:ind w:left="6" w:right="20"/>
        <w:spacing w:after="0" w:line="265" w:lineRule="auto"/>
        <w:rPr>
          <w:sz w:val="20"/>
          <w:szCs w:val="20"/>
          <w:color w:val="auto"/>
        </w:rPr>
      </w:pPr>
      <w:r>
        <w:rPr>
          <w:rFonts w:ascii="Arial" w:cs="Arial" w:eastAsia="Arial" w:hAnsi="Arial"/>
          <w:sz w:val="18"/>
          <w:szCs w:val="18"/>
          <w:color w:val="auto"/>
        </w:rPr>
        <w:t>On August 23, 2023, the Company acquired 100% of the equity interests of Kemco Systems Co., LLC ("Kemco") for $24.0 million in cash, which was financed with a draw on the Company’s revolving credit facility. As additional consideration, the former owners are entitled to earn-out payments up to $4.0 million based upon specified financial results through August 31, 2026. Based on projections at the acquisition date, the Company estimated the fair value of the earn-out to be $2.2 million. This fair value measurement is based on inputs not observable in the market, which is considered Level 3 on the fair value hierarchy. As of December 31, 2023, the earnout liability recorded in “Accrued expenses” and "Other liabilities" on the Consolidated Balance Sheets was $1.1 million and $1.1 million, respectively, based on the anticipated payout timing, for a total of $2.2 million. Kemco designs and manufactures energy and water conservation systems and equipment for applications regarding wastewater reuse and recycle, heat recovery, water heating, and vapor energy. This acquisition advances the Company's position within the North American water and wastewater treatment market within the Engineered Systems segment. The following table summarizes the preliminary fair values of the assets acquired and liabilities assumed at the date of closing.</w:t>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88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88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Current assets (including accounts receivable of $2,328)</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shd w:val="clear" w:color="auto" w:fill="E9E9E9"/>
              </w:rPr>
              <w:t>$</w:t>
            </w: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8,902</w:t>
            </w:r>
          </w:p>
        </w:tc>
        <w:tc>
          <w:tcPr>
            <w:tcW w:w="100" w:type="dxa"/>
            <w:vAlign w:val="bottom"/>
            <w:shd w:val="clear" w:color="auto" w:fill="E9E9E9"/>
          </w:tcPr>
          <w:p>
            <w:pPr>
              <w:spacing w:after="0"/>
              <w:rPr>
                <w:sz w:val="19"/>
                <w:szCs w:val="19"/>
                <w:color w:val="auto"/>
              </w:rPr>
            </w:pPr>
          </w:p>
        </w:tc>
      </w:tr>
      <w:tr>
        <w:trPr>
          <w:trHeight w:val="228"/>
        </w:trPr>
        <w:tc>
          <w:tcPr>
            <w:tcW w:w="8820" w:type="dxa"/>
            <w:vAlign w:val="bottom"/>
          </w:tcPr>
          <w:p>
            <w:pPr>
              <w:spacing w:after="0" w:line="228" w:lineRule="exact"/>
              <w:rPr>
                <w:sz w:val="20"/>
                <w:szCs w:val="20"/>
                <w:color w:val="auto"/>
              </w:rPr>
            </w:pPr>
            <w:r>
              <w:rPr>
                <w:rFonts w:ascii="Arial" w:cs="Arial" w:eastAsia="Arial" w:hAnsi="Arial"/>
                <w:sz w:val="20"/>
                <w:szCs w:val="20"/>
                <w:color w:val="auto"/>
              </w:rPr>
              <w:t>Property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341</w:t>
            </w:r>
          </w:p>
        </w:tc>
      </w:tr>
      <w:tr>
        <w:trPr>
          <w:trHeight w:val="228"/>
        </w:trPr>
        <w:tc>
          <w:tcPr>
            <w:tcW w:w="88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Right-of-use assets from operating leases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1,602</w:t>
            </w:r>
          </w:p>
        </w:tc>
        <w:tc>
          <w:tcPr>
            <w:tcW w:w="100" w:type="dxa"/>
            <w:vAlign w:val="bottom"/>
            <w:shd w:val="clear" w:color="auto" w:fill="E9E9E9"/>
          </w:tcPr>
          <w:p>
            <w:pPr>
              <w:spacing w:after="0"/>
              <w:rPr>
                <w:sz w:val="19"/>
                <w:szCs w:val="19"/>
                <w:color w:val="auto"/>
              </w:rPr>
            </w:pPr>
          </w:p>
        </w:tc>
      </w:tr>
      <w:tr>
        <w:trPr>
          <w:trHeight w:val="228"/>
        </w:trPr>
        <w:tc>
          <w:tcPr>
            <w:tcW w:w="8820" w:type="dxa"/>
            <w:vAlign w:val="bottom"/>
          </w:tcPr>
          <w:p>
            <w:pPr>
              <w:spacing w:after="0" w:line="228" w:lineRule="exact"/>
              <w:rPr>
                <w:sz w:val="20"/>
                <w:szCs w:val="20"/>
                <w:color w:val="auto"/>
              </w:rPr>
            </w:pPr>
            <w:r>
              <w:rPr>
                <w:rFonts w:ascii="Arial" w:cs="Arial" w:eastAsia="Arial" w:hAnsi="Arial"/>
                <w:sz w:val="20"/>
                <w:szCs w:val="20"/>
                <w:color w:val="auto"/>
              </w:rPr>
              <w:t>Intangible - finite life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11,610</w:t>
            </w:r>
          </w:p>
        </w:tc>
      </w:tr>
      <w:tr>
        <w:trPr>
          <w:trHeight w:val="228"/>
        </w:trPr>
        <w:tc>
          <w:tcPr>
            <w:tcW w:w="88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Goodwill</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11,017</w:t>
            </w:r>
          </w:p>
        </w:tc>
        <w:tc>
          <w:tcPr>
            <w:tcW w:w="100" w:type="dxa"/>
            <w:vAlign w:val="bottom"/>
            <w:shd w:val="clear" w:color="auto" w:fill="E9E9E9"/>
          </w:tcPr>
          <w:p>
            <w:pPr>
              <w:spacing w:after="0"/>
              <w:rPr>
                <w:sz w:val="19"/>
                <w:szCs w:val="19"/>
                <w:color w:val="auto"/>
              </w:rPr>
            </w:pPr>
          </w:p>
        </w:tc>
      </w:tr>
      <w:tr>
        <w:trPr>
          <w:trHeight w:val="225"/>
        </w:trPr>
        <w:tc>
          <w:tcPr>
            <w:tcW w:w="8820" w:type="dxa"/>
            <w:vAlign w:val="bottom"/>
          </w:tcPr>
          <w:p>
            <w:pPr>
              <w:spacing w:after="0" w:line="225" w:lineRule="exact"/>
              <w:rPr>
                <w:sz w:val="20"/>
                <w:szCs w:val="20"/>
                <w:color w:val="auto"/>
              </w:rPr>
            </w:pPr>
            <w:r>
              <w:rPr>
                <w:rFonts w:ascii="Arial" w:cs="Arial" w:eastAsia="Arial" w:hAnsi="Arial"/>
                <w:sz w:val="20"/>
                <w:szCs w:val="20"/>
                <w:color w:val="auto"/>
              </w:rPr>
              <w:t>Other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16</w:t>
            </w:r>
          </w:p>
        </w:tc>
      </w:tr>
      <w:tr>
        <w:trPr>
          <w:trHeight w:val="218"/>
        </w:trPr>
        <w:tc>
          <w:tcPr>
            <w:tcW w:w="88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Total assets acquired</w:t>
            </w: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164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33,488</w:t>
            </w: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8820" w:type="dxa"/>
            <w:vAlign w:val="bottom"/>
          </w:tcPr>
          <w:p>
            <w:pPr>
              <w:spacing w:after="0" w:line="228" w:lineRule="exact"/>
              <w:rPr>
                <w:sz w:val="20"/>
                <w:szCs w:val="20"/>
                <w:color w:val="auto"/>
              </w:rPr>
            </w:pPr>
            <w:r>
              <w:rPr>
                <w:rFonts w:ascii="Arial" w:cs="Arial" w:eastAsia="Arial" w:hAnsi="Arial"/>
                <w:sz w:val="20"/>
                <w:szCs w:val="20"/>
                <w:color w:val="auto"/>
              </w:rPr>
              <w:t>Current liabilities assumed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(6,853)</w:t>
            </w:r>
          </w:p>
        </w:tc>
      </w:tr>
      <w:tr>
        <w:trPr>
          <w:trHeight w:val="228"/>
        </w:trPr>
        <w:tc>
          <w:tcPr>
            <w:tcW w:w="88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Other liabilities assumed</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(404)</w:t>
            </w:r>
          </w:p>
        </w:tc>
        <w:tc>
          <w:tcPr>
            <w:tcW w:w="100" w:type="dxa"/>
            <w:vAlign w:val="bottom"/>
            <w:shd w:val="clear" w:color="auto" w:fill="E9E9E9"/>
          </w:tcPr>
          <w:p>
            <w:pPr>
              <w:spacing w:after="0"/>
              <w:rPr>
                <w:sz w:val="19"/>
                <w:szCs w:val="19"/>
                <w:color w:val="auto"/>
              </w:rPr>
            </w:pPr>
          </w:p>
        </w:tc>
      </w:tr>
      <w:tr>
        <w:trPr>
          <w:trHeight w:val="228"/>
        </w:trPr>
        <w:tc>
          <w:tcPr>
            <w:tcW w:w="8820" w:type="dxa"/>
            <w:vAlign w:val="bottom"/>
          </w:tcPr>
          <w:p>
            <w:pPr>
              <w:spacing w:after="0" w:line="228" w:lineRule="exact"/>
              <w:rPr>
                <w:sz w:val="20"/>
                <w:szCs w:val="20"/>
                <w:color w:val="auto"/>
              </w:rPr>
            </w:pPr>
            <w:r>
              <w:rPr>
                <w:rFonts w:ascii="Arial" w:cs="Arial" w:eastAsia="Arial" w:hAnsi="Arial"/>
                <w:sz w:val="20"/>
                <w:szCs w:val="20"/>
                <w:color w:val="auto"/>
              </w:rPr>
              <w:t>Deferred tax liability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(12)</w:t>
            </w:r>
          </w:p>
        </w:tc>
      </w:tr>
      <w:tr>
        <w:trPr>
          <w:trHeight w:val="219"/>
        </w:trPr>
        <w:tc>
          <w:tcPr>
            <w:tcW w:w="88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Net assets acquired</w:t>
            </w: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6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26,219</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5" w:lineRule="exact"/>
        <w:rPr>
          <w:sz w:val="20"/>
          <w:szCs w:val="20"/>
          <w:color w:val="auto"/>
        </w:rPr>
      </w:pPr>
    </w:p>
    <w:p>
      <w:pPr>
        <w:ind w:left="6" w:right="940"/>
        <w:spacing w:after="0" w:line="276" w:lineRule="auto"/>
        <w:rPr>
          <w:sz w:val="20"/>
          <w:szCs w:val="20"/>
          <w:color w:val="auto"/>
        </w:rPr>
      </w:pPr>
      <w:r>
        <w:rPr>
          <w:rFonts w:ascii="Arial" w:cs="Arial" w:eastAsia="Arial" w:hAnsi="Arial"/>
          <w:sz w:val="18"/>
          <w:szCs w:val="18"/>
          <w:color w:val="auto"/>
        </w:rPr>
        <w:t>The Company acquired technology, customer lists and tradename intangible assets valued at $1.4 million, $8.7 million and $1.5 million, respectively. These assets were determined to have useful lives of 7, 10 and 10 years, respectively.</w:t>
      </w:r>
    </w:p>
    <w:p>
      <w:pPr>
        <w:spacing w:after="0" w:line="218" w:lineRule="exact"/>
        <w:rPr>
          <w:sz w:val="20"/>
          <w:szCs w:val="20"/>
          <w:color w:val="auto"/>
        </w:rPr>
      </w:pPr>
    </w:p>
    <w:p>
      <w:pPr>
        <w:ind w:left="6" w:right="80"/>
        <w:spacing w:after="0" w:line="232" w:lineRule="auto"/>
        <w:rPr>
          <w:sz w:val="20"/>
          <w:szCs w:val="20"/>
          <w:color w:val="auto"/>
        </w:rPr>
      </w:pPr>
      <w:r>
        <w:rPr>
          <w:rFonts w:ascii="Arial" w:cs="Arial" w:eastAsia="Arial" w:hAnsi="Arial"/>
          <w:sz w:val="20"/>
          <w:szCs w:val="20"/>
          <w:color w:val="auto"/>
        </w:rPr>
        <w:t>During the year ended December 31, 2023, Kemco accounted for $13.1 million in revenue and $2.0 million of net income included in the Company’s results.</w:t>
      </w:r>
    </w:p>
    <w:p>
      <w:pPr>
        <w:spacing w:after="0" w:line="23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F-29</w:t>
      </w:r>
    </w:p>
    <w:p>
      <w:pPr>
        <w:sectPr>
          <w:pgSz w:w="11880" w:h="15480" w:orient="portrait"/>
          <w:cols w:equalWidth="0" w:num="1">
            <w:col w:w="10686"/>
          </w:cols>
          <w:pgMar w:left="594" w:top="849" w:right="600" w:bottom="46" w:gutter="0" w:footer="0" w:header="0"/>
        </w:sectPr>
      </w:pPr>
    </w:p>
    <w:bookmarkStart w:id="89" w:name="page90"/>
    <w:bookmarkEnd w:id="89"/>
    <w:p>
      <w:pPr>
        <w:spacing w:after="0"/>
        <w:rPr>
          <w:sz w:val="20"/>
          <w:szCs w:val="20"/>
          <w:color w:val="auto"/>
        </w:rPr>
      </w:pPr>
      <w:r>
        <w:rPr>
          <w:rFonts w:ascii="Arial" w:cs="Arial" w:eastAsia="Arial" w:hAnsi="Arial"/>
          <w:sz w:val="20"/>
          <w:szCs w:val="20"/>
          <w:i w:val="1"/>
          <w:iCs w:val="1"/>
          <w:color w:val="auto"/>
        </w:rPr>
        <w:t>Transcend Solutions</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On March 31, 2023, the Company acquired 100% of the equity interests of Transcend Solutions, LLC ("Transcend") for $22.4 million, including $20.0 million in cash, which was financed with a draw on the Company’s revolving credit facility, $2.4 million of d eferred cash consideration, consisting of $0.4 million of holdback paid within one year and $2.0 million of notes payable due in equal installments over two years. Transcend is a process filtration solution design and manufacturing company with applications in hydrocarbon and chemical processing. This acquisition improves the Company's short-cycle and long-cycle mix and expands the Company's reach into midstream oil and gas, liquified natural gas, hydrocarbon processing, and chemical processing applications within the Engineered Systems segment. The following table summarizes the preliminary fair values of the assets acquired and liabilities assumed at the date of closing.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88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Current assets (including cash of $52 and accounts receivable of $1,493)</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rPr>
              <w:t>$</w:t>
            </w: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2,614</w:t>
            </w:r>
          </w:p>
        </w:tc>
        <w:tc>
          <w:tcPr>
            <w:tcW w:w="100" w:type="dxa"/>
            <w:vAlign w:val="bottom"/>
            <w:shd w:val="clear" w:color="auto" w:fill="E9E9E9"/>
          </w:tcPr>
          <w:p>
            <w:pPr>
              <w:spacing w:after="0"/>
              <w:rPr>
                <w:sz w:val="19"/>
                <w:szCs w:val="19"/>
                <w:color w:val="auto"/>
              </w:rPr>
            </w:pPr>
          </w:p>
        </w:tc>
      </w:tr>
      <w:tr>
        <w:trPr>
          <w:trHeight w:val="228"/>
        </w:trPr>
        <w:tc>
          <w:tcPr>
            <w:tcW w:w="8820" w:type="dxa"/>
            <w:vAlign w:val="bottom"/>
          </w:tcPr>
          <w:p>
            <w:pPr>
              <w:spacing w:after="0" w:line="228" w:lineRule="exact"/>
              <w:rPr>
                <w:sz w:val="20"/>
                <w:szCs w:val="20"/>
                <w:color w:val="auto"/>
              </w:rPr>
            </w:pPr>
            <w:r>
              <w:rPr>
                <w:rFonts w:ascii="Arial" w:cs="Arial" w:eastAsia="Arial" w:hAnsi="Arial"/>
                <w:sz w:val="20"/>
                <w:szCs w:val="20"/>
                <w:color w:val="auto"/>
              </w:rPr>
              <w:t>Property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1,153</w:t>
            </w:r>
          </w:p>
        </w:tc>
      </w:tr>
      <w:tr>
        <w:trPr>
          <w:trHeight w:val="226"/>
        </w:trPr>
        <w:tc>
          <w:tcPr>
            <w:tcW w:w="882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Intangible - finite life</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8,930</w:t>
            </w:r>
          </w:p>
        </w:tc>
        <w:tc>
          <w:tcPr>
            <w:tcW w:w="100" w:type="dxa"/>
            <w:vAlign w:val="bottom"/>
            <w:shd w:val="clear" w:color="auto" w:fill="E9E9E9"/>
          </w:tcPr>
          <w:p>
            <w:pPr>
              <w:spacing w:after="0"/>
              <w:rPr>
                <w:sz w:val="19"/>
                <w:szCs w:val="19"/>
                <w:color w:val="auto"/>
              </w:rPr>
            </w:pPr>
          </w:p>
        </w:tc>
      </w:tr>
      <w:tr>
        <w:trPr>
          <w:trHeight w:val="228"/>
        </w:trPr>
        <w:tc>
          <w:tcPr>
            <w:tcW w:w="8820" w:type="dxa"/>
            <w:vAlign w:val="bottom"/>
          </w:tcPr>
          <w:p>
            <w:pPr>
              <w:spacing w:after="0" w:line="228" w:lineRule="exact"/>
              <w:rPr>
                <w:sz w:val="20"/>
                <w:szCs w:val="20"/>
                <w:color w:val="auto"/>
              </w:rPr>
            </w:pPr>
            <w:r>
              <w:rPr>
                <w:rFonts w:ascii="Arial" w:cs="Arial" w:eastAsia="Arial" w:hAnsi="Arial"/>
                <w:sz w:val="20"/>
                <w:szCs w:val="20"/>
                <w:color w:val="auto"/>
              </w:rPr>
              <w:t>Goodwill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auto"/>
              </w:rPr>
              <w:t>10,839</w:t>
            </w:r>
          </w:p>
        </w:tc>
      </w:tr>
      <w:tr>
        <w:trPr>
          <w:trHeight w:val="228"/>
        </w:trPr>
        <w:tc>
          <w:tcPr>
            <w:tcW w:w="88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Other assets</w:t>
            </w: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6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231</w:t>
            </w:r>
          </w:p>
        </w:tc>
        <w:tc>
          <w:tcPr>
            <w:tcW w:w="100" w:type="dxa"/>
            <w:vAlign w:val="bottom"/>
            <w:shd w:val="clear" w:color="auto" w:fill="E9E9E9"/>
          </w:tcPr>
          <w:p>
            <w:pPr>
              <w:spacing w:after="0"/>
              <w:rPr>
                <w:sz w:val="19"/>
                <w:szCs w:val="19"/>
                <w:color w:val="auto"/>
              </w:rPr>
            </w:pPr>
          </w:p>
        </w:tc>
      </w:tr>
      <w:tr>
        <w:trPr>
          <w:trHeight w:val="218"/>
        </w:trPr>
        <w:tc>
          <w:tcPr>
            <w:tcW w:w="8820" w:type="dxa"/>
            <w:vAlign w:val="bottom"/>
          </w:tcPr>
          <w:p>
            <w:pPr>
              <w:ind w:left="200"/>
              <w:spacing w:after="0" w:line="217" w:lineRule="exact"/>
              <w:rPr>
                <w:sz w:val="20"/>
                <w:szCs w:val="20"/>
                <w:color w:val="auto"/>
              </w:rPr>
            </w:pPr>
            <w:r>
              <w:rPr>
                <w:rFonts w:ascii="Arial" w:cs="Arial" w:eastAsia="Arial" w:hAnsi="Arial"/>
                <w:sz w:val="20"/>
                <w:szCs w:val="20"/>
                <w:color w:val="auto"/>
              </w:rPr>
              <w:t>Total assets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auto"/>
              </w:rPr>
              <w:t>23,767</w:t>
            </w:r>
          </w:p>
        </w:tc>
      </w:tr>
      <w:tr>
        <w:trPr>
          <w:trHeight w:val="228"/>
        </w:trPr>
        <w:tc>
          <w:tcPr>
            <w:tcW w:w="88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Current liabilities assumed</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(1,203)</w:t>
            </w:r>
          </w:p>
        </w:tc>
        <w:tc>
          <w:tcPr>
            <w:tcW w:w="100" w:type="dxa"/>
            <w:vAlign w:val="bottom"/>
            <w:shd w:val="clear" w:color="auto" w:fill="E9E9E9"/>
          </w:tcPr>
          <w:p>
            <w:pPr>
              <w:spacing w:after="0"/>
              <w:rPr>
                <w:sz w:val="19"/>
                <w:szCs w:val="19"/>
                <w:color w:val="auto"/>
              </w:rPr>
            </w:pPr>
          </w:p>
        </w:tc>
      </w:tr>
      <w:tr>
        <w:trPr>
          <w:trHeight w:val="228"/>
        </w:trPr>
        <w:tc>
          <w:tcPr>
            <w:tcW w:w="8820" w:type="dxa"/>
            <w:vAlign w:val="bottom"/>
          </w:tcPr>
          <w:p>
            <w:pPr>
              <w:spacing w:after="0" w:line="228" w:lineRule="exact"/>
              <w:rPr>
                <w:sz w:val="20"/>
                <w:szCs w:val="20"/>
                <w:color w:val="auto"/>
              </w:rPr>
            </w:pPr>
            <w:r>
              <w:rPr>
                <w:rFonts w:ascii="Arial" w:cs="Arial" w:eastAsia="Arial" w:hAnsi="Arial"/>
                <w:sz w:val="20"/>
                <w:szCs w:val="20"/>
                <w:color w:val="auto"/>
              </w:rPr>
              <w:t>Deferred tax liability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(168)</w:t>
            </w:r>
          </w:p>
        </w:tc>
      </w:tr>
      <w:tr>
        <w:trPr>
          <w:trHeight w:val="218"/>
        </w:trPr>
        <w:tc>
          <w:tcPr>
            <w:tcW w:w="88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Net assets acquired</w:t>
            </w:r>
          </w:p>
        </w:tc>
        <w:tc>
          <w:tcPr>
            <w:tcW w:w="20" w:type="dxa"/>
            <w:vAlign w:val="bottom"/>
            <w:tcBorders>
              <w:top w:val="single" w:sz="8" w:color="E9E9E9"/>
              <w:bottom w:val="single" w:sz="8" w:color="auto"/>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6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22,564</w:t>
            </w:r>
          </w:p>
        </w:tc>
        <w:tc>
          <w:tcPr>
            <w:tcW w:w="100" w:type="dxa"/>
            <w:vAlign w:val="bottom"/>
            <w:tcBorders>
              <w:top w:val="single" w:sz="8" w:color="E9E9E9"/>
            </w:tcBorders>
            <w:shd w:val="clear" w:color="auto" w:fill="E9E9E9"/>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-615315</wp:posOffset>
                </wp:positionV>
                <wp:extent cx="6921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48.4499pt" to="534.4pt,-48.4499pt" o:allowincell="f" strokecolor="#FFFFFF" strokeweight="0.4752pt"/>
            </w:pict>
          </mc:Fallback>
        </mc:AlternateContent>
      </w:r>
    </w:p>
    <w:p>
      <w:pPr>
        <w:spacing w:after="0" w:line="227" w:lineRule="exact"/>
        <w:rPr>
          <w:sz w:val="20"/>
          <w:szCs w:val="20"/>
          <w:color w:val="auto"/>
        </w:rPr>
      </w:pPr>
    </w:p>
    <w:p>
      <w:pPr>
        <w:ind w:right="940"/>
        <w:spacing w:after="0" w:line="276" w:lineRule="auto"/>
        <w:rPr>
          <w:sz w:val="20"/>
          <w:szCs w:val="20"/>
          <w:color w:val="auto"/>
        </w:rPr>
      </w:pPr>
      <w:r>
        <w:rPr>
          <w:rFonts w:ascii="Arial" w:cs="Arial" w:eastAsia="Arial" w:hAnsi="Arial"/>
          <w:sz w:val="18"/>
          <w:szCs w:val="18"/>
          <w:color w:val="auto"/>
        </w:rPr>
        <w:t>The Company acquired technology, customer lists and tradename intangible assets valued at $0.6 million, $7.6 million and $0.7 million, respectively. These assets were determined to have useful lives of 7, 10 and 10 years, respectively.</w:t>
      </w:r>
    </w:p>
    <w:p>
      <w:pPr>
        <w:spacing w:after="0" w:line="218"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During the year ended December 31, 2023, Transcend accounted for $10.3 million in revenue and $1.7 million of net income included in the Company’s results.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Malvar Engineering Limited</w:t>
      </w:r>
    </w:p>
    <w:p>
      <w:pPr>
        <w:spacing w:after="0" w:line="246"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were entitled to earn-out payments based upon specified financial results through July 31, 2023. Based on projections at the acquisition date, the Company estimated the fair value of the earn-out to be $0.6 million. A payment of $0.6 million, representing the fully earned amount, was made in the fourth quarter of 2023.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 the Engineered Systems segment. The following table summarizes the preliminary fair values of the assets acquired and liabilities assumed at the date of closing.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87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Current assets (including accounts receivable of $2,467)</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rPr>
              <w:t>$</w:t>
            </w: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3,240</w:t>
            </w:r>
          </w:p>
        </w:tc>
        <w:tc>
          <w:tcPr>
            <w:tcW w:w="100" w:type="dxa"/>
            <w:vAlign w:val="bottom"/>
            <w:shd w:val="clear" w:color="auto" w:fill="E9E9E9"/>
          </w:tcPr>
          <w:p>
            <w:pPr>
              <w:spacing w:after="0"/>
              <w:rPr>
                <w:sz w:val="19"/>
                <w:szCs w:val="19"/>
                <w:color w:val="auto"/>
              </w:rPr>
            </w:pPr>
          </w:p>
        </w:tc>
      </w:tr>
      <w:tr>
        <w:trPr>
          <w:trHeight w:val="228"/>
        </w:trPr>
        <w:tc>
          <w:tcPr>
            <w:tcW w:w="8720" w:type="dxa"/>
            <w:vAlign w:val="bottom"/>
          </w:tcPr>
          <w:p>
            <w:pPr>
              <w:spacing w:after="0" w:line="228" w:lineRule="exact"/>
              <w:rPr>
                <w:sz w:val="20"/>
                <w:szCs w:val="20"/>
                <w:color w:val="auto"/>
              </w:rPr>
            </w:pPr>
            <w:r>
              <w:rPr>
                <w:rFonts w:ascii="Arial" w:cs="Arial" w:eastAsia="Arial" w:hAnsi="Arial"/>
                <w:sz w:val="20"/>
                <w:szCs w:val="20"/>
                <w:color w:val="auto"/>
              </w:rPr>
              <w:t>Property and equipment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line="228" w:lineRule="exact"/>
              <w:rPr>
                <w:sz w:val="20"/>
                <w:szCs w:val="20"/>
                <w:color w:val="auto"/>
              </w:rPr>
            </w:pPr>
            <w:r>
              <w:rPr>
                <w:rFonts w:ascii="Arial" w:cs="Arial" w:eastAsia="Arial" w:hAnsi="Arial"/>
                <w:sz w:val="20"/>
                <w:szCs w:val="20"/>
                <w:color w:val="auto"/>
              </w:rPr>
              <w:t>635</w:t>
            </w:r>
          </w:p>
        </w:tc>
        <w:tc>
          <w:tcPr>
            <w:tcW w:w="100" w:type="dxa"/>
            <w:vAlign w:val="bottom"/>
          </w:tcPr>
          <w:p>
            <w:pPr>
              <w:spacing w:after="0"/>
              <w:rPr>
                <w:sz w:val="19"/>
                <w:szCs w:val="19"/>
                <w:color w:val="auto"/>
              </w:rPr>
            </w:pPr>
          </w:p>
        </w:tc>
      </w:tr>
      <w:tr>
        <w:trPr>
          <w:trHeight w:val="228"/>
        </w:trPr>
        <w:tc>
          <w:tcPr>
            <w:tcW w:w="87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Intangible - finite life</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1,778</w:t>
            </w:r>
          </w:p>
        </w:tc>
        <w:tc>
          <w:tcPr>
            <w:tcW w:w="100" w:type="dxa"/>
            <w:vAlign w:val="bottom"/>
            <w:shd w:val="clear" w:color="auto" w:fill="E9E9E9"/>
          </w:tcPr>
          <w:p>
            <w:pPr>
              <w:spacing w:after="0"/>
              <w:rPr>
                <w:sz w:val="19"/>
                <w:szCs w:val="19"/>
                <w:color w:val="auto"/>
              </w:rPr>
            </w:pPr>
          </w:p>
        </w:tc>
      </w:tr>
      <w:tr>
        <w:trPr>
          <w:trHeight w:val="225"/>
        </w:trPr>
        <w:tc>
          <w:tcPr>
            <w:tcW w:w="8720" w:type="dxa"/>
            <w:vAlign w:val="bottom"/>
            <w:tcBorders>
              <w:bottom w:val="single" w:sz="8" w:color="E9E9E9"/>
            </w:tcBorders>
          </w:tcPr>
          <w:p>
            <w:pPr>
              <w:spacing w:after="0" w:line="225" w:lineRule="exact"/>
              <w:rPr>
                <w:sz w:val="20"/>
                <w:szCs w:val="20"/>
                <w:color w:val="auto"/>
              </w:rPr>
            </w:pPr>
            <w:r>
              <w:rPr>
                <w:rFonts w:ascii="Arial" w:cs="Arial" w:eastAsia="Arial" w:hAnsi="Arial"/>
                <w:sz w:val="20"/>
                <w:szCs w:val="20"/>
                <w:color w:val="auto"/>
              </w:rPr>
              <w:t>Goodwill</w:t>
            </w:r>
          </w:p>
        </w:tc>
        <w:tc>
          <w:tcPr>
            <w:tcW w:w="10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line="225" w:lineRule="exact"/>
              <w:rPr>
                <w:sz w:val="20"/>
                <w:szCs w:val="20"/>
                <w:color w:val="auto"/>
              </w:rPr>
            </w:pPr>
            <w:r>
              <w:rPr>
                <w:rFonts w:ascii="Arial" w:cs="Arial" w:eastAsia="Arial" w:hAnsi="Arial"/>
                <w:sz w:val="20"/>
                <w:szCs w:val="20"/>
                <w:color w:val="auto"/>
              </w:rPr>
              <w:t>5,296</w:t>
            </w:r>
          </w:p>
        </w:tc>
        <w:tc>
          <w:tcPr>
            <w:tcW w:w="100" w:type="dxa"/>
            <w:vAlign w:val="bottom"/>
            <w:tcBorders>
              <w:bottom w:val="single" w:sz="8" w:color="E9E9E9"/>
            </w:tcBorders>
          </w:tcPr>
          <w:p>
            <w:pPr>
              <w:spacing w:after="0"/>
              <w:rPr>
                <w:sz w:val="19"/>
                <w:szCs w:val="19"/>
                <w:color w:val="auto"/>
              </w:rPr>
            </w:pPr>
          </w:p>
        </w:tc>
      </w:tr>
      <w:tr>
        <w:trPr>
          <w:trHeight w:val="218"/>
        </w:trPr>
        <w:tc>
          <w:tcPr>
            <w:tcW w:w="8720" w:type="dxa"/>
            <w:vAlign w:val="bottom"/>
            <w:shd w:val="clear" w:color="auto" w:fill="E9E9E9"/>
          </w:tcPr>
          <w:p>
            <w:pPr>
              <w:ind w:left="200"/>
              <w:spacing w:after="0" w:line="217" w:lineRule="exact"/>
              <w:rPr>
                <w:sz w:val="20"/>
                <w:szCs w:val="20"/>
                <w:color w:val="auto"/>
              </w:rPr>
            </w:pPr>
            <w:r>
              <w:rPr>
                <w:rFonts w:ascii="Arial" w:cs="Arial" w:eastAsia="Arial" w:hAnsi="Arial"/>
                <w:sz w:val="20"/>
                <w:szCs w:val="20"/>
                <w:color w:val="auto"/>
              </w:rPr>
              <w:t>Total assets acquired</w:t>
            </w:r>
          </w:p>
        </w:tc>
        <w:tc>
          <w:tcPr>
            <w:tcW w:w="1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640" w:type="dxa"/>
            <w:vAlign w:val="bottom"/>
            <w:shd w:val="clear" w:color="auto" w:fill="E9E9E9"/>
          </w:tcPr>
          <w:p>
            <w:pPr>
              <w:jc w:val="right"/>
              <w:spacing w:after="0" w:line="217" w:lineRule="exact"/>
              <w:rPr>
                <w:sz w:val="20"/>
                <w:szCs w:val="20"/>
                <w:color w:val="auto"/>
              </w:rPr>
            </w:pPr>
            <w:r>
              <w:rPr>
                <w:rFonts w:ascii="Arial" w:cs="Arial" w:eastAsia="Arial" w:hAnsi="Arial"/>
                <w:sz w:val="20"/>
                <w:szCs w:val="20"/>
                <w:color w:val="auto"/>
              </w:rPr>
              <w:t>10,949</w:t>
            </w:r>
          </w:p>
        </w:tc>
        <w:tc>
          <w:tcPr>
            <w:tcW w:w="100" w:type="dxa"/>
            <w:vAlign w:val="bottom"/>
            <w:shd w:val="clear" w:color="auto" w:fill="E9E9E9"/>
          </w:tcPr>
          <w:p>
            <w:pPr>
              <w:spacing w:after="0"/>
              <w:rPr>
                <w:sz w:val="18"/>
                <w:szCs w:val="18"/>
                <w:color w:val="auto"/>
              </w:rPr>
            </w:pPr>
          </w:p>
        </w:tc>
      </w:tr>
      <w:tr>
        <w:trPr>
          <w:trHeight w:val="228"/>
        </w:trPr>
        <w:tc>
          <w:tcPr>
            <w:tcW w:w="8720" w:type="dxa"/>
            <w:vAlign w:val="bottom"/>
          </w:tcPr>
          <w:p>
            <w:pPr>
              <w:spacing w:after="0" w:line="228" w:lineRule="exact"/>
              <w:rPr>
                <w:sz w:val="20"/>
                <w:szCs w:val="20"/>
                <w:color w:val="auto"/>
              </w:rPr>
            </w:pPr>
            <w:r>
              <w:rPr>
                <w:rFonts w:ascii="Arial" w:cs="Arial" w:eastAsia="Arial" w:hAnsi="Arial"/>
                <w:sz w:val="20"/>
                <w:szCs w:val="20"/>
                <w:color w:val="auto"/>
              </w:rPr>
              <w:t>Current liabilities assumed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(4,860)</w:t>
            </w:r>
          </w:p>
        </w:tc>
      </w:tr>
      <w:tr>
        <w:trPr>
          <w:trHeight w:val="228"/>
        </w:trPr>
        <w:tc>
          <w:tcPr>
            <w:tcW w:w="87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Deferred income tax liability</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6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(961)</w:t>
            </w:r>
          </w:p>
        </w:tc>
        <w:tc>
          <w:tcPr>
            <w:tcW w:w="100" w:type="dxa"/>
            <w:vAlign w:val="bottom"/>
            <w:shd w:val="clear" w:color="auto" w:fill="E9E9E9"/>
          </w:tcPr>
          <w:p>
            <w:pPr>
              <w:spacing w:after="0"/>
              <w:rPr>
                <w:sz w:val="19"/>
                <w:szCs w:val="19"/>
                <w:color w:val="auto"/>
              </w:rPr>
            </w:pPr>
          </w:p>
        </w:tc>
      </w:tr>
      <w:tr>
        <w:trPr>
          <w:trHeight w:val="219"/>
        </w:trPr>
        <w:tc>
          <w:tcPr>
            <w:tcW w:w="8720" w:type="dxa"/>
            <w:vAlign w:val="bottom"/>
          </w:tcPr>
          <w:p>
            <w:pPr>
              <w:ind w:left="200"/>
              <w:spacing w:after="0" w:line="217" w:lineRule="exact"/>
              <w:rPr>
                <w:sz w:val="20"/>
                <w:szCs w:val="20"/>
                <w:color w:val="auto"/>
              </w:rPr>
            </w:pPr>
            <w:r>
              <w:rPr>
                <w:rFonts w:ascii="Arial" w:cs="Arial" w:eastAsia="Arial" w:hAnsi="Arial"/>
                <w:sz w:val="20"/>
                <w:szCs w:val="20"/>
                <w:color w:val="auto"/>
              </w:rPr>
              <w:t>Net assets acquired</w:t>
            </w:r>
          </w:p>
        </w:tc>
        <w:tc>
          <w:tcPr>
            <w:tcW w:w="22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640" w:type="dxa"/>
            <w:vAlign w:val="bottom"/>
          </w:tcPr>
          <w:p>
            <w:pPr>
              <w:jc w:val="right"/>
              <w:spacing w:after="0" w:line="217" w:lineRule="exact"/>
              <w:rPr>
                <w:sz w:val="20"/>
                <w:szCs w:val="20"/>
                <w:color w:val="auto"/>
              </w:rPr>
            </w:pPr>
            <w:r>
              <w:rPr>
                <w:rFonts w:ascii="Arial" w:cs="Arial" w:eastAsia="Arial" w:hAnsi="Arial"/>
                <w:sz w:val="20"/>
                <w:szCs w:val="20"/>
                <w:color w:val="auto"/>
              </w:rPr>
              <w:t>5,128</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-175895</wp:posOffset>
                </wp:positionV>
                <wp:extent cx="6921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3.8499pt" to="534.4pt,-13.8499pt" o:allowincell="f" strokecolor="#FFFFFF" strokeweight="0.4752pt"/>
            </w:pict>
          </mc:Fallback>
        </mc:AlternateContent>
      </w:r>
    </w:p>
    <w:p>
      <w:pPr>
        <w:spacing w:after="0" w:line="227" w:lineRule="exact"/>
        <w:rPr>
          <w:sz w:val="20"/>
          <w:szCs w:val="20"/>
          <w:color w:val="auto"/>
        </w:rPr>
      </w:pPr>
    </w:p>
    <w:p>
      <w:pPr>
        <w:ind w:right="360"/>
        <w:spacing w:after="0" w:line="232" w:lineRule="auto"/>
        <w:rPr>
          <w:sz w:val="20"/>
          <w:szCs w:val="20"/>
          <w:color w:val="auto"/>
        </w:rPr>
      </w:pPr>
      <w:r>
        <w:rPr>
          <w:rFonts w:ascii="Arial" w:cs="Arial" w:eastAsia="Arial" w:hAnsi="Arial"/>
          <w:sz w:val="20"/>
          <w:szCs w:val="20"/>
          <w:color w:val="auto"/>
        </w:rPr>
        <w:t>The Company acquired customer lists and tradename intangible assets valued at $1.5 million and $0.3 million, respectively. These assets were determined to have useful lives of 10 years.</w:t>
      </w:r>
    </w:p>
    <w:p>
      <w:pPr>
        <w:spacing w:after="0" w:line="247"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During the year ended December 31, 2023, Wakefield accounted for $13.8 million in revenue and $1.3 million of net income included in the Company’s results.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F-30</w:t>
      </w:r>
    </w:p>
    <w:p>
      <w:pPr>
        <w:sectPr>
          <w:pgSz w:w="11880" w:h="15480" w:orient="portrait"/>
          <w:cols w:equalWidth="0" w:num="1">
            <w:col w:w="10680"/>
          </w:cols>
          <w:pgMar w:left="600" w:top="837" w:right="600" w:bottom="46" w:gutter="0" w:footer="0" w:header="0"/>
        </w:sectPr>
      </w:pPr>
    </w:p>
    <w:bookmarkStart w:id="90" w:name="page91"/>
    <w:bookmarkEnd w:id="90"/>
    <w:p>
      <w:pPr>
        <w:spacing w:after="0"/>
        <w:rPr>
          <w:sz w:val="20"/>
          <w:szCs w:val="20"/>
          <w:color w:val="auto"/>
        </w:rPr>
      </w:pPr>
      <w:r>
        <w:rPr>
          <w:rFonts w:ascii="Arial" w:cs="Arial" w:eastAsia="Arial" w:hAnsi="Arial"/>
          <w:sz w:val="20"/>
          <w:szCs w:val="20"/>
          <w:i w:val="1"/>
          <w:iCs w:val="1"/>
          <w:color w:val="auto"/>
        </w:rPr>
        <w:t>DS21 Co., Ltd.</w:t>
      </w:r>
    </w:p>
    <w:p>
      <w:pPr>
        <w:spacing w:after="0" w:line="246" w:lineRule="exact"/>
        <w:rPr>
          <w:sz w:val="20"/>
          <w:szCs w:val="20"/>
          <w:color w:val="auto"/>
        </w:rPr>
      </w:pPr>
    </w:p>
    <w:p>
      <w:pPr>
        <w:jc w:val="both"/>
        <w:ind w:right="220"/>
        <w:spacing w:after="0" w:line="234" w:lineRule="auto"/>
        <w:rPr>
          <w:sz w:val="20"/>
          <w:szCs w:val="20"/>
          <w:color w:val="auto"/>
        </w:rPr>
      </w:pPr>
      <w:r>
        <w:rPr>
          <w:rFonts w:ascii="Arial" w:cs="Arial" w:eastAsia="Arial" w:hAnsi="Arial"/>
          <w:sz w:val="20"/>
          <w:szCs w:val="20"/>
          <w:color w:val="auto"/>
        </w:rPr>
        <w:t>On September 19, 2022, the Company acquired 100% of the equity interests of DS21 Co., Ltd. ("DS21") for $9.2 million, including $8.9 million in cash, which was financed with a draw on the Company’s revolving credit facility, and deferred cash consideration of $0.3 million paid within one year from the date of closing.</w:t>
      </w:r>
    </w:p>
    <w:p>
      <w:pPr>
        <w:spacing w:after="0" w:line="24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DS21 is a South Korean-based design and manufacturing firm specializing in innovative water and wastewater treatment solutions. The addition of DS21 advances the Company's leadership position in niche oily water and produced water treatment, demineralization water treatment and ultra-pure water supply applications within the Company's Engineered Systems segment. The following table summarizes the fair values of the assets acquired and liabilities assumed at the date of closing.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8620" w:type="dxa"/>
            <w:vAlign w:val="bottom"/>
          </w:tcPr>
          <w:p>
            <w:pPr>
              <w:spacing w:after="0" w:line="227" w:lineRule="exact"/>
              <w:rPr>
                <w:sz w:val="20"/>
                <w:szCs w:val="20"/>
                <w:color w:val="auto"/>
              </w:rPr>
            </w:pPr>
            <w:r>
              <w:rPr>
                <w:rFonts w:ascii="Arial" w:cs="Arial" w:eastAsia="Arial" w:hAnsi="Arial"/>
                <w:sz w:val="20"/>
                <w:szCs w:val="20"/>
                <w:color w:val="auto"/>
              </w:rPr>
              <w:t>Current assets (including cash of $1,453)</w:t>
            </w:r>
          </w:p>
        </w:tc>
        <w:tc>
          <w:tcPr>
            <w:tcW w:w="220" w:type="dxa"/>
            <w:vAlign w:val="bottom"/>
            <w:gridSpan w:val="2"/>
          </w:tcPr>
          <w:p>
            <w:pPr>
              <w:jc w:val="right"/>
              <w:ind w:right="20"/>
              <w:spacing w:after="0" w:line="227" w:lineRule="exact"/>
              <w:rPr>
                <w:sz w:val="20"/>
                <w:szCs w:val="20"/>
                <w:color w:val="auto"/>
              </w:rPr>
            </w:pPr>
            <w:r>
              <w:rPr>
                <w:rFonts w:ascii="Arial" w:cs="Arial" w:eastAsia="Arial" w:hAnsi="Arial"/>
                <w:sz w:val="20"/>
                <w:szCs w:val="20"/>
                <w:color w:val="auto"/>
              </w:rPr>
              <w:t>$</w:t>
            </w:r>
          </w:p>
        </w:tc>
        <w:tc>
          <w:tcPr>
            <w:tcW w:w="1760" w:type="dxa"/>
            <w:vAlign w:val="bottom"/>
            <w:gridSpan w:val="2"/>
          </w:tcPr>
          <w:p>
            <w:pPr>
              <w:jc w:val="right"/>
              <w:ind w:right="20"/>
              <w:spacing w:after="0" w:line="227" w:lineRule="exact"/>
              <w:rPr>
                <w:sz w:val="20"/>
                <w:szCs w:val="20"/>
                <w:color w:val="auto"/>
              </w:rPr>
            </w:pPr>
            <w:r>
              <w:rPr>
                <w:rFonts w:ascii="Arial" w:cs="Arial" w:eastAsia="Arial" w:hAnsi="Arial"/>
                <w:sz w:val="20"/>
                <w:szCs w:val="20"/>
                <w:color w:val="auto"/>
              </w:rPr>
              <w:t>5,099</w:t>
            </w:r>
          </w:p>
        </w:tc>
        <w:tc>
          <w:tcPr>
            <w:tcW w:w="80" w:type="dxa"/>
            <w:vAlign w:val="bottom"/>
          </w:tcPr>
          <w:p>
            <w:pPr>
              <w:spacing w:after="0"/>
              <w:rPr>
                <w:sz w:val="19"/>
                <w:szCs w:val="19"/>
                <w:color w:val="auto"/>
              </w:rPr>
            </w:pPr>
          </w:p>
        </w:tc>
      </w:tr>
      <w:tr>
        <w:trPr>
          <w:trHeight w:val="228"/>
        </w:trPr>
        <w:tc>
          <w:tcPr>
            <w:tcW w:w="86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Property and equipment</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7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4,112</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5"/>
        </w:trPr>
        <w:tc>
          <w:tcPr>
            <w:tcW w:w="8620" w:type="dxa"/>
            <w:vAlign w:val="bottom"/>
          </w:tcPr>
          <w:p>
            <w:pPr>
              <w:spacing w:after="0" w:line="225" w:lineRule="exact"/>
              <w:rPr>
                <w:sz w:val="20"/>
                <w:szCs w:val="20"/>
                <w:color w:val="auto"/>
              </w:rPr>
            </w:pPr>
            <w:r>
              <w:rPr>
                <w:rFonts w:ascii="Arial" w:cs="Arial" w:eastAsia="Arial" w:hAnsi="Arial"/>
                <w:sz w:val="20"/>
                <w:szCs w:val="20"/>
                <w:color w:val="auto"/>
              </w:rPr>
              <w:t>Intangible - finite life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0"/>
              <w:spacing w:after="0" w:line="225" w:lineRule="exact"/>
              <w:rPr>
                <w:sz w:val="20"/>
                <w:szCs w:val="20"/>
                <w:color w:val="auto"/>
              </w:rPr>
            </w:pPr>
            <w:r>
              <w:rPr>
                <w:rFonts w:ascii="Arial" w:cs="Arial" w:eastAsia="Arial" w:hAnsi="Arial"/>
                <w:sz w:val="20"/>
                <w:szCs w:val="20"/>
                <w:color w:val="auto"/>
              </w:rPr>
              <w:t>422</w:t>
            </w:r>
          </w:p>
        </w:tc>
        <w:tc>
          <w:tcPr>
            <w:tcW w:w="80" w:type="dxa"/>
            <w:vAlign w:val="bottom"/>
          </w:tcPr>
          <w:p>
            <w:pPr>
              <w:spacing w:after="0"/>
              <w:rPr>
                <w:sz w:val="19"/>
                <w:szCs w:val="19"/>
                <w:color w:val="auto"/>
              </w:rPr>
            </w:pPr>
          </w:p>
        </w:tc>
      </w:tr>
      <w:tr>
        <w:trPr>
          <w:trHeight w:val="228"/>
        </w:trPr>
        <w:tc>
          <w:tcPr>
            <w:tcW w:w="86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Deferred income taxes</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7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557</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8620" w:type="dxa"/>
            <w:vAlign w:val="bottom"/>
          </w:tcPr>
          <w:p>
            <w:pPr>
              <w:spacing w:after="0" w:line="228" w:lineRule="exact"/>
              <w:rPr>
                <w:sz w:val="20"/>
                <w:szCs w:val="20"/>
                <w:color w:val="auto"/>
              </w:rPr>
            </w:pPr>
            <w:r>
              <w:rPr>
                <w:rFonts w:ascii="Arial" w:cs="Arial" w:eastAsia="Arial" w:hAnsi="Arial"/>
                <w:sz w:val="20"/>
                <w:szCs w:val="20"/>
                <w:color w:val="auto"/>
              </w:rPr>
              <w:t>Other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auto"/>
              </w:rPr>
              <w:t>169</w:t>
            </w:r>
          </w:p>
        </w:tc>
        <w:tc>
          <w:tcPr>
            <w:tcW w:w="80" w:type="dxa"/>
            <w:vAlign w:val="bottom"/>
          </w:tcPr>
          <w:p>
            <w:pPr>
              <w:spacing w:after="0"/>
              <w:rPr>
                <w:sz w:val="19"/>
                <w:szCs w:val="19"/>
                <w:color w:val="auto"/>
              </w:rPr>
            </w:pPr>
          </w:p>
        </w:tc>
      </w:tr>
      <w:tr>
        <w:trPr>
          <w:trHeight w:val="218"/>
        </w:trPr>
        <w:tc>
          <w:tcPr>
            <w:tcW w:w="86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Total assets acquired</w:t>
            </w: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1740" w:type="dxa"/>
            <w:vAlign w:val="bottom"/>
            <w:tcBorders>
              <w:top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10,359</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r>
      <w:tr>
        <w:trPr>
          <w:trHeight w:val="228"/>
        </w:trPr>
        <w:tc>
          <w:tcPr>
            <w:tcW w:w="8620" w:type="dxa"/>
            <w:vAlign w:val="bottom"/>
          </w:tcPr>
          <w:p>
            <w:pPr>
              <w:spacing w:after="0" w:line="228" w:lineRule="exact"/>
              <w:rPr>
                <w:sz w:val="20"/>
                <w:szCs w:val="20"/>
                <w:color w:val="auto"/>
              </w:rPr>
            </w:pPr>
            <w:r>
              <w:rPr>
                <w:rFonts w:ascii="Arial" w:cs="Arial" w:eastAsia="Arial" w:hAnsi="Arial"/>
                <w:sz w:val="20"/>
                <w:szCs w:val="20"/>
                <w:color w:val="auto"/>
              </w:rPr>
              <w:t>Current liabilities assumed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(1,008)</w:t>
            </w:r>
          </w:p>
        </w:tc>
      </w:tr>
      <w:tr>
        <w:trPr>
          <w:trHeight w:val="228"/>
        </w:trPr>
        <w:tc>
          <w:tcPr>
            <w:tcW w:w="86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Other liabilities</w:t>
            </w: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7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(113)</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18"/>
        </w:trPr>
        <w:tc>
          <w:tcPr>
            <w:tcW w:w="8620" w:type="dxa"/>
            <w:vAlign w:val="bottom"/>
          </w:tcPr>
          <w:p>
            <w:pPr>
              <w:ind w:left="200"/>
              <w:spacing w:after="0" w:line="217" w:lineRule="exact"/>
              <w:rPr>
                <w:sz w:val="20"/>
                <w:szCs w:val="20"/>
                <w:color w:val="auto"/>
              </w:rPr>
            </w:pPr>
            <w:r>
              <w:rPr>
                <w:rFonts w:ascii="Arial" w:cs="Arial" w:eastAsia="Arial" w:hAnsi="Arial"/>
                <w:sz w:val="20"/>
                <w:szCs w:val="20"/>
                <w:color w:val="auto"/>
              </w:rPr>
              <w:t>Net assets acquired</w:t>
            </w:r>
          </w:p>
        </w:tc>
        <w:tc>
          <w:tcPr>
            <w:tcW w:w="220" w:type="dxa"/>
            <w:vAlign w:val="bottom"/>
            <w:gridSpan w:val="2"/>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1760" w:type="dxa"/>
            <w:vAlign w:val="bottom"/>
            <w:gridSpan w:val="2"/>
          </w:tcPr>
          <w:p>
            <w:pPr>
              <w:jc w:val="right"/>
              <w:ind w:right="20"/>
              <w:spacing w:after="0" w:line="217" w:lineRule="exact"/>
              <w:rPr>
                <w:sz w:val="20"/>
                <w:szCs w:val="20"/>
                <w:color w:val="auto"/>
              </w:rPr>
            </w:pPr>
            <w:r>
              <w:rPr>
                <w:rFonts w:ascii="Arial" w:cs="Arial" w:eastAsia="Arial" w:hAnsi="Arial"/>
                <w:sz w:val="20"/>
                <w:szCs w:val="20"/>
                <w:color w:val="auto"/>
              </w:rPr>
              <w:t>9,238</w:t>
            </w:r>
          </w:p>
        </w:tc>
        <w:tc>
          <w:tcPr>
            <w:tcW w:w="80" w:type="dxa"/>
            <w:vAlign w:val="bottom"/>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-175895</wp:posOffset>
                </wp:positionV>
                <wp:extent cx="6921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13.8499pt" to="534.4pt,-13.8499pt" o:allowincell="f" strokecolor="#FFFFFF" strokeweight="0.4752pt"/>
            </w:pict>
          </mc:Fallback>
        </mc:AlternateContent>
      </w:r>
    </w:p>
    <w:p>
      <w:pPr>
        <w:spacing w:after="0" w:line="216" w:lineRule="exact"/>
        <w:rPr>
          <w:sz w:val="20"/>
          <w:szCs w:val="20"/>
          <w:color w:val="auto"/>
        </w:rPr>
      </w:pPr>
    </w:p>
    <w:p>
      <w:pPr>
        <w:ind w:right="360"/>
        <w:spacing w:after="0" w:line="232" w:lineRule="auto"/>
        <w:rPr>
          <w:sz w:val="20"/>
          <w:szCs w:val="20"/>
          <w:color w:val="auto"/>
        </w:rPr>
      </w:pPr>
      <w:r>
        <w:rPr>
          <w:rFonts w:ascii="Arial" w:cs="Arial" w:eastAsia="Arial" w:hAnsi="Arial"/>
          <w:sz w:val="20"/>
          <w:szCs w:val="20"/>
          <w:color w:val="auto"/>
        </w:rPr>
        <w:t>The Company acquired customer lists and tradename intangible assets valued at $0.1 million and $0.3 million, respectively. These assets were determined to have useful lives of 10 years.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Western Air Ducts Ltd.</w:t>
      </w:r>
    </w:p>
    <w:p>
      <w:pPr>
        <w:spacing w:after="0" w:line="236" w:lineRule="exact"/>
        <w:rPr>
          <w:sz w:val="20"/>
          <w:szCs w:val="20"/>
          <w:color w:val="auto"/>
        </w:rPr>
      </w:pPr>
    </w:p>
    <w:p>
      <w:pPr>
        <w:jc w:val="both"/>
        <w:ind w:right="120"/>
        <w:spacing w:after="0" w:line="234" w:lineRule="auto"/>
        <w:rPr>
          <w:sz w:val="20"/>
          <w:szCs w:val="20"/>
          <w:color w:val="auto"/>
        </w:rPr>
      </w:pPr>
      <w:r>
        <w:rPr>
          <w:rFonts w:ascii="Arial" w:cs="Arial" w:eastAsia="Arial" w:hAnsi="Arial"/>
          <w:sz w:val="20"/>
          <w:szCs w:val="20"/>
          <w:color w:val="auto"/>
        </w:rPr>
        <w:t>On June 22, 2022, the Company acquired 100% of the equity interests of Western Air Ducts Limited for $10.7 million in cash, which was financed with a draw on the Company’s revolving credit facility, and deferred cash consideration of $0.8 million paid within one year from the date of closing.</w:t>
      </w:r>
    </w:p>
    <w:p>
      <w:pPr>
        <w:spacing w:after="0" w:line="238"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auto"/>
        </w:rPr>
        <w:t>Western Air Ducts is a leading European supplier of dust and fume extraction solutions, providing consultation, design, manufacturing, installation, and service. The acquisition diversifies and expands the Company's industrial air product offerings within the Industrial Process Solutions segment. The following table summarizes the fair values of the assets acquired and liabilities assumed at the date of closing.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6360" w:type="dxa"/>
            <w:vAlign w:val="bottom"/>
          </w:tcPr>
          <w:p>
            <w:pPr>
              <w:spacing w:after="0" w:line="224" w:lineRule="exact"/>
              <w:rPr>
                <w:sz w:val="20"/>
                <w:szCs w:val="20"/>
                <w:color w:val="auto"/>
              </w:rPr>
            </w:pPr>
            <w:r>
              <w:rPr>
                <w:rFonts w:ascii="Arial" w:cs="Arial" w:eastAsia="Arial" w:hAnsi="Arial"/>
                <w:sz w:val="20"/>
                <w:szCs w:val="20"/>
                <w:color w:val="auto"/>
              </w:rPr>
              <w:t>Current assets (including cash of $1,557)</w:t>
            </w:r>
          </w:p>
        </w:tc>
        <w:tc>
          <w:tcPr>
            <w:tcW w:w="44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w:t>
            </w:r>
          </w:p>
        </w:tc>
        <w:tc>
          <w:tcPr>
            <w:tcW w:w="3780" w:type="dxa"/>
            <w:vAlign w:val="bottom"/>
          </w:tcPr>
          <w:p>
            <w:pPr>
              <w:jc w:val="right"/>
              <w:spacing w:after="0" w:line="224" w:lineRule="exact"/>
              <w:rPr>
                <w:sz w:val="20"/>
                <w:szCs w:val="20"/>
                <w:color w:val="auto"/>
              </w:rPr>
            </w:pPr>
            <w:r>
              <w:rPr>
                <w:rFonts w:ascii="Arial" w:cs="Arial" w:eastAsia="Arial" w:hAnsi="Arial"/>
                <w:sz w:val="20"/>
                <w:szCs w:val="20"/>
                <w:color w:val="auto"/>
              </w:rPr>
              <w:t>2,711</w:t>
            </w:r>
          </w:p>
        </w:tc>
        <w:tc>
          <w:tcPr>
            <w:tcW w:w="100" w:type="dxa"/>
            <w:vAlign w:val="bottom"/>
          </w:tcPr>
          <w:p>
            <w:pPr>
              <w:spacing w:after="0"/>
              <w:rPr>
                <w:sz w:val="19"/>
                <w:szCs w:val="19"/>
                <w:color w:val="auto"/>
              </w:rPr>
            </w:pPr>
          </w:p>
        </w:tc>
      </w:tr>
      <w:tr>
        <w:trPr>
          <w:trHeight w:val="228"/>
        </w:trPr>
        <w:tc>
          <w:tcPr>
            <w:tcW w:w="636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Property and equipment</w:t>
            </w:r>
          </w:p>
        </w:tc>
        <w:tc>
          <w:tcPr>
            <w:tcW w:w="34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37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188</w:t>
            </w:r>
          </w:p>
        </w:tc>
        <w:tc>
          <w:tcPr>
            <w:tcW w:w="100" w:type="dxa"/>
            <w:vAlign w:val="bottom"/>
            <w:shd w:val="clear" w:color="auto" w:fill="E9E9E9"/>
          </w:tcPr>
          <w:p>
            <w:pPr>
              <w:spacing w:after="0"/>
              <w:rPr>
                <w:sz w:val="19"/>
                <w:szCs w:val="19"/>
                <w:color w:val="auto"/>
              </w:rPr>
            </w:pPr>
          </w:p>
        </w:tc>
      </w:tr>
      <w:tr>
        <w:trPr>
          <w:trHeight w:val="228"/>
        </w:trPr>
        <w:tc>
          <w:tcPr>
            <w:tcW w:w="6360" w:type="dxa"/>
            <w:vAlign w:val="bottom"/>
          </w:tcPr>
          <w:p>
            <w:pPr>
              <w:spacing w:after="0" w:line="228" w:lineRule="exact"/>
              <w:rPr>
                <w:sz w:val="20"/>
                <w:szCs w:val="20"/>
                <w:color w:val="auto"/>
              </w:rPr>
            </w:pPr>
            <w:r>
              <w:rPr>
                <w:rFonts w:ascii="Arial" w:cs="Arial" w:eastAsia="Arial" w:hAnsi="Arial"/>
                <w:sz w:val="20"/>
                <w:szCs w:val="20"/>
                <w:color w:val="auto"/>
              </w:rPr>
              <w:t>Goodwill</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tcPr>
          <w:p>
            <w:pPr>
              <w:jc w:val="right"/>
              <w:spacing w:after="0" w:line="228" w:lineRule="exact"/>
              <w:rPr>
                <w:sz w:val="20"/>
                <w:szCs w:val="20"/>
                <w:color w:val="auto"/>
              </w:rPr>
            </w:pPr>
            <w:r>
              <w:rPr>
                <w:rFonts w:ascii="Arial" w:cs="Arial" w:eastAsia="Arial" w:hAnsi="Arial"/>
                <w:sz w:val="20"/>
                <w:szCs w:val="20"/>
                <w:color w:val="auto"/>
              </w:rPr>
              <w:t>7,344</w:t>
            </w:r>
          </w:p>
        </w:tc>
        <w:tc>
          <w:tcPr>
            <w:tcW w:w="100" w:type="dxa"/>
            <w:vAlign w:val="bottom"/>
          </w:tcPr>
          <w:p>
            <w:pPr>
              <w:spacing w:after="0"/>
              <w:rPr>
                <w:sz w:val="19"/>
                <w:szCs w:val="19"/>
                <w:color w:val="auto"/>
              </w:rPr>
            </w:pPr>
          </w:p>
        </w:tc>
      </w:tr>
      <w:tr>
        <w:trPr>
          <w:trHeight w:val="228"/>
        </w:trPr>
        <w:tc>
          <w:tcPr>
            <w:tcW w:w="636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Intangible - finite life</w:t>
            </w:r>
          </w:p>
        </w:tc>
        <w:tc>
          <w:tcPr>
            <w:tcW w:w="34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378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3,158</w:t>
            </w:r>
          </w:p>
        </w:tc>
        <w:tc>
          <w:tcPr>
            <w:tcW w:w="100" w:type="dxa"/>
            <w:vAlign w:val="bottom"/>
            <w:shd w:val="clear" w:color="auto" w:fill="E9E9E9"/>
          </w:tcPr>
          <w:p>
            <w:pPr>
              <w:spacing w:after="0"/>
              <w:rPr>
                <w:sz w:val="19"/>
                <w:szCs w:val="19"/>
                <w:color w:val="auto"/>
              </w:rPr>
            </w:pPr>
          </w:p>
        </w:tc>
      </w:tr>
      <w:tr>
        <w:trPr>
          <w:trHeight w:val="218"/>
        </w:trPr>
        <w:tc>
          <w:tcPr>
            <w:tcW w:w="6360" w:type="dxa"/>
            <w:vAlign w:val="bottom"/>
          </w:tcPr>
          <w:p>
            <w:pPr>
              <w:ind w:left="200"/>
              <w:spacing w:after="0" w:line="217" w:lineRule="exact"/>
              <w:rPr>
                <w:sz w:val="20"/>
                <w:szCs w:val="20"/>
                <w:color w:val="auto"/>
              </w:rPr>
            </w:pPr>
            <w:r>
              <w:rPr>
                <w:rFonts w:ascii="Arial" w:cs="Arial" w:eastAsia="Arial" w:hAnsi="Arial"/>
                <w:sz w:val="20"/>
                <w:szCs w:val="20"/>
                <w:color w:val="auto"/>
              </w:rPr>
              <w:t>Total assets acquired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jc w:val="right"/>
              <w:spacing w:after="0" w:line="217" w:lineRule="exact"/>
              <w:rPr>
                <w:sz w:val="20"/>
                <w:szCs w:val="20"/>
                <w:color w:val="auto"/>
              </w:rPr>
            </w:pPr>
            <w:r>
              <w:rPr>
                <w:rFonts w:ascii="Arial" w:cs="Arial" w:eastAsia="Arial" w:hAnsi="Arial"/>
                <w:sz w:val="20"/>
                <w:szCs w:val="20"/>
                <w:color w:val="auto"/>
              </w:rPr>
              <w:t>13,401</w:t>
            </w:r>
          </w:p>
        </w:tc>
        <w:tc>
          <w:tcPr>
            <w:tcW w:w="100" w:type="dxa"/>
            <w:vAlign w:val="bottom"/>
          </w:tcPr>
          <w:p>
            <w:pPr>
              <w:spacing w:after="0"/>
              <w:rPr>
                <w:sz w:val="18"/>
                <w:szCs w:val="18"/>
                <w:color w:val="auto"/>
              </w:rPr>
            </w:pPr>
          </w:p>
        </w:tc>
      </w:tr>
      <w:tr>
        <w:trPr>
          <w:trHeight w:val="228"/>
        </w:trPr>
        <w:tc>
          <w:tcPr>
            <w:tcW w:w="636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Current liabilities assumed</w:t>
            </w:r>
          </w:p>
        </w:tc>
        <w:tc>
          <w:tcPr>
            <w:tcW w:w="34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37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(1,127)</w:t>
            </w:r>
          </w:p>
        </w:tc>
        <w:tc>
          <w:tcPr>
            <w:tcW w:w="100" w:type="dxa"/>
            <w:vAlign w:val="bottom"/>
            <w:shd w:val="clear" w:color="auto" w:fill="E9E9E9"/>
          </w:tcPr>
          <w:p>
            <w:pPr>
              <w:spacing w:after="0"/>
              <w:rPr>
                <w:sz w:val="19"/>
                <w:szCs w:val="19"/>
                <w:color w:val="auto"/>
              </w:rPr>
            </w:pPr>
          </w:p>
        </w:tc>
      </w:tr>
      <w:tr>
        <w:trPr>
          <w:trHeight w:val="228"/>
        </w:trPr>
        <w:tc>
          <w:tcPr>
            <w:tcW w:w="6360" w:type="dxa"/>
            <w:vAlign w:val="bottom"/>
          </w:tcPr>
          <w:p>
            <w:pPr>
              <w:spacing w:after="0" w:line="228" w:lineRule="exact"/>
              <w:rPr>
                <w:sz w:val="20"/>
                <w:szCs w:val="20"/>
                <w:color w:val="auto"/>
              </w:rPr>
            </w:pPr>
            <w:r>
              <w:rPr>
                <w:rFonts w:ascii="Arial" w:cs="Arial" w:eastAsia="Arial" w:hAnsi="Arial"/>
                <w:sz w:val="20"/>
                <w:szCs w:val="20"/>
                <w:color w:val="auto"/>
              </w:rPr>
              <w:t>Deferred income tax liability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(824)</w:t>
            </w:r>
          </w:p>
        </w:tc>
      </w:tr>
      <w:tr>
        <w:trPr>
          <w:trHeight w:val="219"/>
        </w:trPr>
        <w:tc>
          <w:tcPr>
            <w:tcW w:w="6360" w:type="dxa"/>
            <w:vAlign w:val="bottom"/>
            <w:tcBorders>
              <w:top w:val="single" w:sz="8" w:color="E9E9E9"/>
            </w:tcBorders>
            <w:shd w:val="clear" w:color="auto" w:fill="E9E9E9"/>
          </w:tcPr>
          <w:p>
            <w:pPr>
              <w:ind w:left="200"/>
              <w:spacing w:after="0" w:line="218" w:lineRule="exact"/>
              <w:rPr>
                <w:sz w:val="20"/>
                <w:szCs w:val="20"/>
                <w:color w:val="auto"/>
              </w:rPr>
            </w:pPr>
            <w:r>
              <w:rPr>
                <w:rFonts w:ascii="Arial" w:cs="Arial" w:eastAsia="Arial" w:hAnsi="Arial"/>
                <w:sz w:val="20"/>
                <w:szCs w:val="20"/>
                <w:color w:val="auto"/>
              </w:rPr>
              <w:t>Net assets acquired</w:t>
            </w:r>
          </w:p>
        </w:tc>
        <w:tc>
          <w:tcPr>
            <w:tcW w:w="340" w:type="dxa"/>
            <w:vAlign w:val="bottom"/>
            <w:tcBorders>
              <w:top w:val="single" w:sz="8" w:color="E9E9E9"/>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378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rPr>
              <w:t>11,450</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60"/>
        <w:spacing w:after="0" w:line="232" w:lineRule="auto"/>
        <w:rPr>
          <w:sz w:val="20"/>
          <w:szCs w:val="20"/>
          <w:color w:val="auto"/>
        </w:rPr>
      </w:pPr>
      <w:r>
        <w:rPr>
          <w:rFonts w:ascii="Arial" w:cs="Arial" w:eastAsia="Arial" w:hAnsi="Arial"/>
          <w:sz w:val="20"/>
          <w:szCs w:val="20"/>
          <w:color w:val="auto"/>
        </w:rPr>
        <w:t>The Company acquired customer lists and tradename intangible assets valued at $2.8 million and $0.4 million, respectively. These assets were determined to have useful lives of 10 years.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Compass Water Solutions, Inc.</w:t>
      </w:r>
    </w:p>
    <w:p>
      <w:pPr>
        <w:spacing w:after="0" w:line="248"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On May 3, 2022, the Company acquired 100% of the equity interests of Compass Water Solutions, Inc. ("Compass") for $9.0 million in cash, which was financed with a draw on the Company’s revolving credit facility, and $2.0 million in notes payable to the former owners over two years. As additional consideration, the former owners are entitled to earn-out payments based upon a multiple of specified financial results through April 30, 2023. Based on projections at the acquisition date, the Company estimated the fair value of the earn-out to be $1.4 million, which was paid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F-31</w:t>
      </w:r>
    </w:p>
    <w:p>
      <w:pPr>
        <w:sectPr>
          <w:pgSz w:w="11880" w:h="15480" w:orient="portrait"/>
          <w:cols w:equalWidth="0" w:num="1">
            <w:col w:w="10680"/>
          </w:cols>
          <w:pgMar w:left="600" w:top="837" w:right="600" w:bottom="46" w:gutter="0" w:footer="0" w:header="0"/>
        </w:sectPr>
      </w:pPr>
    </w:p>
    <w:bookmarkStart w:id="91" w:name="page92"/>
    <w:bookmarkEnd w:id="91"/>
    <w:p>
      <w:pPr>
        <w:ind w:right="140"/>
        <w:spacing w:after="0" w:line="234" w:lineRule="auto"/>
        <w:rPr>
          <w:sz w:val="20"/>
          <w:szCs w:val="20"/>
          <w:color w:val="auto"/>
        </w:rPr>
      </w:pPr>
      <w:r>
        <w:rPr>
          <w:rFonts w:ascii="Arial" w:cs="Arial" w:eastAsia="Arial" w:hAnsi="Arial"/>
          <w:sz w:val="20"/>
          <w:szCs w:val="20"/>
          <w:color w:val="auto"/>
        </w:rPr>
        <w:t>Compass is a leading global supplier of membrane-based industrial water and wastewater treatment systems that help customers achieve regulatory compliance of water discharge at the lowest lifecycle cost. The acquisition diversifies and expands the Company's industrial water product offerings within the Engineered Systems segment. The following table summarizes the fair values of the assets acquired and liabilities assumed at the date of closing.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8720" w:type="dxa"/>
            <w:vAlign w:val="bottom"/>
          </w:tcPr>
          <w:p>
            <w:pPr>
              <w:spacing w:after="0" w:line="227" w:lineRule="exact"/>
              <w:rPr>
                <w:sz w:val="20"/>
                <w:szCs w:val="20"/>
                <w:color w:val="auto"/>
              </w:rPr>
            </w:pPr>
            <w:r>
              <w:rPr>
                <w:rFonts w:ascii="Arial" w:cs="Arial" w:eastAsia="Arial" w:hAnsi="Arial"/>
                <w:sz w:val="20"/>
                <w:szCs w:val="20"/>
                <w:color w:val="auto"/>
              </w:rPr>
              <w:t>Current assets (including cash of $334)</w:t>
            </w:r>
          </w:p>
        </w:tc>
        <w:tc>
          <w:tcPr>
            <w:tcW w:w="2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w:t>
            </w:r>
          </w:p>
        </w:tc>
        <w:tc>
          <w:tcPr>
            <w:tcW w:w="1740" w:type="dxa"/>
            <w:vAlign w:val="bottom"/>
            <w:gridSpan w:val="3"/>
          </w:tcPr>
          <w:p>
            <w:pPr>
              <w:jc w:val="right"/>
              <w:ind w:right="100"/>
              <w:spacing w:after="0" w:line="227" w:lineRule="exact"/>
              <w:rPr>
                <w:sz w:val="20"/>
                <w:szCs w:val="20"/>
                <w:color w:val="auto"/>
              </w:rPr>
            </w:pPr>
            <w:r>
              <w:rPr>
                <w:rFonts w:ascii="Arial" w:cs="Arial" w:eastAsia="Arial" w:hAnsi="Arial"/>
                <w:sz w:val="20"/>
                <w:szCs w:val="20"/>
                <w:color w:val="auto"/>
              </w:rPr>
              <w:t>4,796</w:t>
            </w:r>
          </w:p>
        </w:tc>
      </w:tr>
      <w:tr>
        <w:trPr>
          <w:trHeight w:val="226"/>
        </w:trPr>
        <w:tc>
          <w:tcPr>
            <w:tcW w:w="872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Property and equipment</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101</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8720" w:type="dxa"/>
            <w:vAlign w:val="bottom"/>
          </w:tcPr>
          <w:p>
            <w:pPr>
              <w:spacing w:after="0" w:line="228" w:lineRule="exact"/>
              <w:rPr>
                <w:sz w:val="20"/>
                <w:szCs w:val="20"/>
                <w:color w:val="auto"/>
              </w:rPr>
            </w:pPr>
            <w:r>
              <w:rPr>
                <w:rFonts w:ascii="Arial" w:cs="Arial" w:eastAsia="Arial" w:hAnsi="Arial"/>
                <w:sz w:val="20"/>
                <w:szCs w:val="20"/>
                <w:color w:val="auto"/>
              </w:rPr>
              <w:t>Goodwill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4,848</w:t>
            </w:r>
          </w:p>
        </w:tc>
      </w:tr>
      <w:tr>
        <w:trPr>
          <w:trHeight w:val="228"/>
        </w:trPr>
        <w:tc>
          <w:tcPr>
            <w:tcW w:w="87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Intangible - finite life</w:t>
            </w:r>
          </w:p>
        </w:tc>
        <w:tc>
          <w:tcPr>
            <w:tcW w:w="1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6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4,900</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18"/>
        </w:trPr>
        <w:tc>
          <w:tcPr>
            <w:tcW w:w="8720" w:type="dxa"/>
            <w:vAlign w:val="bottom"/>
          </w:tcPr>
          <w:p>
            <w:pPr>
              <w:ind w:left="200"/>
              <w:spacing w:after="0" w:line="217" w:lineRule="exact"/>
              <w:rPr>
                <w:sz w:val="20"/>
                <w:szCs w:val="20"/>
                <w:color w:val="auto"/>
              </w:rPr>
            </w:pPr>
            <w:r>
              <w:rPr>
                <w:rFonts w:ascii="Arial" w:cs="Arial" w:eastAsia="Arial" w:hAnsi="Arial"/>
                <w:sz w:val="20"/>
                <w:szCs w:val="20"/>
                <w:color w:val="auto"/>
              </w:rPr>
              <w:t>Total assets acquired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14,645</w:t>
            </w:r>
          </w:p>
        </w:tc>
      </w:tr>
      <w:tr>
        <w:trPr>
          <w:trHeight w:val="228"/>
        </w:trPr>
        <w:tc>
          <w:tcPr>
            <w:tcW w:w="87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Current liabilities assumed</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(623)</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8720" w:type="dxa"/>
            <w:vAlign w:val="bottom"/>
          </w:tcPr>
          <w:p>
            <w:pPr>
              <w:spacing w:after="0" w:line="228" w:lineRule="exact"/>
              <w:rPr>
                <w:sz w:val="20"/>
                <w:szCs w:val="20"/>
                <w:color w:val="auto"/>
              </w:rPr>
            </w:pPr>
            <w:r>
              <w:rPr>
                <w:rFonts w:ascii="Arial" w:cs="Arial" w:eastAsia="Arial" w:hAnsi="Arial"/>
                <w:sz w:val="20"/>
                <w:szCs w:val="20"/>
                <w:color w:val="auto"/>
              </w:rPr>
              <w:t>Deferred income tax liability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(1,627)</w:t>
            </w:r>
          </w:p>
        </w:tc>
      </w:tr>
      <w:tr>
        <w:trPr>
          <w:trHeight w:val="218"/>
        </w:trPr>
        <w:tc>
          <w:tcPr>
            <w:tcW w:w="87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Net assets acquired</w:t>
            </w: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6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12,395</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-616585</wp:posOffset>
                </wp:positionV>
                <wp:extent cx="6921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48.5499pt" to="534.4pt,-48.5499pt" o:allowincell="f" strokecolor="#FFFFFF" strokeweight="0.4751pt"/>
            </w:pict>
          </mc:Fallback>
        </mc:AlternateContent>
      </w:r>
    </w:p>
    <w:p>
      <w:pPr>
        <w:spacing w:after="0" w:line="216" w:lineRule="exact"/>
        <w:rPr>
          <w:sz w:val="20"/>
          <w:szCs w:val="20"/>
          <w:color w:val="auto"/>
        </w:rPr>
      </w:pPr>
    </w:p>
    <w:p>
      <w:pPr>
        <w:ind w:right="360"/>
        <w:spacing w:after="0" w:line="232" w:lineRule="auto"/>
        <w:rPr>
          <w:sz w:val="20"/>
          <w:szCs w:val="20"/>
          <w:color w:val="auto"/>
        </w:rPr>
      </w:pPr>
      <w:r>
        <w:rPr>
          <w:rFonts w:ascii="Arial" w:cs="Arial" w:eastAsia="Arial" w:hAnsi="Arial"/>
          <w:sz w:val="20"/>
          <w:szCs w:val="20"/>
          <w:color w:val="auto"/>
        </w:rPr>
        <w:t>The Company acquired customer lists and tradename intangible assets valued at $4.4 million and $0.5 million, respectively. These assets were determined to have useful lives of 10 years.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Rubber LLC</w:t>
      </w:r>
    </w:p>
    <w:p>
      <w:pPr>
        <w:spacing w:after="0" w:line="248" w:lineRule="exact"/>
        <w:rPr>
          <w:sz w:val="20"/>
          <w:szCs w:val="20"/>
          <w:color w:val="auto"/>
        </w:rPr>
      </w:pPr>
    </w:p>
    <w:p>
      <w:pPr>
        <w:ind w:right="140"/>
        <w:spacing w:after="0" w:line="249" w:lineRule="auto"/>
        <w:rPr>
          <w:sz w:val="20"/>
          <w:szCs w:val="20"/>
          <w:color w:val="auto"/>
        </w:rPr>
      </w:pPr>
      <w:r>
        <w:rPr>
          <w:rFonts w:ascii="Arial" w:cs="Arial" w:eastAsia="Arial" w:hAnsi="Arial"/>
          <w:sz w:val="19"/>
          <w:szCs w:val="19"/>
          <w:color w:val="auto"/>
        </w:rPr>
        <w:t>On March 7, 2022, the Company, through the EFM JV, acquired 100% of the equity interests of General Rubber LLC ("GRC") for $19.7 million in cash, which was financed with a combination of a draw on the Company's revolving credit facility and issuance of term debt by the EFM JV. As additional consideration, the former owners of GRC were issued 10% of the equity interest in the EFM JV, resulting in the Company holding 63% of the equity in the joint venture. The Company determined CECO was the primary beneficiary of this variable interest entity and therefore the noncontrolling equity interest is in the Consolidated Balance Sheet. The fair value ascribed to the equity interest of the former owners of GRC was approximately $4.1 million. As of December 31, 2023, there were $14.5 million in current assets, $26.7 million in long-lived assets, and $12.5 million in total liabilities related to the EFM JV included in the Consolidated Balance Sheets. For the years ended December 31, 2023 and 2022, EFM JV accounted for $37.7 million and $35.8 million in revenue, respectively.</w:t>
      </w:r>
    </w:p>
    <w:p>
      <w:pPr>
        <w:spacing w:after="0" w:line="246"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the EFM JV product offerings within the Engineered Systems segment. The following table summarizes the fair values of the assets acquired and liabilities assumed at the date of closing.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8720" w:type="dxa"/>
            <w:vAlign w:val="bottom"/>
          </w:tcPr>
          <w:p>
            <w:pPr>
              <w:spacing w:after="0" w:line="227" w:lineRule="exact"/>
              <w:rPr>
                <w:sz w:val="20"/>
                <w:szCs w:val="20"/>
                <w:color w:val="auto"/>
              </w:rPr>
            </w:pPr>
            <w:r>
              <w:rPr>
                <w:rFonts w:ascii="Arial" w:cs="Arial" w:eastAsia="Arial" w:hAnsi="Arial"/>
                <w:sz w:val="20"/>
                <w:szCs w:val="20"/>
                <w:color w:val="auto"/>
              </w:rPr>
              <w:t>Current assets (including cash of $137)</w:t>
            </w:r>
          </w:p>
        </w:tc>
        <w:tc>
          <w:tcPr>
            <w:tcW w:w="2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w:t>
            </w:r>
          </w:p>
        </w:tc>
        <w:tc>
          <w:tcPr>
            <w:tcW w:w="1740" w:type="dxa"/>
            <w:vAlign w:val="bottom"/>
            <w:gridSpan w:val="3"/>
          </w:tcPr>
          <w:p>
            <w:pPr>
              <w:jc w:val="right"/>
              <w:ind w:right="100"/>
              <w:spacing w:after="0" w:line="227" w:lineRule="exact"/>
              <w:rPr>
                <w:sz w:val="20"/>
                <w:szCs w:val="20"/>
                <w:color w:val="auto"/>
              </w:rPr>
            </w:pPr>
            <w:r>
              <w:rPr>
                <w:rFonts w:ascii="Arial" w:cs="Arial" w:eastAsia="Arial" w:hAnsi="Arial"/>
                <w:sz w:val="20"/>
                <w:szCs w:val="20"/>
                <w:color w:val="auto"/>
              </w:rPr>
              <w:t>4,963</w:t>
            </w:r>
          </w:p>
        </w:tc>
      </w:tr>
      <w:tr>
        <w:trPr>
          <w:trHeight w:val="228"/>
        </w:trPr>
        <w:tc>
          <w:tcPr>
            <w:tcW w:w="87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Property and equipment</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459</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8720" w:type="dxa"/>
            <w:vAlign w:val="bottom"/>
          </w:tcPr>
          <w:p>
            <w:pPr>
              <w:spacing w:after="0" w:line="228" w:lineRule="exact"/>
              <w:rPr>
                <w:sz w:val="20"/>
                <w:szCs w:val="20"/>
                <w:color w:val="auto"/>
              </w:rPr>
            </w:pPr>
            <w:r>
              <w:rPr>
                <w:rFonts w:ascii="Arial" w:cs="Arial" w:eastAsia="Arial" w:hAnsi="Arial"/>
                <w:sz w:val="20"/>
                <w:szCs w:val="20"/>
                <w:color w:val="auto"/>
              </w:rPr>
              <w:t>Goodwill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11,120</w:t>
            </w:r>
          </w:p>
        </w:tc>
      </w:tr>
      <w:tr>
        <w:trPr>
          <w:trHeight w:val="228"/>
        </w:trPr>
        <w:tc>
          <w:tcPr>
            <w:tcW w:w="872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Intangible - finite life</w:t>
            </w:r>
          </w:p>
        </w:tc>
        <w:tc>
          <w:tcPr>
            <w:tcW w:w="1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64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8,380</w:t>
            </w:r>
          </w:p>
        </w:tc>
        <w:tc>
          <w:tcPr>
            <w:tcW w:w="20" w:type="dxa"/>
            <w:vAlign w:val="bottom"/>
            <w:tcBorders>
              <w:bottom w:val="single" w:sz="8" w:color="auto"/>
            </w:tcBorders>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18"/>
        </w:trPr>
        <w:tc>
          <w:tcPr>
            <w:tcW w:w="8720" w:type="dxa"/>
            <w:vAlign w:val="bottom"/>
          </w:tcPr>
          <w:p>
            <w:pPr>
              <w:ind w:left="200"/>
              <w:spacing w:after="0" w:line="217" w:lineRule="exact"/>
              <w:rPr>
                <w:sz w:val="20"/>
                <w:szCs w:val="20"/>
                <w:color w:val="auto"/>
              </w:rPr>
            </w:pPr>
            <w:r>
              <w:rPr>
                <w:rFonts w:ascii="Arial" w:cs="Arial" w:eastAsia="Arial" w:hAnsi="Arial"/>
                <w:sz w:val="20"/>
                <w:szCs w:val="20"/>
                <w:color w:val="auto"/>
              </w:rPr>
              <w:t>Total assets acquired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line="217" w:lineRule="exact"/>
              <w:rPr>
                <w:sz w:val="20"/>
                <w:szCs w:val="20"/>
                <w:color w:val="auto"/>
              </w:rPr>
            </w:pPr>
            <w:r>
              <w:rPr>
                <w:rFonts w:ascii="Arial" w:cs="Arial" w:eastAsia="Arial" w:hAnsi="Arial"/>
                <w:sz w:val="20"/>
                <w:szCs w:val="20"/>
                <w:color w:val="auto"/>
              </w:rPr>
              <w:t>24,922</w:t>
            </w:r>
          </w:p>
        </w:tc>
      </w:tr>
      <w:tr>
        <w:trPr>
          <w:trHeight w:val="226"/>
        </w:trPr>
        <w:tc>
          <w:tcPr>
            <w:tcW w:w="8720" w:type="dxa"/>
            <w:vAlign w:val="bottom"/>
            <w:shd w:val="clear" w:color="auto" w:fill="E9E9E9"/>
          </w:tcPr>
          <w:p>
            <w:pPr>
              <w:spacing w:after="0" w:line="226" w:lineRule="exact"/>
              <w:rPr>
                <w:sz w:val="20"/>
                <w:szCs w:val="20"/>
                <w:color w:val="auto"/>
              </w:rPr>
            </w:pPr>
            <w:r>
              <w:rPr>
                <w:rFonts w:ascii="Arial" w:cs="Arial" w:eastAsia="Arial" w:hAnsi="Arial"/>
                <w:sz w:val="20"/>
                <w:szCs w:val="20"/>
                <w:color w:val="auto"/>
              </w:rPr>
              <w:t>Current liabilities assumed</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6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(714)</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8720" w:type="dxa"/>
            <w:vAlign w:val="bottom"/>
          </w:tcPr>
          <w:p>
            <w:pPr>
              <w:spacing w:after="0" w:line="228" w:lineRule="exact"/>
              <w:rPr>
                <w:sz w:val="20"/>
                <w:szCs w:val="20"/>
                <w:color w:val="auto"/>
              </w:rPr>
            </w:pPr>
            <w:r>
              <w:rPr>
                <w:rFonts w:ascii="Arial" w:cs="Arial" w:eastAsia="Arial" w:hAnsi="Arial"/>
                <w:sz w:val="20"/>
                <w:szCs w:val="20"/>
                <w:color w:val="auto"/>
              </w:rPr>
              <w:t>Deferred income tax liability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auto"/>
              </w:rPr>
              <w:t>(388)</w:t>
            </w:r>
          </w:p>
        </w:tc>
      </w:tr>
      <w:tr>
        <w:trPr>
          <w:trHeight w:val="218"/>
        </w:trPr>
        <w:tc>
          <w:tcPr>
            <w:tcW w:w="8720" w:type="dxa"/>
            <w:vAlign w:val="bottom"/>
            <w:tcBorders>
              <w:top w:val="single" w:sz="8" w:color="E9E9E9"/>
            </w:tcBorders>
            <w:shd w:val="clear" w:color="auto" w:fill="E9E9E9"/>
          </w:tcPr>
          <w:p>
            <w:pPr>
              <w:ind w:left="200"/>
              <w:spacing w:after="0" w:line="217" w:lineRule="exact"/>
              <w:rPr>
                <w:sz w:val="20"/>
                <w:szCs w:val="20"/>
                <w:color w:val="auto"/>
              </w:rPr>
            </w:pPr>
            <w:r>
              <w:rPr>
                <w:rFonts w:ascii="Arial" w:cs="Arial" w:eastAsia="Arial" w:hAnsi="Arial"/>
                <w:sz w:val="20"/>
                <w:szCs w:val="20"/>
                <w:color w:val="auto"/>
              </w:rPr>
              <w:t>Net assets acquired</w:t>
            </w: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6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23,820</w:t>
            </w:r>
          </w:p>
        </w:tc>
        <w:tc>
          <w:tcPr>
            <w:tcW w:w="2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6717665</wp:posOffset>
                </wp:positionH>
                <wp:positionV relativeFrom="paragraph">
                  <wp:posOffset>-615315</wp:posOffset>
                </wp:positionV>
                <wp:extent cx="6921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95pt,-48.4499pt" to="534.4pt,-48.4499pt" o:allowincell="f" strokecolor="#FFFFFF" strokeweight="0.4751pt"/>
            </w:pict>
          </mc:Fallback>
        </mc:AlternateContent>
      </w:r>
    </w:p>
    <w:p>
      <w:pPr>
        <w:spacing w:after="0" w:line="219" w:lineRule="exact"/>
        <w:rPr>
          <w:sz w:val="20"/>
          <w:szCs w:val="20"/>
          <w:color w:val="auto"/>
        </w:rPr>
      </w:pPr>
    </w:p>
    <w:p>
      <w:pPr>
        <w:ind w:right="360"/>
        <w:spacing w:after="0" w:line="231" w:lineRule="auto"/>
        <w:rPr>
          <w:sz w:val="20"/>
          <w:szCs w:val="20"/>
          <w:color w:val="auto"/>
        </w:rPr>
      </w:pPr>
      <w:r>
        <w:rPr>
          <w:rFonts w:ascii="Arial" w:cs="Arial" w:eastAsia="Arial" w:hAnsi="Arial"/>
          <w:sz w:val="20"/>
          <w:szCs w:val="20"/>
          <w:color w:val="auto"/>
        </w:rPr>
        <w:t>The Company acquired customer lists and tradename intangible assets valued at $7.7 million and $0.7 million, respectively. These assets were determined to have useful lives of 10 years.</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 has finalized the valuation of assets acquired and liabilities assumed related to the 2022 acquisitions. The purchase accounting related to the 2023 acquisitions is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227"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ectPr>
          <w:pgSz w:w="11880" w:h="15480" w:orient="portrait"/>
          <w:cols w:equalWidth="0" w:num="1">
            <w:col w:w="10680"/>
          </w:cols>
          <w:pgMar w:left="600" w:top="849" w:right="600" w:bottom="46" w:gutter="0" w:footer="0" w:header="0"/>
        </w:sectPr>
      </w:pPr>
    </w:p>
    <w:bookmarkStart w:id="92" w:name="page93"/>
    <w:bookmarkEnd w:id="92"/>
    <w:p>
      <w:pPr>
        <w:ind w:left="6" w:right="360"/>
        <w:spacing w:after="0" w:line="232" w:lineRule="auto"/>
        <w:rPr>
          <w:sz w:val="20"/>
          <w:szCs w:val="20"/>
          <w:color w:val="auto"/>
        </w:rPr>
      </w:pPr>
      <w:r>
        <w:rPr>
          <w:rFonts w:ascii="Arial" w:cs="Arial" w:eastAsia="Arial" w:hAnsi="Arial"/>
          <w:sz w:val="20"/>
          <w:szCs w:val="20"/>
          <w:color w:val="auto"/>
        </w:rPr>
        <w:t>Acquisition and integration expenses on the Consolidated Statements of Income are related to acquisition activities, which include retention, legal, accounting, banking, and other expenses.</w:t>
      </w:r>
    </w:p>
    <w:p>
      <w:pPr>
        <w:spacing w:after="0" w:line="240" w:lineRule="exact"/>
        <w:rPr>
          <w:sz w:val="20"/>
          <w:szCs w:val="20"/>
          <w:color w:val="auto"/>
        </w:rPr>
      </w:pPr>
    </w:p>
    <w:p>
      <w:pPr>
        <w:ind w:left="6" w:right="240"/>
        <w:spacing w:after="0" w:line="232" w:lineRule="auto"/>
        <w:rPr>
          <w:sz w:val="20"/>
          <w:szCs w:val="20"/>
          <w:color w:val="auto"/>
        </w:rPr>
      </w:pPr>
      <w:r>
        <w:rPr>
          <w:rFonts w:ascii="Arial" w:cs="Arial" w:eastAsia="Arial" w:hAnsi="Arial"/>
          <w:sz w:val="20"/>
          <w:szCs w:val="20"/>
          <w:color w:val="auto"/>
        </w:rPr>
        <w:t>The following unaudited pro forma financial information represents the Company’s results of operations as if these acquisitions had occurred at the beginning of the fiscal year prior to the acquisition:</w:t>
      </w:r>
    </w:p>
    <w:p>
      <w:pPr>
        <w:spacing w:after="0" w:line="226"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7040" w:type="dxa"/>
            <w:vAlign w:val="bottom"/>
          </w:tcPr>
          <w:p>
            <w:pPr>
              <w:spacing w:after="0" w:line="172" w:lineRule="exact"/>
              <w:rPr>
                <w:sz w:val="20"/>
                <w:szCs w:val="20"/>
                <w:color w:val="auto"/>
              </w:rPr>
            </w:pPr>
            <w:r>
              <w:rPr>
                <w:rFonts w:ascii="Arial" w:cs="Arial" w:eastAsia="Arial" w:hAnsi="Arial"/>
                <w:sz w:val="16"/>
                <w:szCs w:val="16"/>
                <w:b w:val="1"/>
                <w:bCs w:val="1"/>
                <w:color w:val="auto"/>
              </w:rPr>
              <w:t>(table only in thousands, except per share data)</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68"/>
              <w:spacing w:after="0" w:line="172"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5"/>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r>
      <w:tr>
        <w:trPr>
          <w:trHeight w:val="217"/>
        </w:trPr>
        <w:tc>
          <w:tcPr>
            <w:tcW w:w="7040" w:type="dxa"/>
            <w:vAlign w:val="bottom"/>
          </w:tcPr>
          <w:p>
            <w:pPr>
              <w:spacing w:after="0" w:line="217" w:lineRule="exact"/>
              <w:rPr>
                <w:sz w:val="20"/>
                <w:szCs w:val="20"/>
                <w:color w:val="auto"/>
              </w:rPr>
            </w:pPr>
            <w:r>
              <w:rPr>
                <w:rFonts w:ascii="Arial" w:cs="Arial" w:eastAsia="Arial" w:hAnsi="Arial"/>
                <w:sz w:val="20"/>
                <w:szCs w:val="20"/>
                <w:color w:val="auto"/>
              </w:rPr>
              <w:t>Net sales</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564,608</w:t>
            </w:r>
          </w:p>
        </w:tc>
        <w:tc>
          <w:tcPr>
            <w:tcW w:w="740" w:type="dxa"/>
            <w:vAlign w:val="bottom"/>
            <w:gridSpan w:val="2"/>
          </w:tcPr>
          <w:p>
            <w:pPr>
              <w:jc w:val="right"/>
              <w:ind w:right="321"/>
              <w:spacing w:after="0" w:line="217"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7" w:lineRule="exact"/>
              <w:rPr>
                <w:sz w:val="20"/>
                <w:szCs w:val="20"/>
                <w:color w:val="auto"/>
              </w:rPr>
            </w:pPr>
            <w:r>
              <w:rPr>
                <w:rFonts w:ascii="Arial" w:cs="Arial" w:eastAsia="Arial" w:hAnsi="Arial"/>
                <w:sz w:val="20"/>
                <w:szCs w:val="20"/>
                <w:color w:val="auto"/>
              </w:rPr>
              <w:t>478,802</w:t>
            </w:r>
          </w:p>
        </w:tc>
        <w:tc>
          <w:tcPr>
            <w:tcW w:w="100" w:type="dxa"/>
            <w:vAlign w:val="bottom"/>
          </w:tcPr>
          <w:p>
            <w:pPr>
              <w:spacing w:after="0"/>
              <w:rPr>
                <w:sz w:val="18"/>
                <w:szCs w:val="18"/>
                <w:color w:val="auto"/>
              </w:rPr>
            </w:pPr>
          </w:p>
        </w:tc>
      </w:tr>
      <w:tr>
        <w:trPr>
          <w:trHeight w:val="228"/>
        </w:trPr>
        <w:tc>
          <w:tcPr>
            <w:tcW w:w="70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Net income attributable to CECO Environmental Corp.</w:t>
            </w:r>
          </w:p>
        </w:tc>
        <w:tc>
          <w:tcPr>
            <w:tcW w:w="1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rPr>
              <w:t>$</w:t>
            </w: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14,562</w:t>
            </w:r>
          </w:p>
        </w:tc>
        <w:tc>
          <w:tcPr>
            <w:tcW w:w="2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20,179</w:t>
            </w:r>
          </w:p>
        </w:tc>
        <w:tc>
          <w:tcPr>
            <w:tcW w:w="100" w:type="dxa"/>
            <w:vAlign w:val="bottom"/>
            <w:shd w:val="clear" w:color="auto" w:fill="E9E9E9"/>
          </w:tcPr>
          <w:p>
            <w:pPr>
              <w:spacing w:after="0"/>
              <w:rPr>
                <w:sz w:val="19"/>
                <w:szCs w:val="19"/>
                <w:color w:val="auto"/>
              </w:rPr>
            </w:pPr>
          </w:p>
        </w:tc>
      </w:tr>
      <w:tr>
        <w:trPr>
          <w:trHeight w:val="228"/>
        </w:trPr>
        <w:tc>
          <w:tcPr>
            <w:tcW w:w="7040" w:type="dxa"/>
            <w:vAlign w:val="bottom"/>
          </w:tcPr>
          <w:p>
            <w:pPr>
              <w:spacing w:after="0" w:line="228" w:lineRule="exact"/>
              <w:rPr>
                <w:sz w:val="20"/>
                <w:szCs w:val="20"/>
                <w:color w:val="auto"/>
              </w:rPr>
            </w:pPr>
            <w:r>
              <w:rPr>
                <w:rFonts w:ascii="Arial" w:cs="Arial" w:eastAsia="Arial" w:hAnsi="Arial"/>
                <w:sz w:val="20"/>
                <w:szCs w:val="20"/>
                <w:color w:val="auto"/>
              </w:rPr>
              <w:t>Earnings per share:</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040" w:type="dxa"/>
            <w:vAlign w:val="bottom"/>
            <w:shd w:val="clear" w:color="auto" w:fill="E9E9E9"/>
          </w:tcPr>
          <w:p>
            <w:pPr>
              <w:spacing w:after="0" w:line="228" w:lineRule="exact"/>
              <w:rPr>
                <w:sz w:val="20"/>
                <w:szCs w:val="20"/>
                <w:color w:val="auto"/>
              </w:rPr>
            </w:pPr>
            <w:r>
              <w:rPr>
                <w:rFonts w:ascii="Arial" w:cs="Arial" w:eastAsia="Arial" w:hAnsi="Arial"/>
                <w:sz w:val="20"/>
                <w:szCs w:val="20"/>
                <w:color w:val="auto"/>
              </w:rPr>
              <w:t>Basic</w:t>
            </w:r>
          </w:p>
        </w:tc>
        <w:tc>
          <w:tcPr>
            <w:tcW w:w="1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w w:val="71"/>
              </w:rPr>
              <w:t>$</w:t>
            </w:r>
          </w:p>
        </w:tc>
        <w:tc>
          <w:tcPr>
            <w:tcW w:w="15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0.42</w:t>
            </w:r>
          </w:p>
        </w:tc>
        <w:tc>
          <w:tcPr>
            <w:tcW w:w="220" w:type="dxa"/>
            <w:vAlign w:val="bottom"/>
            <w:shd w:val="clear" w:color="auto" w:fill="E9E9E9"/>
          </w:tcPr>
          <w:p>
            <w:pPr>
              <w:spacing w:after="0"/>
              <w:rPr>
                <w:sz w:val="19"/>
                <w:szCs w:val="19"/>
                <w:color w:val="auto"/>
              </w:rPr>
            </w:pPr>
          </w:p>
        </w:tc>
        <w:tc>
          <w:tcPr>
            <w:tcW w:w="520" w:type="dxa"/>
            <w:vAlign w:val="bottom"/>
            <w:shd w:val="clear" w:color="auto" w:fill="E9E9E9"/>
          </w:tcPr>
          <w:p>
            <w:pPr>
              <w:jc w:val="right"/>
              <w:ind w:right="321"/>
              <w:spacing w:after="0" w:line="228"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0.58</w:t>
            </w:r>
          </w:p>
        </w:tc>
        <w:tc>
          <w:tcPr>
            <w:tcW w:w="100" w:type="dxa"/>
            <w:vAlign w:val="bottom"/>
            <w:shd w:val="clear" w:color="auto" w:fill="E9E9E9"/>
          </w:tcPr>
          <w:p>
            <w:pPr>
              <w:spacing w:after="0"/>
              <w:rPr>
                <w:sz w:val="19"/>
                <w:szCs w:val="19"/>
                <w:color w:val="auto"/>
              </w:rPr>
            </w:pPr>
          </w:p>
        </w:tc>
      </w:tr>
      <w:tr>
        <w:trPr>
          <w:trHeight w:val="225"/>
        </w:trPr>
        <w:tc>
          <w:tcPr>
            <w:tcW w:w="7040" w:type="dxa"/>
            <w:vAlign w:val="bottom"/>
          </w:tcPr>
          <w:p>
            <w:pPr>
              <w:spacing w:after="0" w:line="225" w:lineRule="exact"/>
              <w:rPr>
                <w:sz w:val="20"/>
                <w:szCs w:val="20"/>
                <w:color w:val="auto"/>
              </w:rPr>
            </w:pPr>
            <w:r>
              <w:rPr>
                <w:rFonts w:ascii="Arial" w:cs="Arial" w:eastAsia="Arial" w:hAnsi="Arial"/>
                <w:sz w:val="20"/>
                <w:szCs w:val="20"/>
                <w:color w:val="auto"/>
              </w:rPr>
              <w:t>Diluted</w:t>
            </w:r>
          </w:p>
        </w:tc>
        <w:tc>
          <w:tcPr>
            <w:tcW w:w="120" w:type="dxa"/>
            <w:vAlign w:val="bottom"/>
          </w:tcPr>
          <w:p>
            <w:pPr>
              <w:jc w:val="right"/>
              <w:spacing w:after="0" w:line="225"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25" w:lineRule="exact"/>
              <w:rPr>
                <w:sz w:val="20"/>
                <w:szCs w:val="20"/>
                <w:color w:val="auto"/>
              </w:rPr>
            </w:pPr>
            <w:r>
              <w:rPr>
                <w:rFonts w:ascii="Arial" w:cs="Arial" w:eastAsia="Arial" w:hAnsi="Arial"/>
                <w:sz w:val="20"/>
                <w:szCs w:val="20"/>
                <w:color w:val="auto"/>
              </w:rPr>
              <w:t>0.41</w:t>
            </w:r>
          </w:p>
        </w:tc>
        <w:tc>
          <w:tcPr>
            <w:tcW w:w="740" w:type="dxa"/>
            <w:vAlign w:val="bottom"/>
            <w:gridSpan w:val="2"/>
          </w:tcPr>
          <w:p>
            <w:pPr>
              <w:jc w:val="right"/>
              <w:ind w:right="321"/>
              <w:spacing w:after="0" w:line="225"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0.58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6719570</wp:posOffset>
                </wp:positionH>
                <wp:positionV relativeFrom="paragraph">
                  <wp:posOffset>-847090</wp:posOffset>
                </wp:positionV>
                <wp:extent cx="7112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66.6999pt" to="534.7pt,-66.69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6719570</wp:posOffset>
                </wp:positionH>
                <wp:positionV relativeFrom="paragraph">
                  <wp:posOffset>-725170</wp:posOffset>
                </wp:positionV>
                <wp:extent cx="7112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1pt,-57.0999pt" to="534.7pt,-57.0999pt" o:allowincell="f" strokecolor="#FFFFFF" strokeweight="0.4752pt"/>
            </w:pict>
          </mc:Fallback>
        </mc:AlternateContent>
      </w:r>
    </w:p>
    <w:p>
      <w:pPr>
        <w:spacing w:after="0" w:line="257" w:lineRule="exact"/>
        <w:rPr>
          <w:sz w:val="20"/>
          <w:szCs w:val="20"/>
          <w:color w:val="auto"/>
        </w:rPr>
      </w:pPr>
    </w:p>
    <w:p>
      <w:pPr>
        <w:ind w:left="6" w:right="140"/>
        <w:spacing w:after="0" w:line="235" w:lineRule="auto"/>
        <w:rPr>
          <w:sz w:val="20"/>
          <w:szCs w:val="20"/>
          <w:color w:val="auto"/>
        </w:rPr>
      </w:pPr>
      <w:r>
        <w:rPr>
          <w:rFonts w:ascii="Arial" w:cs="Arial" w:eastAsia="Arial" w:hAnsi="Arial"/>
          <w:sz w:val="20"/>
          <w:szCs w:val="20"/>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238" w:lineRule="exact"/>
        <w:rPr>
          <w:sz w:val="20"/>
          <w:szCs w:val="20"/>
          <w:color w:val="auto"/>
        </w:rPr>
      </w:pPr>
    </w:p>
    <w:p>
      <w:pPr>
        <w:ind w:left="486" w:hanging="486"/>
        <w:spacing w:after="0"/>
        <w:tabs>
          <w:tab w:leader="none" w:pos="486"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 Information</w:t>
      </w:r>
    </w:p>
    <w:p>
      <w:pPr>
        <w:spacing w:after="0" w:line="248" w:lineRule="exact"/>
        <w:rPr>
          <w:sz w:val="20"/>
          <w:szCs w:val="20"/>
          <w:color w:val="auto"/>
        </w:rPr>
      </w:pPr>
    </w:p>
    <w:p>
      <w:pPr>
        <w:ind w:left="6" w:right="20"/>
        <w:spacing w:after="0" w:line="235" w:lineRule="auto"/>
        <w:rPr>
          <w:sz w:val="20"/>
          <w:szCs w:val="20"/>
          <w:color w:val="auto"/>
        </w:rPr>
      </w:pPr>
      <w:r>
        <w:rPr>
          <w:rFonts w:ascii="Arial" w:cs="Arial" w:eastAsia="Arial" w:hAnsi="Arial"/>
          <w:sz w:val="20"/>
          <w:szCs w:val="20"/>
          <w:color w:val="auto"/>
        </w:rPr>
        <w:t>The Company’s operations are organized and reviewed by management along its product lines or end markets that the segment serves and are presented in two reportable segments. The results of the segments are reviewed through to the “Income from operations” line on the Consolidated Statements of Income. The accounting policies of the segments are the same as those in the consolidated financial statements.</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Company’s reportable segments are organized as groups of similar products and services, as described as follows:</w:t>
      </w:r>
    </w:p>
    <w:p>
      <w:pPr>
        <w:spacing w:after="0" w:line="246" w:lineRule="exact"/>
        <w:rPr>
          <w:sz w:val="20"/>
          <w:szCs w:val="20"/>
          <w:color w:val="auto"/>
        </w:rPr>
      </w:pPr>
    </w:p>
    <w:p>
      <w:pPr>
        <w:ind w:left="6" w:right="300"/>
        <w:spacing w:after="0" w:line="235" w:lineRule="auto"/>
        <w:rPr>
          <w:sz w:val="20"/>
          <w:szCs w:val="20"/>
          <w:color w:val="auto"/>
        </w:rPr>
      </w:pPr>
      <w:r>
        <w:rPr>
          <w:rFonts w:ascii="Arial" w:cs="Arial" w:eastAsia="Arial" w:hAnsi="Arial"/>
          <w:sz w:val="20"/>
          <w:szCs w:val="20"/>
          <w:u w:val="single" w:color="auto"/>
          <w:color w:val="auto"/>
        </w:rPr>
        <w:t>Engineered Systems segment:</w:t>
      </w:r>
      <w:r>
        <w:rPr>
          <w:rFonts w:ascii="Arial" w:cs="Arial" w:eastAsia="Arial" w:hAnsi="Arial"/>
          <w:sz w:val="20"/>
          <w:szCs w:val="20"/>
          <w:color w:val="auto"/>
        </w:rPr>
        <w:t xml:space="preserve"> The Company's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spacing w:after="0" w:line="250" w:lineRule="exact"/>
        <w:rPr>
          <w:sz w:val="20"/>
          <w:szCs w:val="20"/>
          <w:color w:val="auto"/>
        </w:rPr>
      </w:pPr>
    </w:p>
    <w:p>
      <w:pPr>
        <w:ind w:left="6" w:right="100"/>
        <w:spacing w:after="0" w:line="249" w:lineRule="auto"/>
        <w:rPr>
          <w:sz w:val="20"/>
          <w:szCs w:val="20"/>
          <w:color w:val="auto"/>
        </w:rPr>
      </w:pPr>
      <w:r>
        <w:rPr>
          <w:rFonts w:ascii="Arial" w:cs="Arial" w:eastAsia="Arial" w:hAnsi="Arial"/>
          <w:sz w:val="19"/>
          <w:szCs w:val="19"/>
          <w:u w:val="single" w:color="auto"/>
          <w:color w:val="auto"/>
        </w:rPr>
        <w:t>Industrial Process Solutions segment:</w:t>
      </w:r>
      <w:r>
        <w:rPr>
          <w:rFonts w:ascii="Arial" w:cs="Arial" w:eastAsia="Arial" w:hAnsi="Arial"/>
          <w:sz w:val="19"/>
          <w:szCs w:val="19"/>
          <w:color w:val="auto"/>
        </w:rPr>
        <w:t xml:space="preserve"> The Company's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233"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financial segment information is as follows:</w:t>
      </w:r>
    </w:p>
    <w:p>
      <w:pPr>
        <w:spacing w:after="0" w:line="238"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32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(table only in thousands)</w:t>
            </w:r>
          </w:p>
        </w:tc>
        <w:tc>
          <w:tcPr>
            <w:tcW w:w="156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16"/>
                <w:szCs w:val="16"/>
                <w:color w:val="auto"/>
              </w:rPr>
            </w:pPr>
          </w:p>
        </w:tc>
        <w:tc>
          <w:tcPr>
            <w:tcW w:w="10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9E9E9"/>
            </w:tcBorders>
          </w:tcPr>
          <w:p>
            <w:pPr>
              <w:spacing w:after="0"/>
              <w:rPr>
                <w:sz w:val="16"/>
                <w:szCs w:val="16"/>
                <w:color w:val="auto"/>
              </w:rPr>
            </w:pPr>
          </w:p>
        </w:tc>
        <w:tc>
          <w:tcPr>
            <w:tcW w:w="8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9E9E9"/>
            </w:tcBorders>
          </w:tcPr>
          <w:p>
            <w:pPr>
              <w:spacing w:after="0"/>
              <w:rPr>
                <w:sz w:val="16"/>
                <w:szCs w:val="16"/>
                <w:color w:val="auto"/>
              </w:rPr>
            </w:pPr>
          </w:p>
        </w:tc>
      </w:tr>
      <w:tr>
        <w:trPr>
          <w:trHeight w:val="218"/>
        </w:trPr>
        <w:tc>
          <w:tcPr>
            <w:tcW w:w="4320" w:type="dxa"/>
            <w:vAlign w:val="bottom"/>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Net Sales (less intra-, inter-segment sales)</w:t>
            </w:r>
          </w:p>
        </w:tc>
        <w:tc>
          <w:tcPr>
            <w:tcW w:w="156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3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28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r>
      <w:tr>
        <w:trPr>
          <w:trHeight w:val="228"/>
        </w:trPr>
        <w:tc>
          <w:tcPr>
            <w:tcW w:w="4320" w:type="dxa"/>
            <w:vAlign w:val="bottom"/>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168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20"/>
              <w:spacing w:after="0" w:line="228" w:lineRule="exact"/>
              <w:rPr>
                <w:sz w:val="20"/>
                <w:szCs w:val="20"/>
                <w:color w:val="auto"/>
              </w:rPr>
            </w:pPr>
            <w:r>
              <w:rPr>
                <w:rFonts w:ascii="Arial" w:cs="Arial" w:eastAsia="Arial" w:hAnsi="Arial"/>
                <w:sz w:val="20"/>
                <w:szCs w:val="20"/>
                <w:color w:val="auto"/>
              </w:rPr>
              <w:t>380,108</w:t>
            </w:r>
          </w:p>
        </w:tc>
        <w:tc>
          <w:tcPr>
            <w:tcW w:w="2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420" w:type="dxa"/>
            <w:vAlign w:val="bottom"/>
            <w:gridSpan w:val="3"/>
          </w:tcPr>
          <w:p>
            <w:pPr>
              <w:jc w:val="right"/>
              <w:ind w:right="120"/>
              <w:spacing w:after="0" w:line="228" w:lineRule="exact"/>
              <w:rPr>
                <w:sz w:val="20"/>
                <w:szCs w:val="20"/>
                <w:color w:val="auto"/>
              </w:rPr>
            </w:pPr>
            <w:r>
              <w:rPr>
                <w:rFonts w:ascii="Arial" w:cs="Arial" w:eastAsia="Arial" w:hAnsi="Arial"/>
                <w:sz w:val="20"/>
                <w:szCs w:val="20"/>
                <w:color w:val="auto"/>
              </w:rPr>
              <w:t>263,224</w:t>
            </w:r>
          </w:p>
        </w:tc>
        <w:tc>
          <w:tcPr>
            <w:tcW w:w="20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8" w:lineRule="exact"/>
              <w:rPr>
                <w:sz w:val="20"/>
                <w:szCs w:val="20"/>
                <w:color w:val="auto"/>
              </w:rPr>
            </w:pPr>
            <w:r>
              <w:rPr>
                <w:rFonts w:ascii="Arial" w:cs="Arial" w:eastAsia="Arial" w:hAnsi="Arial"/>
                <w:sz w:val="20"/>
                <w:szCs w:val="20"/>
                <w:color w:val="auto"/>
              </w:rPr>
              <w:t>186,926</w:t>
            </w:r>
          </w:p>
        </w:tc>
        <w:tc>
          <w:tcPr>
            <w:tcW w:w="100" w:type="dxa"/>
            <w:vAlign w:val="bottom"/>
          </w:tcPr>
          <w:p>
            <w:pPr>
              <w:spacing w:after="0"/>
              <w:rPr>
                <w:sz w:val="19"/>
                <w:szCs w:val="19"/>
                <w:color w:val="auto"/>
              </w:rPr>
            </w:pPr>
          </w:p>
        </w:tc>
      </w:tr>
      <w:tr>
        <w:trPr>
          <w:trHeight w:val="226"/>
        </w:trPr>
        <w:tc>
          <w:tcPr>
            <w:tcW w:w="4320" w:type="dxa"/>
            <w:vAlign w:val="bottom"/>
            <w:shd w:val="clear" w:color="auto" w:fill="E9E9E9"/>
          </w:tcPr>
          <w:p>
            <w:pPr>
              <w:ind w:left="200"/>
              <w:spacing w:after="0" w:line="226" w:lineRule="exact"/>
              <w:rPr>
                <w:sz w:val="20"/>
                <w:szCs w:val="20"/>
                <w:color w:val="auto"/>
              </w:rPr>
            </w:pPr>
            <w:r>
              <w:rPr>
                <w:rFonts w:ascii="Arial" w:cs="Arial" w:eastAsia="Arial" w:hAnsi="Arial"/>
                <w:sz w:val="20"/>
                <w:szCs w:val="20"/>
                <w:color w:val="auto"/>
              </w:rPr>
              <w:t>Industrial Process Solutions segment</w:t>
            </w:r>
          </w:p>
        </w:tc>
        <w:tc>
          <w:tcPr>
            <w:tcW w:w="156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164,737</w:t>
            </w:r>
          </w:p>
        </w:tc>
        <w:tc>
          <w:tcPr>
            <w:tcW w:w="120" w:type="dxa"/>
            <w:vAlign w:val="bottom"/>
            <w:tcBorders>
              <w:bottom w:val="single" w:sz="8" w:color="auto"/>
            </w:tcBorders>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159,403</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137,214</w:t>
            </w:r>
          </w:p>
        </w:tc>
        <w:tc>
          <w:tcPr>
            <w:tcW w:w="100" w:type="dxa"/>
            <w:vAlign w:val="bottom"/>
            <w:shd w:val="clear" w:color="auto" w:fill="E9E9E9"/>
          </w:tcPr>
          <w:p>
            <w:pPr>
              <w:spacing w:after="0"/>
              <w:rPr>
                <w:sz w:val="19"/>
                <w:szCs w:val="19"/>
                <w:color w:val="auto"/>
              </w:rPr>
            </w:pPr>
          </w:p>
        </w:tc>
      </w:tr>
      <w:tr>
        <w:trPr>
          <w:trHeight w:val="219"/>
        </w:trPr>
        <w:tc>
          <w:tcPr>
            <w:tcW w:w="4320" w:type="dxa"/>
            <w:vAlign w:val="bottom"/>
          </w:tcPr>
          <w:p>
            <w:pPr>
              <w:ind w:left="400"/>
              <w:spacing w:after="0" w:line="217" w:lineRule="exact"/>
              <w:rPr>
                <w:sz w:val="20"/>
                <w:szCs w:val="20"/>
                <w:color w:val="auto"/>
              </w:rPr>
            </w:pPr>
            <w:r>
              <w:rPr>
                <w:rFonts w:ascii="Arial" w:cs="Arial" w:eastAsia="Arial" w:hAnsi="Arial"/>
                <w:sz w:val="20"/>
                <w:szCs w:val="20"/>
                <w:b w:val="1"/>
                <w:bCs w:val="1"/>
                <w:color w:val="auto"/>
              </w:rPr>
              <w:t>Total net sales</w:t>
            </w:r>
          </w:p>
        </w:tc>
        <w:tc>
          <w:tcPr>
            <w:tcW w:w="168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20"/>
              <w:spacing w:after="0" w:line="217" w:lineRule="exact"/>
              <w:rPr>
                <w:sz w:val="20"/>
                <w:szCs w:val="20"/>
                <w:color w:val="auto"/>
              </w:rPr>
            </w:pPr>
            <w:r>
              <w:rPr>
                <w:rFonts w:ascii="Arial" w:cs="Arial" w:eastAsia="Arial" w:hAnsi="Arial"/>
                <w:sz w:val="20"/>
                <w:szCs w:val="20"/>
                <w:color w:val="auto"/>
              </w:rPr>
              <w:t>544,845</w:t>
            </w:r>
          </w:p>
        </w:tc>
        <w:tc>
          <w:tcPr>
            <w:tcW w:w="22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w:t>
            </w:r>
          </w:p>
        </w:tc>
        <w:tc>
          <w:tcPr>
            <w:tcW w:w="1420" w:type="dxa"/>
            <w:vAlign w:val="bottom"/>
            <w:gridSpan w:val="3"/>
          </w:tcPr>
          <w:p>
            <w:pPr>
              <w:jc w:val="right"/>
              <w:ind w:right="120"/>
              <w:spacing w:after="0" w:line="217" w:lineRule="exact"/>
              <w:rPr>
                <w:sz w:val="20"/>
                <w:szCs w:val="20"/>
                <w:color w:val="auto"/>
              </w:rPr>
            </w:pPr>
            <w:r>
              <w:rPr>
                <w:rFonts w:ascii="Arial" w:cs="Arial" w:eastAsia="Arial" w:hAnsi="Arial"/>
                <w:sz w:val="20"/>
                <w:szCs w:val="20"/>
                <w:color w:val="auto"/>
              </w:rPr>
              <w:t>422,627</w:t>
            </w:r>
          </w:p>
        </w:tc>
        <w:tc>
          <w:tcPr>
            <w:tcW w:w="20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17" w:lineRule="exact"/>
              <w:rPr>
                <w:sz w:val="20"/>
                <w:szCs w:val="20"/>
                <w:color w:val="auto"/>
              </w:rPr>
            </w:pPr>
            <w:r>
              <w:rPr>
                <w:rFonts w:ascii="Arial" w:cs="Arial" w:eastAsia="Arial" w:hAnsi="Arial"/>
                <w:sz w:val="20"/>
                <w:szCs w:val="20"/>
                <w:color w:val="auto"/>
              </w:rPr>
              <w:t>324,140</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3"/>
        </w:trPr>
        <w:tc>
          <w:tcPr>
            <w:tcW w:w="432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(table only in thousands)</w:t>
            </w:r>
          </w:p>
        </w:tc>
        <w:tc>
          <w:tcPr>
            <w:tcW w:w="1560" w:type="dxa"/>
            <w:vAlign w:val="bottom"/>
            <w:tcBorders>
              <w:bottom w:val="single" w:sz="8" w:color="E9E9E9"/>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9E9E9"/>
            </w:tcBorders>
          </w:tcPr>
          <w:p>
            <w:pPr>
              <w:spacing w:after="0"/>
              <w:rPr>
                <w:sz w:val="24"/>
                <w:szCs w:val="24"/>
                <w:color w:val="auto"/>
              </w:rPr>
            </w:pPr>
          </w:p>
        </w:tc>
        <w:tc>
          <w:tcPr>
            <w:tcW w:w="100" w:type="dxa"/>
            <w:vAlign w:val="bottom"/>
            <w:tcBorders>
              <w:bottom w:val="single" w:sz="8" w:color="E9E9E9"/>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E9E9E9"/>
            </w:tcBorders>
          </w:tcPr>
          <w:p>
            <w:pPr>
              <w:spacing w:after="0"/>
              <w:rPr>
                <w:sz w:val="24"/>
                <w:szCs w:val="24"/>
                <w:color w:val="auto"/>
              </w:rPr>
            </w:pPr>
          </w:p>
        </w:tc>
        <w:tc>
          <w:tcPr>
            <w:tcW w:w="80" w:type="dxa"/>
            <w:vAlign w:val="bottom"/>
            <w:tcBorders>
              <w:bottom w:val="single" w:sz="8" w:color="E9E9E9"/>
            </w:tcBorders>
          </w:tcPr>
          <w:p>
            <w:pPr>
              <w:spacing w:after="0"/>
              <w:rPr>
                <w:sz w:val="24"/>
                <w:szCs w:val="24"/>
                <w:color w:val="auto"/>
              </w:rPr>
            </w:pPr>
          </w:p>
        </w:tc>
        <w:tc>
          <w:tcPr>
            <w:tcW w:w="20" w:type="dxa"/>
            <w:vAlign w:val="bottom"/>
            <w:tcBorders>
              <w:bottom w:val="single" w:sz="8" w:color="E9E9E9"/>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9E9E9"/>
            </w:tcBorders>
          </w:tcPr>
          <w:p>
            <w:pPr>
              <w:spacing w:after="0"/>
              <w:rPr>
                <w:sz w:val="24"/>
                <w:szCs w:val="24"/>
                <w:color w:val="auto"/>
              </w:rPr>
            </w:pPr>
          </w:p>
        </w:tc>
      </w:tr>
      <w:tr>
        <w:trPr>
          <w:trHeight w:val="218"/>
        </w:trPr>
        <w:tc>
          <w:tcPr>
            <w:tcW w:w="4320" w:type="dxa"/>
            <w:vAlign w:val="bottom"/>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Income from Operations</w:t>
            </w:r>
          </w:p>
        </w:tc>
        <w:tc>
          <w:tcPr>
            <w:tcW w:w="156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3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20" w:type="dxa"/>
            <w:vAlign w:val="bottom"/>
            <w:tcBorders>
              <w:bottom w:val="single" w:sz="8" w:color="E9E9E9"/>
            </w:tcBorders>
            <w:shd w:val="clear" w:color="auto" w:fill="E9E9E9"/>
          </w:tcPr>
          <w:p>
            <w:pPr>
              <w:spacing w:after="0"/>
              <w:rPr>
                <w:sz w:val="18"/>
                <w:szCs w:val="18"/>
                <w:color w:val="auto"/>
              </w:rPr>
            </w:pPr>
          </w:p>
        </w:tc>
        <w:tc>
          <w:tcPr>
            <w:tcW w:w="128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3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r>
      <w:tr>
        <w:trPr>
          <w:trHeight w:val="205"/>
        </w:trPr>
        <w:tc>
          <w:tcPr>
            <w:tcW w:w="4320" w:type="dxa"/>
            <w:vAlign w:val="bottom"/>
          </w:tcPr>
          <w:p>
            <w:pPr>
              <w:ind w:left="200"/>
              <w:spacing w:after="0" w:line="205" w:lineRule="exact"/>
              <w:rPr>
                <w:sz w:val="20"/>
                <w:szCs w:val="20"/>
                <w:color w:val="auto"/>
              </w:rPr>
            </w:pPr>
            <w:r>
              <w:rPr>
                <w:rFonts w:ascii="Arial" w:cs="Arial" w:eastAsia="Arial" w:hAnsi="Arial"/>
                <w:sz w:val="20"/>
                <w:szCs w:val="20"/>
                <w:color w:val="auto"/>
              </w:rPr>
              <w:t>Engineered Systems segment</w:t>
            </w:r>
          </w:p>
        </w:tc>
        <w:tc>
          <w:tcPr>
            <w:tcW w:w="156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line="205" w:lineRule="exact"/>
              <w:rPr>
                <w:sz w:val="20"/>
                <w:szCs w:val="20"/>
                <w:color w:val="auto"/>
              </w:rPr>
            </w:pPr>
            <w:r>
              <w:rPr>
                <w:rFonts w:ascii="Arial" w:cs="Arial" w:eastAsia="Arial" w:hAnsi="Arial"/>
                <w:sz w:val="20"/>
                <w:szCs w:val="20"/>
                <w:color w:val="auto"/>
              </w:rPr>
              <w:t>59,846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Arial" w:cs="Arial" w:eastAsia="Arial" w:hAnsi="Arial"/>
                <w:sz w:val="20"/>
                <w:szCs w:val="20"/>
                <w:color w:val="auto"/>
                <w:highlight w:val="white"/>
                <w:w w:val="71"/>
              </w:rPr>
              <w:t>$</w:t>
            </w:r>
          </w:p>
        </w:tc>
        <w:tc>
          <w:tcPr>
            <w:tcW w:w="2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Arial" w:cs="Arial" w:eastAsia="Arial" w:hAnsi="Arial"/>
                <w:sz w:val="20"/>
                <w:szCs w:val="20"/>
                <w:color w:val="auto"/>
              </w:rPr>
              <w:t>36,200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line="205"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05" w:lineRule="exact"/>
              <w:rPr>
                <w:sz w:val="20"/>
                <w:szCs w:val="20"/>
                <w:color w:val="auto"/>
              </w:rPr>
            </w:pPr>
            <w:r>
              <w:rPr>
                <w:rFonts w:ascii="Arial" w:cs="Arial" w:eastAsia="Arial" w:hAnsi="Arial"/>
                <w:sz w:val="20"/>
                <w:szCs w:val="20"/>
                <w:color w:val="auto"/>
              </w:rPr>
              <w:t>25,770</w:t>
            </w:r>
          </w:p>
        </w:tc>
        <w:tc>
          <w:tcPr>
            <w:tcW w:w="100" w:type="dxa"/>
            <w:vAlign w:val="bottom"/>
          </w:tcPr>
          <w:p>
            <w:pPr>
              <w:spacing w:after="0"/>
              <w:rPr>
                <w:sz w:val="17"/>
                <w:szCs w:val="17"/>
                <w:color w:val="auto"/>
              </w:rPr>
            </w:pPr>
          </w:p>
        </w:tc>
      </w:tr>
      <w:tr>
        <w:trPr>
          <w:trHeight w:val="228"/>
        </w:trPr>
        <w:tc>
          <w:tcPr>
            <w:tcW w:w="432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Industrial Process Solutions segment</w:t>
            </w:r>
          </w:p>
        </w:tc>
        <w:tc>
          <w:tcPr>
            <w:tcW w:w="156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21,630</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22,705</w:t>
            </w:r>
          </w:p>
        </w:tc>
        <w:tc>
          <w:tcPr>
            <w:tcW w:w="1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2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15,054</w:t>
            </w:r>
          </w:p>
        </w:tc>
        <w:tc>
          <w:tcPr>
            <w:tcW w:w="100" w:type="dxa"/>
            <w:vAlign w:val="bottom"/>
            <w:shd w:val="clear" w:color="auto" w:fill="E9E9E9"/>
          </w:tcPr>
          <w:p>
            <w:pPr>
              <w:spacing w:after="0"/>
              <w:rPr>
                <w:sz w:val="19"/>
                <w:szCs w:val="19"/>
                <w:color w:val="auto"/>
              </w:rPr>
            </w:pPr>
          </w:p>
        </w:tc>
      </w:tr>
      <w:tr>
        <w:trPr>
          <w:trHeight w:val="228"/>
        </w:trPr>
        <w:tc>
          <w:tcPr>
            <w:tcW w:w="4320" w:type="dxa"/>
            <w:vAlign w:val="bottom"/>
          </w:tcPr>
          <w:p>
            <w:pPr>
              <w:ind w:left="200"/>
              <w:spacing w:after="0" w:line="228" w:lineRule="exact"/>
              <w:rPr>
                <w:sz w:val="20"/>
                <w:szCs w:val="20"/>
                <w:color w:val="auto"/>
              </w:rPr>
            </w:pPr>
            <w:r>
              <w:rPr>
                <w:rFonts w:ascii="Arial" w:cs="Arial" w:eastAsia="Arial" w:hAnsi="Arial"/>
                <w:sz w:val="20"/>
                <w:szCs w:val="20"/>
                <w:color w:val="auto"/>
              </w:rPr>
              <w:t>Corporate and Other (1)</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(46,907)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60"/>
              <w:spacing w:after="0" w:line="228" w:lineRule="exact"/>
              <w:rPr>
                <w:sz w:val="20"/>
                <w:szCs w:val="20"/>
                <w:color w:val="auto"/>
              </w:rPr>
            </w:pPr>
            <w:r>
              <w:rPr>
                <w:rFonts w:ascii="Arial" w:cs="Arial" w:eastAsia="Arial" w:hAnsi="Arial"/>
                <w:sz w:val="20"/>
                <w:szCs w:val="20"/>
                <w:color w:val="auto"/>
              </w:rPr>
              <w:t>(36,744)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(30,967)</w:t>
            </w:r>
          </w:p>
        </w:tc>
      </w:tr>
      <w:tr>
        <w:trPr>
          <w:trHeight w:val="219"/>
        </w:trPr>
        <w:tc>
          <w:tcPr>
            <w:tcW w:w="4320" w:type="dxa"/>
            <w:vAlign w:val="bottom"/>
            <w:tcBorders>
              <w:top w:val="single" w:sz="8" w:color="E9E9E9"/>
            </w:tcBorders>
            <w:shd w:val="clear" w:color="auto" w:fill="E9E9E9"/>
          </w:tcPr>
          <w:p>
            <w:pPr>
              <w:ind w:left="400"/>
              <w:spacing w:after="0" w:line="217" w:lineRule="exact"/>
              <w:rPr>
                <w:sz w:val="20"/>
                <w:szCs w:val="20"/>
                <w:color w:val="auto"/>
              </w:rPr>
            </w:pPr>
            <w:r>
              <w:rPr>
                <w:rFonts w:ascii="Arial" w:cs="Arial" w:eastAsia="Arial" w:hAnsi="Arial"/>
                <w:sz w:val="20"/>
                <w:szCs w:val="20"/>
                <w:b w:val="1"/>
                <w:bCs w:val="1"/>
                <w:color w:val="auto"/>
              </w:rPr>
              <w:t>Income from operations</w:t>
            </w:r>
          </w:p>
        </w:tc>
        <w:tc>
          <w:tcPr>
            <w:tcW w:w="156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34,569</w:t>
            </w:r>
          </w:p>
        </w:tc>
        <w:tc>
          <w:tcPr>
            <w:tcW w:w="120" w:type="dxa"/>
            <w:vAlign w:val="bottom"/>
            <w:tcBorders>
              <w:top w:val="single" w:sz="8" w:color="E9E9E9"/>
            </w:tcBorders>
            <w:shd w:val="clear" w:color="auto" w:fill="E9E9E9"/>
          </w:tcPr>
          <w:p>
            <w:pPr>
              <w:spacing w:after="0"/>
              <w:rPr>
                <w:sz w:val="19"/>
                <w:szCs w:val="19"/>
                <w:color w:val="auto"/>
              </w:rPr>
            </w:pPr>
          </w:p>
        </w:tc>
        <w:tc>
          <w:tcPr>
            <w:tcW w:w="1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22,161</w:t>
            </w:r>
          </w:p>
        </w:tc>
        <w:tc>
          <w:tcPr>
            <w:tcW w:w="120" w:type="dxa"/>
            <w:vAlign w:val="bottom"/>
            <w:tcBorders>
              <w:top w:val="single" w:sz="8" w:color="E9E9E9"/>
            </w:tcBorders>
            <w:shd w:val="clear" w:color="auto" w:fill="E9E9E9"/>
          </w:tcPr>
          <w:p>
            <w:pPr>
              <w:spacing w:after="0"/>
              <w:rPr>
                <w:sz w:val="19"/>
                <w:szCs w:val="19"/>
                <w:color w:val="auto"/>
              </w:rPr>
            </w:pPr>
          </w:p>
        </w:tc>
        <w:tc>
          <w:tcPr>
            <w:tcW w:w="8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10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9,857</w:t>
            </w:r>
          </w:p>
        </w:tc>
        <w:tc>
          <w:tcPr>
            <w:tcW w:w="100" w:type="dxa"/>
            <w:vAlign w:val="bottom"/>
            <w:tcBorders>
              <w:top w:val="single" w:sz="8" w:color="E9E9E9"/>
            </w:tcBorders>
            <w:shd w:val="clear" w:color="auto" w:fill="E9E9E9"/>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5"/>
        </w:trPr>
        <w:tc>
          <w:tcPr>
            <w:tcW w:w="4320" w:type="dxa"/>
            <w:vAlign w:val="bottom"/>
          </w:tcPr>
          <w:p>
            <w:pPr>
              <w:spacing w:after="0"/>
              <w:rPr>
                <w:sz w:val="24"/>
                <w:szCs w:val="24"/>
                <w:color w:val="auto"/>
              </w:rPr>
            </w:pPr>
          </w:p>
        </w:tc>
        <w:tc>
          <w:tcPr>
            <w:tcW w:w="1680" w:type="dxa"/>
            <w:vAlign w:val="bottom"/>
            <w:gridSpan w:val="2"/>
          </w:tcPr>
          <w:p>
            <w:pPr>
              <w:jc w:val="right"/>
              <w:ind w:right="381"/>
              <w:spacing w:after="0"/>
              <w:rPr>
                <w:sz w:val="20"/>
                <w:szCs w:val="20"/>
                <w:color w:val="auto"/>
              </w:rPr>
            </w:pPr>
            <w:r>
              <w:rPr>
                <w:rFonts w:ascii="Arial" w:cs="Arial" w:eastAsia="Arial" w:hAnsi="Arial"/>
                <w:sz w:val="20"/>
                <w:szCs w:val="20"/>
                <w:color w:val="auto"/>
              </w:rPr>
              <w:t>F-33</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6721475</wp:posOffset>
                </wp:positionH>
                <wp:positionV relativeFrom="paragraph">
                  <wp:posOffset>-1675765</wp:posOffset>
                </wp:positionV>
                <wp:extent cx="6921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25pt,-131.9499pt" to="534.7pt,-131.9499pt" o:allowincell="f" strokecolor="#FFFFFF" strokeweight="0.4752pt"/>
            </w:pict>
          </mc:Fallback>
        </mc:AlternateContent>
      </w:r>
    </w:p>
    <w:p>
      <w:pPr>
        <w:sectPr>
          <w:pgSz w:w="11880" w:h="15480" w:orient="portrait"/>
          <w:cols w:equalWidth="0" w:num="1">
            <w:col w:w="10686"/>
          </w:cols>
          <w:pgMar w:left="594" w:top="1075" w:right="600" w:bottom="46" w:gutter="0" w:footer="0" w:header="0"/>
        </w:sectPr>
      </w:pPr>
    </w:p>
    <w:bookmarkStart w:id="93" w:name="page94"/>
    <w:bookmarkEnd w:id="93"/>
    <w:p>
      <w:pPr>
        <w:ind w:left="400" w:right="120" w:hanging="361"/>
        <w:spacing w:after="0" w:line="232" w:lineRule="auto"/>
        <w:tabs>
          <w:tab w:leader="none" w:pos="400" w:val="left"/>
        </w:tabs>
        <w:numPr>
          <w:ilvl w:val="0"/>
          <w:numId w:val="34"/>
        </w:numPr>
        <w:rPr>
          <w:rFonts w:ascii="Arial" w:cs="Arial" w:eastAsia="Arial" w:hAnsi="Arial"/>
          <w:sz w:val="16"/>
          <w:szCs w:val="16"/>
          <w:color w:val="auto"/>
        </w:rPr>
      </w:pPr>
      <w:r>
        <w:rPr>
          <w:rFonts w:ascii="Arial" w:cs="Arial" w:eastAsia="Arial" w:hAnsi="Arial"/>
          <w:sz w:val="20"/>
          <w:szCs w:val="20"/>
          <w:color w:val="auto"/>
        </w:rPr>
        <w:t>Includes corporate compensation, professional services, information technology, acquisition and integration expenses, and other general, administrative corporate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(table only in thousands)</w:t>
            </w:r>
          </w:p>
        </w:tc>
        <w:tc>
          <w:tcPr>
            <w:tcW w:w="10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E9E9E9"/>
            </w:tcBorders>
          </w:tcPr>
          <w:p>
            <w:pPr>
              <w:spacing w:after="0"/>
              <w:rPr>
                <w:sz w:val="16"/>
                <w:szCs w:val="16"/>
                <w:color w:val="auto"/>
              </w:rPr>
            </w:pPr>
          </w:p>
        </w:tc>
        <w:tc>
          <w:tcPr>
            <w:tcW w:w="10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 w:type="dxa"/>
            <w:vAlign w:val="bottom"/>
            <w:tcBorders>
              <w:bottom w:val="single" w:sz="8" w:color="E9E9E9"/>
            </w:tcBorders>
          </w:tcPr>
          <w:p>
            <w:pPr>
              <w:spacing w:after="0"/>
              <w:rPr>
                <w:sz w:val="16"/>
                <w:szCs w:val="16"/>
                <w:color w:val="auto"/>
              </w:rPr>
            </w:pPr>
          </w:p>
        </w:tc>
        <w:tc>
          <w:tcPr>
            <w:tcW w:w="90" w:type="dxa"/>
            <w:vAlign w:val="bottom"/>
            <w:tcBorders>
              <w:bottom w:val="single" w:sz="8" w:color="E9E9E9"/>
            </w:tcBorders>
          </w:tcPr>
          <w:p>
            <w:pPr>
              <w:spacing w:after="0"/>
              <w:rPr>
                <w:sz w:val="16"/>
                <w:szCs w:val="16"/>
                <w:color w:val="auto"/>
              </w:rPr>
            </w:pPr>
          </w:p>
        </w:tc>
        <w:tc>
          <w:tcPr>
            <w:tcW w:w="20" w:type="dxa"/>
            <w:vAlign w:val="bottom"/>
            <w:tcBorders>
              <w:bottom w:val="single" w:sz="8" w:color="E9E9E9"/>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E9E9E9"/>
            </w:tcBorders>
          </w:tcPr>
          <w:p>
            <w:pPr>
              <w:spacing w:after="0"/>
              <w:rPr>
                <w:sz w:val="16"/>
                <w:szCs w:val="16"/>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Property and Equipment Additions</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4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60" w:type="dxa"/>
            <w:vAlign w:val="bottom"/>
            <w:shd w:val="clear" w:color="auto" w:fill="E9E9E9"/>
          </w:tcPr>
          <w:p>
            <w:pPr>
              <w:spacing w:after="0"/>
              <w:rPr>
                <w:sz w:val="18"/>
                <w:szCs w:val="18"/>
                <w:color w:val="auto"/>
              </w:rPr>
            </w:pPr>
          </w:p>
        </w:tc>
        <w:tc>
          <w:tcPr>
            <w:tcW w:w="2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10" w:type="dxa"/>
            <w:vAlign w:val="bottom"/>
            <w:shd w:val="clear" w:color="auto" w:fill="E9E9E9"/>
          </w:tcPr>
          <w:p>
            <w:pPr>
              <w:spacing w:after="0"/>
              <w:rPr>
                <w:sz w:val="18"/>
                <w:szCs w:val="18"/>
                <w:color w:val="auto"/>
              </w:rPr>
            </w:pPr>
          </w:p>
        </w:tc>
        <w:tc>
          <w:tcPr>
            <w:tcW w:w="9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1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2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420" w:type="dxa"/>
            <w:vAlign w:val="bottom"/>
            <w:gridSpan w:val="3"/>
          </w:tcPr>
          <w:p>
            <w:pPr>
              <w:ind w:left="860"/>
              <w:spacing w:after="0" w:line="228" w:lineRule="exact"/>
              <w:rPr>
                <w:sz w:val="20"/>
                <w:szCs w:val="20"/>
                <w:color w:val="auto"/>
              </w:rPr>
            </w:pPr>
            <w:r>
              <w:rPr>
                <w:rFonts w:ascii="Arial" w:cs="Arial" w:eastAsia="Arial" w:hAnsi="Arial"/>
                <w:sz w:val="20"/>
                <w:szCs w:val="20"/>
                <w:color w:val="auto"/>
              </w:rPr>
              <w:t>2,070</w:t>
            </w:r>
          </w:p>
        </w:tc>
        <w:tc>
          <w:tcPr>
            <w:tcW w:w="2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410" w:type="dxa"/>
            <w:vAlign w:val="bottom"/>
            <w:gridSpan w:val="4"/>
          </w:tcPr>
          <w:p>
            <w:pPr>
              <w:jc w:val="right"/>
              <w:ind w:right="110"/>
              <w:spacing w:after="0" w:line="228" w:lineRule="exact"/>
              <w:rPr>
                <w:sz w:val="20"/>
                <w:szCs w:val="20"/>
                <w:color w:val="auto"/>
              </w:rPr>
            </w:pPr>
            <w:r>
              <w:rPr>
                <w:rFonts w:ascii="Arial" w:cs="Arial" w:eastAsia="Arial" w:hAnsi="Arial"/>
                <w:sz w:val="20"/>
                <w:szCs w:val="20"/>
                <w:color w:val="auto"/>
              </w:rPr>
              <w:t>203</w:t>
            </w:r>
          </w:p>
        </w:tc>
        <w:tc>
          <w:tcPr>
            <w:tcW w:w="390" w:type="dxa"/>
            <w:vAlign w:val="bottom"/>
            <w:gridSpan w:val="3"/>
          </w:tcPr>
          <w:p>
            <w:pPr>
              <w:jc w:val="right"/>
              <w:ind w:right="81"/>
              <w:spacing w:after="0" w:line="228" w:lineRule="exact"/>
              <w:rPr>
                <w:sz w:val="20"/>
                <w:szCs w:val="20"/>
                <w:color w:val="auto"/>
              </w:rPr>
            </w:pPr>
            <w:r>
              <w:rPr>
                <w:rFonts w:ascii="Arial" w:cs="Arial" w:eastAsia="Arial" w:hAnsi="Arial"/>
                <w:sz w:val="20"/>
                <w:szCs w:val="20"/>
                <w:color w:val="auto"/>
              </w:rPr>
              <w:t>$</w:t>
            </w: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100</w:t>
            </w: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gridSpan w:val="2"/>
            <w:shd w:val="clear" w:color="auto" w:fill="E9E9E9"/>
          </w:tcPr>
          <w:p>
            <w:pPr>
              <w:ind w:left="860"/>
              <w:spacing w:after="0" w:line="228" w:lineRule="exact"/>
              <w:rPr>
                <w:sz w:val="20"/>
                <w:szCs w:val="20"/>
                <w:color w:val="auto"/>
              </w:rPr>
            </w:pPr>
            <w:r>
              <w:rPr>
                <w:rFonts w:ascii="Arial" w:cs="Arial" w:eastAsia="Arial" w:hAnsi="Arial"/>
                <w:sz w:val="20"/>
                <w:szCs w:val="20"/>
                <w:color w:val="auto"/>
                <w:w w:val="83"/>
              </w:rPr>
              <w:t>2,827</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gridSpan w:val="3"/>
            <w:shd w:val="clear" w:color="auto" w:fill="E9E9E9"/>
          </w:tcPr>
          <w:p>
            <w:pPr>
              <w:jc w:val="right"/>
              <w:spacing w:after="0" w:line="228" w:lineRule="exact"/>
              <w:rPr>
                <w:sz w:val="20"/>
                <w:szCs w:val="20"/>
                <w:color w:val="auto"/>
              </w:rPr>
            </w:pPr>
            <w:r>
              <w:rPr>
                <w:rFonts w:ascii="Arial" w:cs="Arial" w:eastAsia="Arial" w:hAnsi="Arial"/>
                <w:sz w:val="20"/>
                <w:szCs w:val="20"/>
                <w:color w:val="auto"/>
              </w:rPr>
              <w:t>879</w:t>
            </w:r>
          </w:p>
        </w:tc>
        <w:tc>
          <w:tcPr>
            <w:tcW w:w="110" w:type="dxa"/>
            <w:vAlign w:val="bottom"/>
            <w:shd w:val="clear" w:color="auto" w:fill="E9E9E9"/>
          </w:tcPr>
          <w:p>
            <w:pPr>
              <w:spacing w:after="0"/>
              <w:rPr>
                <w:sz w:val="19"/>
                <w:szCs w:val="19"/>
                <w:color w:val="auto"/>
              </w:rPr>
            </w:pPr>
          </w:p>
        </w:tc>
        <w:tc>
          <w:tcPr>
            <w:tcW w:w="9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721</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Corporate and Other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ind w:left="860"/>
              <w:spacing w:after="0" w:line="228" w:lineRule="exact"/>
              <w:rPr>
                <w:sz w:val="20"/>
                <w:szCs w:val="20"/>
                <w:color w:val="auto"/>
              </w:rPr>
            </w:pPr>
            <w:r>
              <w:rPr>
                <w:rFonts w:ascii="Arial" w:cs="Arial" w:eastAsia="Arial" w:hAnsi="Arial"/>
                <w:sz w:val="20"/>
                <w:szCs w:val="20"/>
                <w:color w:val="auto"/>
              </w:rPr>
              <w:t>3,487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10" w:type="dxa"/>
            <w:vAlign w:val="bottom"/>
            <w:gridSpan w:val="4"/>
          </w:tcPr>
          <w:p>
            <w:pPr>
              <w:jc w:val="right"/>
              <w:ind w:right="110"/>
              <w:spacing w:after="0" w:line="228" w:lineRule="exact"/>
              <w:rPr>
                <w:sz w:val="20"/>
                <w:szCs w:val="20"/>
                <w:color w:val="auto"/>
              </w:rPr>
            </w:pPr>
            <w:r>
              <w:rPr>
                <w:rFonts w:ascii="Arial" w:cs="Arial" w:eastAsia="Arial" w:hAnsi="Arial"/>
                <w:sz w:val="20"/>
                <w:szCs w:val="20"/>
                <w:color w:val="auto"/>
              </w:rPr>
              <w:t>2,294</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1,795</w:t>
            </w:r>
          </w:p>
        </w:tc>
      </w:tr>
      <w:tr>
        <w:trPr>
          <w:trHeight w:val="218"/>
        </w:trPr>
        <w:tc>
          <w:tcPr>
            <w:tcW w:w="5780" w:type="dxa"/>
            <w:vAlign w:val="bottom"/>
            <w:tcBorders>
              <w:top w:val="single" w:sz="8" w:color="E9E9E9"/>
            </w:tcBorders>
            <w:shd w:val="clear" w:color="auto" w:fill="E9E9E9"/>
          </w:tcPr>
          <w:p>
            <w:pPr>
              <w:ind w:left="400"/>
              <w:spacing w:after="0" w:line="217" w:lineRule="exact"/>
              <w:rPr>
                <w:sz w:val="20"/>
                <w:szCs w:val="20"/>
                <w:color w:val="auto"/>
              </w:rPr>
            </w:pPr>
            <w:r>
              <w:rPr>
                <w:rFonts w:ascii="Arial" w:cs="Arial" w:eastAsia="Arial" w:hAnsi="Arial"/>
                <w:sz w:val="20"/>
                <w:szCs w:val="20"/>
                <w:b w:val="1"/>
                <w:bCs w:val="1"/>
                <w:color w:val="auto"/>
              </w:rPr>
              <w:t>Property and equipment additions</w:t>
            </w: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gridSpan w:val="2"/>
            <w:shd w:val="clear" w:color="auto" w:fill="E9E9E9"/>
          </w:tcPr>
          <w:p>
            <w:pPr>
              <w:ind w:left="860"/>
              <w:spacing w:after="0" w:line="217" w:lineRule="exact"/>
              <w:rPr>
                <w:sz w:val="20"/>
                <w:szCs w:val="20"/>
                <w:color w:val="auto"/>
              </w:rPr>
            </w:pPr>
            <w:r>
              <w:rPr>
                <w:rFonts w:ascii="Arial" w:cs="Arial" w:eastAsia="Arial" w:hAnsi="Arial"/>
                <w:sz w:val="20"/>
                <w:szCs w:val="20"/>
                <w:color w:val="auto"/>
                <w:w w:val="83"/>
              </w:rPr>
              <w:t>8,384</w:t>
            </w:r>
          </w:p>
        </w:tc>
        <w:tc>
          <w:tcPr>
            <w:tcW w:w="1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gridSpan w:val="3"/>
            <w:shd w:val="clear" w:color="auto" w:fill="E9E9E9"/>
          </w:tcPr>
          <w:p>
            <w:pPr>
              <w:jc w:val="right"/>
              <w:spacing w:after="0" w:line="217" w:lineRule="exact"/>
              <w:rPr>
                <w:sz w:val="20"/>
                <w:szCs w:val="20"/>
                <w:color w:val="auto"/>
              </w:rPr>
            </w:pPr>
            <w:r>
              <w:rPr>
                <w:rFonts w:ascii="Arial" w:cs="Arial" w:eastAsia="Arial" w:hAnsi="Arial"/>
                <w:sz w:val="20"/>
                <w:szCs w:val="20"/>
                <w:color w:val="auto"/>
              </w:rPr>
              <w:t>3,376</w:t>
            </w:r>
          </w:p>
        </w:tc>
        <w:tc>
          <w:tcPr>
            <w:tcW w:w="110" w:type="dxa"/>
            <w:vAlign w:val="bottom"/>
            <w:tcBorders>
              <w:top w:val="single" w:sz="8" w:color="E9E9E9"/>
            </w:tcBorders>
            <w:shd w:val="clear" w:color="auto" w:fill="E9E9E9"/>
          </w:tcPr>
          <w:p>
            <w:pPr>
              <w:spacing w:after="0"/>
              <w:rPr>
                <w:sz w:val="18"/>
                <w:szCs w:val="18"/>
                <w:color w:val="auto"/>
              </w:rPr>
            </w:pPr>
          </w:p>
        </w:tc>
        <w:tc>
          <w:tcPr>
            <w:tcW w:w="9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bottom w:val="single" w:sz="8" w:color="auto"/>
            </w:tcBorders>
            <w:shd w:val="clear" w:color="auto" w:fill="E9E9E9"/>
          </w:tcPr>
          <w:p>
            <w:pPr>
              <w:spacing w:after="0"/>
              <w:rPr>
                <w:sz w:val="18"/>
                <w:szCs w:val="18"/>
                <w:color w:val="auto"/>
              </w:rPr>
            </w:pPr>
          </w:p>
        </w:tc>
        <w:tc>
          <w:tcPr>
            <w:tcW w:w="280" w:type="dxa"/>
            <w:vAlign w:val="bottom"/>
            <w:tcBorders>
              <w:top w:val="single" w:sz="8" w:color="auto"/>
              <w:bottom w:val="single" w:sz="8" w:color="auto"/>
            </w:tcBorders>
            <w:shd w:val="clear" w:color="auto" w:fill="E9E9E9"/>
          </w:tcPr>
          <w:p>
            <w:pPr>
              <w:jc w:val="right"/>
              <w:ind w:right="81"/>
              <w:spacing w:after="0" w:line="217"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2,616</w:t>
            </w:r>
          </w:p>
        </w:tc>
        <w:tc>
          <w:tcPr>
            <w:tcW w:w="20" w:type="dxa"/>
            <w:vAlign w:val="bottom"/>
            <w:tcBorders>
              <w:top w:val="single" w:sz="8" w:color="auto"/>
              <w:bottom w:val="single" w:sz="8" w:color="auto"/>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31"/>
        </w:trPr>
        <w:tc>
          <w:tcPr>
            <w:tcW w:w="5780" w:type="dxa"/>
            <w:vAlign w:val="bottom"/>
            <w:tcBorders>
              <w:bottom w:val="single" w:sz="8" w:color="E9E9E9"/>
            </w:tcBorders>
          </w:tcPr>
          <w:p>
            <w:pPr>
              <w:spacing w:after="0"/>
              <w:rPr>
                <w:sz w:val="20"/>
                <w:szCs w:val="20"/>
                <w:color w:val="auto"/>
              </w:rPr>
            </w:pPr>
            <w:r>
              <w:rPr>
                <w:rFonts w:ascii="Arial" w:cs="Arial" w:eastAsia="Arial" w:hAnsi="Arial"/>
                <w:sz w:val="16"/>
                <w:szCs w:val="16"/>
                <w:b w:val="1"/>
                <w:bCs w:val="1"/>
                <w:color w:val="auto"/>
              </w:rPr>
              <w:t>(table only in thousands)</w:t>
            </w:r>
          </w:p>
        </w:tc>
        <w:tc>
          <w:tcPr>
            <w:tcW w:w="100" w:type="dxa"/>
            <w:vAlign w:val="bottom"/>
            <w:tcBorders>
              <w:bottom w:val="single" w:sz="8" w:color="E9E9E9"/>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E9E9E9"/>
            </w:tcBorders>
          </w:tcPr>
          <w:p>
            <w:pPr>
              <w:spacing w:after="0"/>
              <w:rPr>
                <w:sz w:val="24"/>
                <w:szCs w:val="24"/>
                <w:color w:val="auto"/>
              </w:rPr>
            </w:pPr>
          </w:p>
        </w:tc>
        <w:tc>
          <w:tcPr>
            <w:tcW w:w="100" w:type="dxa"/>
            <w:vAlign w:val="bottom"/>
            <w:tcBorders>
              <w:bottom w:val="single" w:sz="8" w:color="E9E9E9"/>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E9E9E9"/>
            </w:tcBorders>
          </w:tcPr>
          <w:p>
            <w:pPr>
              <w:spacing w:after="0"/>
              <w:rPr>
                <w:sz w:val="24"/>
                <w:szCs w:val="24"/>
                <w:color w:val="auto"/>
              </w:rPr>
            </w:pPr>
          </w:p>
        </w:tc>
        <w:tc>
          <w:tcPr>
            <w:tcW w:w="90" w:type="dxa"/>
            <w:vAlign w:val="bottom"/>
            <w:tcBorders>
              <w:bottom w:val="single" w:sz="8" w:color="E9E9E9"/>
            </w:tcBorders>
          </w:tcPr>
          <w:p>
            <w:pPr>
              <w:spacing w:after="0"/>
              <w:rPr>
                <w:sz w:val="24"/>
                <w:szCs w:val="24"/>
                <w:color w:val="auto"/>
              </w:rPr>
            </w:pPr>
          </w:p>
        </w:tc>
        <w:tc>
          <w:tcPr>
            <w:tcW w:w="20" w:type="dxa"/>
            <w:vAlign w:val="bottom"/>
            <w:tcBorders>
              <w:bottom w:val="single" w:sz="8" w:color="E9E9E9"/>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E9E9E9"/>
            </w:tcBorders>
          </w:tcPr>
          <w:p>
            <w:pPr>
              <w:spacing w:after="0"/>
              <w:rPr>
                <w:sz w:val="24"/>
                <w:szCs w:val="24"/>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Depreciation and Amortization</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4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60" w:type="dxa"/>
            <w:vAlign w:val="bottom"/>
            <w:shd w:val="clear" w:color="auto" w:fill="E9E9E9"/>
          </w:tcPr>
          <w:p>
            <w:pPr>
              <w:spacing w:after="0"/>
              <w:rPr>
                <w:sz w:val="18"/>
                <w:szCs w:val="18"/>
                <w:color w:val="auto"/>
              </w:rPr>
            </w:pPr>
          </w:p>
        </w:tc>
        <w:tc>
          <w:tcPr>
            <w:tcW w:w="2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10" w:type="dxa"/>
            <w:vAlign w:val="bottom"/>
            <w:shd w:val="clear" w:color="auto" w:fill="E9E9E9"/>
          </w:tcPr>
          <w:p>
            <w:pPr>
              <w:spacing w:after="0"/>
              <w:rPr>
                <w:sz w:val="18"/>
                <w:szCs w:val="18"/>
                <w:color w:val="auto"/>
              </w:rPr>
            </w:pPr>
          </w:p>
        </w:tc>
        <w:tc>
          <w:tcPr>
            <w:tcW w:w="9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1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2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420" w:type="dxa"/>
            <w:vAlign w:val="bottom"/>
            <w:gridSpan w:val="3"/>
          </w:tcPr>
          <w:p>
            <w:pPr>
              <w:ind w:left="860"/>
              <w:spacing w:after="0" w:line="228" w:lineRule="exact"/>
              <w:rPr>
                <w:sz w:val="20"/>
                <w:szCs w:val="20"/>
                <w:color w:val="auto"/>
              </w:rPr>
            </w:pPr>
            <w:r>
              <w:rPr>
                <w:rFonts w:ascii="Arial" w:cs="Arial" w:eastAsia="Arial" w:hAnsi="Arial"/>
                <w:sz w:val="20"/>
                <w:szCs w:val="20"/>
                <w:color w:val="auto"/>
              </w:rPr>
              <w:t>5,820</w:t>
            </w:r>
          </w:p>
        </w:tc>
        <w:tc>
          <w:tcPr>
            <w:tcW w:w="22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410" w:type="dxa"/>
            <w:vAlign w:val="bottom"/>
            <w:gridSpan w:val="4"/>
          </w:tcPr>
          <w:p>
            <w:pPr>
              <w:jc w:val="right"/>
              <w:ind w:right="110"/>
              <w:spacing w:after="0" w:line="228" w:lineRule="exact"/>
              <w:rPr>
                <w:sz w:val="20"/>
                <w:szCs w:val="20"/>
                <w:color w:val="auto"/>
              </w:rPr>
            </w:pPr>
            <w:r>
              <w:rPr>
                <w:rFonts w:ascii="Arial" w:cs="Arial" w:eastAsia="Arial" w:hAnsi="Arial"/>
                <w:sz w:val="20"/>
                <w:szCs w:val="20"/>
                <w:color w:val="auto"/>
              </w:rPr>
              <w:t>4,672</w:t>
            </w:r>
          </w:p>
        </w:tc>
        <w:tc>
          <w:tcPr>
            <w:tcW w:w="390" w:type="dxa"/>
            <w:vAlign w:val="bottom"/>
            <w:gridSpan w:val="3"/>
          </w:tcPr>
          <w:p>
            <w:pPr>
              <w:jc w:val="right"/>
              <w:ind w:right="81"/>
              <w:spacing w:after="0" w:line="228" w:lineRule="exact"/>
              <w:rPr>
                <w:sz w:val="20"/>
                <w:szCs w:val="20"/>
                <w:color w:val="auto"/>
              </w:rPr>
            </w:pPr>
            <w:r>
              <w:rPr>
                <w:rFonts w:ascii="Arial" w:cs="Arial" w:eastAsia="Arial" w:hAnsi="Arial"/>
                <w:sz w:val="20"/>
                <w:szCs w:val="20"/>
                <w:color w:val="auto"/>
              </w:rPr>
              <w:t>$</w:t>
            </w: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4,249</w:t>
            </w:r>
          </w:p>
        </w:tc>
      </w:tr>
      <w:tr>
        <w:trPr>
          <w:trHeight w:val="226"/>
        </w:trPr>
        <w:tc>
          <w:tcPr>
            <w:tcW w:w="5780" w:type="dxa"/>
            <w:vAlign w:val="bottom"/>
            <w:shd w:val="clear" w:color="auto" w:fill="E9E9E9"/>
          </w:tcPr>
          <w:p>
            <w:pPr>
              <w:ind w:left="200"/>
              <w:spacing w:after="0" w:line="226"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gridSpan w:val="2"/>
            <w:shd w:val="clear" w:color="auto" w:fill="E9E9E9"/>
          </w:tcPr>
          <w:p>
            <w:pPr>
              <w:ind w:left="860"/>
              <w:spacing w:after="0" w:line="226" w:lineRule="exact"/>
              <w:rPr>
                <w:sz w:val="20"/>
                <w:szCs w:val="20"/>
                <w:color w:val="auto"/>
              </w:rPr>
            </w:pPr>
            <w:r>
              <w:rPr>
                <w:rFonts w:ascii="Arial" w:cs="Arial" w:eastAsia="Arial" w:hAnsi="Arial"/>
                <w:sz w:val="20"/>
                <w:szCs w:val="20"/>
                <w:color w:val="auto"/>
                <w:w w:val="83"/>
              </w:rPr>
              <w:t>4,352</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300" w:type="dxa"/>
            <w:vAlign w:val="bottom"/>
            <w:gridSpan w:val="3"/>
            <w:shd w:val="clear" w:color="auto" w:fill="E9E9E9"/>
          </w:tcPr>
          <w:p>
            <w:pPr>
              <w:jc w:val="right"/>
              <w:spacing w:after="0" w:line="226" w:lineRule="exact"/>
              <w:rPr>
                <w:sz w:val="20"/>
                <w:szCs w:val="20"/>
                <w:color w:val="auto"/>
              </w:rPr>
            </w:pPr>
            <w:r>
              <w:rPr>
                <w:rFonts w:ascii="Arial" w:cs="Arial" w:eastAsia="Arial" w:hAnsi="Arial"/>
                <w:sz w:val="20"/>
                <w:szCs w:val="20"/>
                <w:color w:val="auto"/>
              </w:rPr>
              <w:t>4,388</w:t>
            </w:r>
          </w:p>
        </w:tc>
        <w:tc>
          <w:tcPr>
            <w:tcW w:w="110" w:type="dxa"/>
            <w:vAlign w:val="bottom"/>
            <w:shd w:val="clear" w:color="auto" w:fill="E9E9E9"/>
          </w:tcPr>
          <w:p>
            <w:pPr>
              <w:spacing w:after="0"/>
              <w:rPr>
                <w:sz w:val="19"/>
                <w:szCs w:val="19"/>
                <w:color w:val="auto"/>
              </w:rPr>
            </w:pPr>
          </w:p>
        </w:tc>
        <w:tc>
          <w:tcPr>
            <w:tcW w:w="9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6" w:lineRule="exact"/>
              <w:rPr>
                <w:sz w:val="20"/>
                <w:szCs w:val="20"/>
                <w:color w:val="auto"/>
              </w:rPr>
            </w:pPr>
            <w:r>
              <w:rPr>
                <w:rFonts w:ascii="Arial" w:cs="Arial" w:eastAsia="Arial" w:hAnsi="Arial"/>
                <w:sz w:val="20"/>
                <w:szCs w:val="20"/>
                <w:color w:val="auto"/>
              </w:rPr>
              <w:t>4,299</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Corporate and Other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ind w:left="860"/>
              <w:spacing w:after="0" w:line="228" w:lineRule="exact"/>
              <w:rPr>
                <w:sz w:val="20"/>
                <w:szCs w:val="20"/>
                <w:color w:val="auto"/>
              </w:rPr>
            </w:pPr>
            <w:r>
              <w:rPr>
                <w:rFonts w:ascii="Arial" w:cs="Arial" w:eastAsia="Arial" w:hAnsi="Arial"/>
                <w:sz w:val="20"/>
                <w:szCs w:val="20"/>
                <w:color w:val="auto"/>
              </w:rPr>
              <w:t>2,335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10" w:type="dxa"/>
            <w:vAlign w:val="bottom"/>
            <w:gridSpan w:val="4"/>
          </w:tcPr>
          <w:p>
            <w:pPr>
              <w:jc w:val="right"/>
              <w:ind w:right="110"/>
              <w:spacing w:after="0" w:line="228" w:lineRule="exact"/>
              <w:rPr>
                <w:sz w:val="20"/>
                <w:szCs w:val="20"/>
                <w:color w:val="auto"/>
              </w:rPr>
            </w:pPr>
            <w:r>
              <w:rPr>
                <w:rFonts w:ascii="Arial" w:cs="Arial" w:eastAsia="Arial" w:hAnsi="Arial"/>
                <w:sz w:val="20"/>
                <w:szCs w:val="20"/>
                <w:color w:val="auto"/>
              </w:rPr>
              <w:t>1,554</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auto"/>
              </w:rPr>
              <w:t>1,305</w:t>
            </w:r>
          </w:p>
        </w:tc>
      </w:tr>
      <w:tr>
        <w:trPr>
          <w:trHeight w:val="220"/>
        </w:trPr>
        <w:tc>
          <w:tcPr>
            <w:tcW w:w="5780" w:type="dxa"/>
            <w:vAlign w:val="bottom"/>
            <w:tcBorders>
              <w:top w:val="single" w:sz="8" w:color="E9E9E9"/>
            </w:tcBorders>
            <w:shd w:val="clear" w:color="auto" w:fill="E9E9E9"/>
          </w:tcPr>
          <w:p>
            <w:pPr>
              <w:ind w:left="400"/>
              <w:spacing w:after="0" w:line="218" w:lineRule="exact"/>
              <w:rPr>
                <w:sz w:val="20"/>
                <w:szCs w:val="20"/>
                <w:color w:val="auto"/>
              </w:rPr>
            </w:pPr>
            <w:r>
              <w:rPr>
                <w:rFonts w:ascii="Arial" w:cs="Arial" w:eastAsia="Arial" w:hAnsi="Arial"/>
                <w:sz w:val="20"/>
                <w:szCs w:val="20"/>
                <w:b w:val="1"/>
                <w:bCs w:val="1"/>
                <w:color w:val="auto"/>
              </w:rPr>
              <w:t>Depreciation and amortization</w:t>
            </w:r>
          </w:p>
        </w:tc>
        <w:tc>
          <w:tcPr>
            <w:tcW w:w="1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gridSpan w:val="2"/>
            <w:shd w:val="clear" w:color="auto" w:fill="E9E9E9"/>
          </w:tcPr>
          <w:p>
            <w:pPr>
              <w:ind w:left="760"/>
              <w:spacing w:after="0" w:line="218" w:lineRule="exact"/>
              <w:rPr>
                <w:sz w:val="20"/>
                <w:szCs w:val="20"/>
                <w:color w:val="auto"/>
              </w:rPr>
            </w:pPr>
            <w:r>
              <w:rPr>
                <w:rFonts w:ascii="Arial" w:cs="Arial" w:eastAsia="Arial" w:hAnsi="Arial"/>
                <w:sz w:val="20"/>
                <w:szCs w:val="20"/>
                <w:color w:val="auto"/>
                <w:w w:val="84"/>
              </w:rPr>
              <w:t>12,507</w:t>
            </w:r>
          </w:p>
        </w:tc>
        <w:tc>
          <w:tcPr>
            <w:tcW w:w="120" w:type="dxa"/>
            <w:vAlign w:val="bottom"/>
            <w:tcBorders>
              <w:top w:val="single" w:sz="8" w:color="E9E9E9"/>
            </w:tcBorders>
            <w:shd w:val="clear" w:color="auto" w:fill="E9E9E9"/>
          </w:tcPr>
          <w:p>
            <w:pPr>
              <w:spacing w:after="0"/>
              <w:rPr>
                <w:sz w:val="19"/>
                <w:szCs w:val="19"/>
                <w:color w:val="auto"/>
              </w:rPr>
            </w:pPr>
          </w:p>
        </w:tc>
        <w:tc>
          <w:tcPr>
            <w:tcW w:w="10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w w:val="71"/>
                <w:shd w:val="clear" w:color="auto" w:fill="E9E9E9"/>
              </w:rPr>
              <w:t>$</w:t>
            </w:r>
          </w:p>
        </w:tc>
        <w:tc>
          <w:tcPr>
            <w:tcW w:w="1300" w:type="dxa"/>
            <w:vAlign w:val="bottom"/>
            <w:tcBorders>
              <w:top w:val="single" w:sz="8" w:color="auto"/>
              <w:bottom w:val="single" w:sz="8" w:color="auto"/>
            </w:tcBorders>
            <w:gridSpan w:val="3"/>
            <w:shd w:val="clear" w:color="auto" w:fill="E9E9E9"/>
          </w:tcPr>
          <w:p>
            <w:pPr>
              <w:jc w:val="right"/>
              <w:spacing w:after="0" w:line="218" w:lineRule="exact"/>
              <w:rPr>
                <w:sz w:val="20"/>
                <w:szCs w:val="20"/>
                <w:color w:val="auto"/>
              </w:rPr>
            </w:pPr>
            <w:r>
              <w:rPr>
                <w:rFonts w:ascii="Arial" w:cs="Arial" w:eastAsia="Arial" w:hAnsi="Arial"/>
                <w:sz w:val="20"/>
                <w:szCs w:val="20"/>
                <w:color w:val="auto"/>
              </w:rPr>
              <w:t>10,614</w:t>
            </w:r>
          </w:p>
        </w:tc>
        <w:tc>
          <w:tcPr>
            <w:tcW w:w="110" w:type="dxa"/>
            <w:vAlign w:val="bottom"/>
            <w:tcBorders>
              <w:top w:val="single" w:sz="8" w:color="E9E9E9"/>
            </w:tcBorders>
            <w:shd w:val="clear" w:color="auto" w:fill="E9E9E9"/>
          </w:tcPr>
          <w:p>
            <w:pPr>
              <w:spacing w:after="0"/>
              <w:rPr>
                <w:sz w:val="19"/>
                <w:szCs w:val="19"/>
                <w:color w:val="auto"/>
              </w:rPr>
            </w:pPr>
          </w:p>
        </w:tc>
        <w:tc>
          <w:tcPr>
            <w:tcW w:w="9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E9E9E9"/>
              <w:bottom w:val="single" w:sz="8" w:color="auto"/>
            </w:tcBorders>
            <w:shd w:val="clear" w:color="auto" w:fill="E9E9E9"/>
          </w:tcPr>
          <w:p>
            <w:pPr>
              <w:spacing w:after="0"/>
              <w:rPr>
                <w:sz w:val="19"/>
                <w:szCs w:val="19"/>
                <w:color w:val="auto"/>
              </w:rPr>
            </w:pPr>
          </w:p>
        </w:tc>
        <w:tc>
          <w:tcPr>
            <w:tcW w:w="280" w:type="dxa"/>
            <w:vAlign w:val="bottom"/>
            <w:tcBorders>
              <w:top w:val="single" w:sz="8" w:color="auto"/>
              <w:bottom w:val="single" w:sz="8" w:color="auto"/>
            </w:tcBorders>
            <w:shd w:val="clear" w:color="auto" w:fill="E9E9E9"/>
          </w:tcPr>
          <w:p>
            <w:pPr>
              <w:jc w:val="right"/>
              <w:ind w:right="81"/>
              <w:spacing w:after="0" w:line="218"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E9E9E9"/>
          </w:tcPr>
          <w:p>
            <w:pPr>
              <w:jc w:val="right"/>
              <w:spacing w:after="0" w:line="218" w:lineRule="exact"/>
              <w:rPr>
                <w:sz w:val="20"/>
                <w:szCs w:val="20"/>
                <w:color w:val="auto"/>
              </w:rPr>
            </w:pPr>
            <w:r>
              <w:rPr>
                <w:rFonts w:ascii="Arial" w:cs="Arial" w:eastAsia="Arial" w:hAnsi="Arial"/>
                <w:sz w:val="20"/>
                <w:szCs w:val="20"/>
                <w:color w:val="auto"/>
              </w:rPr>
              <w:t>9,853</w:t>
            </w:r>
          </w:p>
        </w:tc>
        <w:tc>
          <w:tcPr>
            <w:tcW w:w="20" w:type="dxa"/>
            <w:vAlign w:val="bottom"/>
            <w:tcBorders>
              <w:top w:val="single" w:sz="8" w:color="auto"/>
              <w:bottom w:val="single" w:sz="8" w:color="auto"/>
            </w:tcBorders>
            <w:shd w:val="clear" w:color="auto" w:fill="E9E9E9"/>
          </w:tcPr>
          <w:p>
            <w:pPr>
              <w:spacing w:after="0"/>
              <w:rPr>
                <w:sz w:val="19"/>
                <w:szCs w:val="19"/>
                <w:color w:val="auto"/>
              </w:rPr>
            </w:pPr>
          </w:p>
        </w:tc>
        <w:tc>
          <w:tcPr>
            <w:tcW w:w="80" w:type="dxa"/>
            <w:vAlign w:val="bottom"/>
            <w:tcBorders>
              <w:top w:val="single" w:sz="8" w:color="E9E9E9"/>
            </w:tcBorders>
            <w:shd w:val="clear" w:color="auto" w:fill="E9E9E9"/>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33"/>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61"/>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0"/>
        </w:trPr>
        <w:tc>
          <w:tcPr>
            <w:tcW w:w="5780" w:type="dxa"/>
            <w:vAlign w:val="bottom"/>
            <w:tcBorders>
              <w:bottom w:val="single" w:sz="8" w:color="E9E9E9"/>
            </w:tcBorders>
          </w:tcPr>
          <w:p>
            <w:pPr>
              <w:spacing w:after="0" w:line="170"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Borders>
              <w:bottom w:val="single" w:sz="8" w:color="E9E9E9"/>
            </w:tcBorders>
          </w:tcPr>
          <w:p>
            <w:pPr>
              <w:spacing w:after="0"/>
              <w:rPr>
                <w:sz w:val="14"/>
                <w:szCs w:val="14"/>
                <w:color w:val="auto"/>
              </w:rPr>
            </w:pPr>
          </w:p>
        </w:tc>
        <w:tc>
          <w:tcPr>
            <w:tcW w:w="120" w:type="dxa"/>
            <w:vAlign w:val="bottom"/>
            <w:tcBorders>
              <w:bottom w:val="single" w:sz="8" w:color="E9E9E9"/>
            </w:tcBorders>
          </w:tcPr>
          <w:p>
            <w:pPr>
              <w:spacing w:after="0"/>
              <w:rPr>
                <w:sz w:val="14"/>
                <w:szCs w:val="14"/>
                <w:color w:val="auto"/>
              </w:rPr>
            </w:pPr>
          </w:p>
        </w:tc>
        <w:tc>
          <w:tcPr>
            <w:tcW w:w="1040" w:type="dxa"/>
            <w:vAlign w:val="bottom"/>
            <w:tcBorders>
              <w:bottom w:val="single" w:sz="8" w:color="E9E9E9"/>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6"/>
              <w:spacing w:after="0" w:line="170" w:lineRule="exact"/>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E9E9E9"/>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9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5"/>
              <w:spacing w:after="0" w:line="170"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E9E9E9"/>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r>
      <w:tr>
        <w:trPr>
          <w:trHeight w:val="218"/>
        </w:trPr>
        <w:tc>
          <w:tcPr>
            <w:tcW w:w="5780" w:type="dxa"/>
            <w:vAlign w:val="bottom"/>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Identifiable Assets</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4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60" w:type="dxa"/>
            <w:vAlign w:val="bottom"/>
            <w:shd w:val="clear" w:color="auto" w:fill="E9E9E9"/>
          </w:tcPr>
          <w:p>
            <w:pPr>
              <w:spacing w:after="0"/>
              <w:rPr>
                <w:sz w:val="18"/>
                <w:szCs w:val="18"/>
                <w:color w:val="auto"/>
              </w:rPr>
            </w:pPr>
          </w:p>
        </w:tc>
        <w:tc>
          <w:tcPr>
            <w:tcW w:w="2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10" w:type="dxa"/>
            <w:vAlign w:val="bottom"/>
            <w:shd w:val="clear" w:color="auto" w:fill="E9E9E9"/>
          </w:tcPr>
          <w:p>
            <w:pPr>
              <w:spacing w:after="0"/>
              <w:rPr>
                <w:sz w:val="18"/>
                <w:szCs w:val="18"/>
                <w:color w:val="auto"/>
              </w:rPr>
            </w:pPr>
          </w:p>
        </w:tc>
        <w:tc>
          <w:tcPr>
            <w:tcW w:w="9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14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28"/>
        </w:trPr>
        <w:tc>
          <w:tcPr>
            <w:tcW w:w="5780" w:type="dxa"/>
            <w:vAlign w:val="bottom"/>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1040"/>
              <w:spacing w:after="0" w:line="228"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line="228" w:lineRule="exact"/>
              <w:rPr>
                <w:sz w:val="20"/>
                <w:szCs w:val="20"/>
                <w:color w:val="auto"/>
              </w:rPr>
            </w:pPr>
            <w:r>
              <w:rPr>
                <w:rFonts w:ascii="Arial" w:cs="Arial" w:eastAsia="Arial" w:hAnsi="Arial"/>
                <w:sz w:val="20"/>
                <w:szCs w:val="20"/>
                <w:color w:val="auto"/>
              </w:rPr>
              <w:t>432,098</w:t>
            </w:r>
          </w:p>
        </w:tc>
        <w:tc>
          <w:tcPr>
            <w:tcW w:w="350" w:type="dxa"/>
            <w:vAlign w:val="bottom"/>
            <w:gridSpan w:val="3"/>
          </w:tcPr>
          <w:p>
            <w:pPr>
              <w:jc w:val="right"/>
              <w:ind w:right="30"/>
              <w:spacing w:after="0" w:line="228" w:lineRule="exact"/>
              <w:rPr>
                <w:sz w:val="20"/>
                <w:szCs w:val="20"/>
                <w:color w:val="auto"/>
              </w:rPr>
            </w:pPr>
            <w:r>
              <w:rPr>
                <w:rFonts w:ascii="Arial" w:cs="Arial" w:eastAsia="Arial" w:hAnsi="Arial"/>
                <w:sz w:val="20"/>
                <w:szCs w:val="20"/>
                <w:color w:val="auto"/>
              </w:rPr>
              <w:t>$</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line="228" w:lineRule="exact"/>
              <w:rPr>
                <w:sz w:val="20"/>
                <w:szCs w:val="20"/>
                <w:color w:val="auto"/>
              </w:rPr>
            </w:pPr>
            <w:r>
              <w:rPr>
                <w:rFonts w:ascii="Arial" w:cs="Arial" w:eastAsia="Arial" w:hAnsi="Arial"/>
                <w:sz w:val="20"/>
                <w:szCs w:val="20"/>
                <w:color w:val="auto"/>
              </w:rPr>
              <w:t>332,820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578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6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147,740</w:t>
            </w:r>
          </w:p>
        </w:tc>
        <w:tc>
          <w:tcPr>
            <w:tcW w:w="2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10" w:type="dxa"/>
            <w:vAlign w:val="bottom"/>
            <w:shd w:val="clear" w:color="auto" w:fill="E9E9E9"/>
          </w:tcPr>
          <w:p>
            <w:pPr>
              <w:spacing w:after="0"/>
              <w:rPr>
                <w:sz w:val="19"/>
                <w:szCs w:val="19"/>
                <w:color w:val="auto"/>
              </w:rPr>
            </w:pPr>
          </w:p>
        </w:tc>
        <w:tc>
          <w:tcPr>
            <w:tcW w:w="9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40" w:type="dxa"/>
            <w:vAlign w:val="bottom"/>
            <w:shd w:val="clear" w:color="auto" w:fill="E9E9E9"/>
          </w:tcPr>
          <w:p>
            <w:pPr>
              <w:jc w:val="right"/>
              <w:spacing w:after="0" w:line="228" w:lineRule="exact"/>
              <w:rPr>
                <w:sz w:val="20"/>
                <w:szCs w:val="20"/>
                <w:color w:val="auto"/>
              </w:rPr>
            </w:pPr>
            <w:r>
              <w:rPr>
                <w:rFonts w:ascii="Arial" w:cs="Arial" w:eastAsia="Arial" w:hAnsi="Arial"/>
                <w:sz w:val="20"/>
                <w:szCs w:val="20"/>
                <w:color w:val="auto"/>
              </w:rPr>
              <w:t>150,458</w:t>
            </w:r>
          </w:p>
        </w:tc>
        <w:tc>
          <w:tcPr>
            <w:tcW w:w="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r>
      <w:tr>
        <w:trPr>
          <w:trHeight w:val="228"/>
        </w:trPr>
        <w:tc>
          <w:tcPr>
            <w:tcW w:w="5780" w:type="dxa"/>
            <w:vAlign w:val="bottom"/>
            <w:tcBorders>
              <w:bottom w:val="single" w:sz="8" w:color="E9E9E9"/>
            </w:tcBorders>
          </w:tcPr>
          <w:p>
            <w:pPr>
              <w:ind w:left="200"/>
              <w:spacing w:after="0" w:line="228" w:lineRule="exact"/>
              <w:rPr>
                <w:sz w:val="20"/>
                <w:szCs w:val="20"/>
                <w:color w:val="auto"/>
              </w:rPr>
            </w:pPr>
            <w:r>
              <w:rPr>
                <w:rFonts w:ascii="Arial" w:cs="Arial" w:eastAsia="Arial" w:hAnsi="Arial"/>
                <w:sz w:val="20"/>
                <w:szCs w:val="20"/>
                <w:color w:val="auto"/>
              </w:rPr>
              <w:t>Corporate and Other (2)</w:t>
            </w:r>
          </w:p>
        </w:tc>
        <w:tc>
          <w:tcPr>
            <w:tcW w:w="100" w:type="dxa"/>
            <w:vAlign w:val="bottom"/>
            <w:tcBorders>
              <w:bottom w:val="single" w:sz="8" w:color="E9E9E9"/>
            </w:tcBorders>
          </w:tcPr>
          <w:p>
            <w:pPr>
              <w:spacing w:after="0"/>
              <w:rPr>
                <w:sz w:val="19"/>
                <w:szCs w:val="19"/>
                <w:color w:val="auto"/>
              </w:rPr>
            </w:pPr>
          </w:p>
        </w:tc>
        <w:tc>
          <w:tcPr>
            <w:tcW w:w="120" w:type="dxa"/>
            <w:vAlign w:val="bottom"/>
            <w:tcBorders>
              <w:bottom w:val="single" w:sz="8" w:color="E9E9E9"/>
            </w:tcBorders>
          </w:tcPr>
          <w:p>
            <w:pPr>
              <w:spacing w:after="0"/>
              <w:rPr>
                <w:sz w:val="19"/>
                <w:szCs w:val="19"/>
                <w:color w:val="auto"/>
              </w:rPr>
            </w:pPr>
          </w:p>
        </w:tc>
        <w:tc>
          <w:tcPr>
            <w:tcW w:w="104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20,453</w:t>
            </w:r>
          </w:p>
        </w:tc>
        <w:tc>
          <w:tcPr>
            <w:tcW w:w="220" w:type="dxa"/>
            <w:vAlign w:val="bottom"/>
            <w:tcBorders>
              <w:bottom w:val="single" w:sz="8" w:color="E9E9E9"/>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21,443</w:t>
            </w:r>
          </w:p>
        </w:tc>
        <w:tc>
          <w:tcPr>
            <w:tcW w:w="20" w:type="dxa"/>
            <w:vAlign w:val="bottom"/>
            <w:tcBorders>
              <w:bottom w:val="single" w:sz="8" w:color="E9E9E9"/>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r>
      <w:tr>
        <w:trPr>
          <w:trHeight w:val="218"/>
        </w:trPr>
        <w:tc>
          <w:tcPr>
            <w:tcW w:w="5780" w:type="dxa"/>
            <w:vAlign w:val="bottom"/>
            <w:shd w:val="clear" w:color="auto" w:fill="E9E9E9"/>
          </w:tcPr>
          <w:p>
            <w:pPr>
              <w:ind w:left="400"/>
              <w:spacing w:after="0" w:line="217" w:lineRule="exact"/>
              <w:rPr>
                <w:sz w:val="20"/>
                <w:szCs w:val="20"/>
                <w:color w:val="auto"/>
              </w:rPr>
            </w:pPr>
            <w:r>
              <w:rPr>
                <w:rFonts w:ascii="Arial" w:cs="Arial" w:eastAsia="Arial" w:hAnsi="Arial"/>
                <w:sz w:val="20"/>
                <w:szCs w:val="20"/>
                <w:b w:val="1"/>
                <w:bCs w:val="1"/>
                <w:color w:val="auto"/>
              </w:rPr>
              <w:t>Identifiable assets</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040" w:type="dxa"/>
            <w:vAlign w:val="bottom"/>
            <w:shd w:val="clear" w:color="auto" w:fill="E9E9E9"/>
          </w:tcPr>
          <w:p>
            <w:pPr>
              <w:spacing w:after="0"/>
              <w:rPr>
                <w:sz w:val="18"/>
                <w:szCs w:val="18"/>
                <w:color w:val="auto"/>
              </w:rPr>
            </w:pPr>
          </w:p>
        </w:tc>
        <w:tc>
          <w:tcPr>
            <w:tcW w:w="260" w:type="dxa"/>
            <w:vAlign w:val="bottom"/>
            <w:tcBorders>
              <w:bottom w:val="single" w:sz="8" w:color="auto"/>
            </w:tcBorders>
            <w:shd w:val="clear" w:color="auto" w:fill="E9E9E9"/>
          </w:tcPr>
          <w:p>
            <w:pPr>
              <w:spacing w:after="0" w:line="217"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shd w:val="clear" w:color="auto" w:fill="E9E9E9"/>
          </w:tcPr>
          <w:p>
            <w:pPr>
              <w:spacing w:after="0"/>
              <w:rPr>
                <w:sz w:val="18"/>
                <w:szCs w:val="18"/>
                <w:color w:val="auto"/>
              </w:rPr>
            </w:pPr>
          </w:p>
        </w:tc>
        <w:tc>
          <w:tcPr>
            <w:tcW w:w="100" w:type="dxa"/>
            <w:vAlign w:val="bottom"/>
            <w:tcBorders>
              <w:bottom w:val="single" w:sz="8" w:color="auto"/>
            </w:tcBorders>
            <w:shd w:val="clear" w:color="auto" w:fill="E9E9E9"/>
          </w:tcPr>
          <w:p>
            <w:pPr>
              <w:spacing w:after="0"/>
              <w:rPr>
                <w:sz w:val="18"/>
                <w:szCs w:val="18"/>
                <w:color w:val="auto"/>
              </w:rPr>
            </w:pPr>
          </w:p>
        </w:tc>
        <w:tc>
          <w:tcPr>
            <w:tcW w:w="120" w:type="dxa"/>
            <w:vAlign w:val="bottom"/>
            <w:tcBorders>
              <w:bottom w:val="single" w:sz="8" w:color="auto"/>
            </w:tcBorders>
            <w:shd w:val="clear" w:color="auto" w:fill="E9E9E9"/>
          </w:tcPr>
          <w:p>
            <w:pPr>
              <w:spacing w:after="0"/>
              <w:rPr>
                <w:sz w:val="18"/>
                <w:szCs w:val="18"/>
                <w:color w:val="auto"/>
              </w:rPr>
            </w:pPr>
          </w:p>
        </w:tc>
        <w:tc>
          <w:tcPr>
            <w:tcW w:w="106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600,291</w:t>
            </w:r>
          </w:p>
        </w:tc>
        <w:tc>
          <w:tcPr>
            <w:tcW w:w="220" w:type="dxa"/>
            <w:vAlign w:val="bottom"/>
            <w:shd w:val="clear" w:color="auto" w:fill="E9E9E9"/>
          </w:tcPr>
          <w:p>
            <w:pPr>
              <w:spacing w:after="0"/>
              <w:rPr>
                <w:sz w:val="18"/>
                <w:szCs w:val="18"/>
                <w:color w:val="auto"/>
              </w:rPr>
            </w:pPr>
          </w:p>
        </w:tc>
        <w:tc>
          <w:tcPr>
            <w:tcW w:w="130" w:type="dxa"/>
            <w:vAlign w:val="bottom"/>
            <w:tcBorders>
              <w:bottom w:val="single" w:sz="8" w:color="auto"/>
            </w:tcBorders>
            <w:gridSpan w:val="2"/>
            <w:shd w:val="clear" w:color="auto" w:fill="E9E9E9"/>
          </w:tcPr>
          <w:p>
            <w:pPr>
              <w:jc w:val="right"/>
              <w:ind w:right="30"/>
              <w:spacing w:after="0" w:line="217" w:lineRule="exact"/>
              <w:rPr>
                <w:sz w:val="20"/>
                <w:szCs w:val="20"/>
                <w:color w:val="auto"/>
              </w:rPr>
            </w:pPr>
            <w:r>
              <w:rPr>
                <w:rFonts w:ascii="Arial" w:cs="Arial" w:eastAsia="Arial" w:hAnsi="Arial"/>
                <w:sz w:val="20"/>
                <w:szCs w:val="20"/>
                <w:color w:val="auto"/>
                <w:w w:val="71"/>
              </w:rPr>
              <w:t>$</w:t>
            </w:r>
          </w:p>
        </w:tc>
        <w:tc>
          <w:tcPr>
            <w:tcW w:w="90" w:type="dxa"/>
            <w:vAlign w:val="bottom"/>
            <w:tcBorders>
              <w:bottom w:val="single" w:sz="8" w:color="auto"/>
            </w:tcBorders>
            <w:shd w:val="clear" w:color="auto" w:fill="E9E9E9"/>
          </w:tcPr>
          <w:p>
            <w:pPr>
              <w:spacing w:after="0"/>
              <w:rPr>
                <w:sz w:val="18"/>
                <w:szCs w:val="18"/>
                <w:color w:val="auto"/>
              </w:rPr>
            </w:pPr>
          </w:p>
        </w:tc>
        <w:tc>
          <w:tcPr>
            <w:tcW w:w="20" w:type="dxa"/>
            <w:vAlign w:val="bottom"/>
            <w:tcBorders>
              <w:bottom w:val="single" w:sz="8" w:color="auto"/>
            </w:tcBorders>
            <w:shd w:val="clear" w:color="auto" w:fill="E9E9E9"/>
          </w:tcPr>
          <w:p>
            <w:pPr>
              <w:spacing w:after="0"/>
              <w:rPr>
                <w:sz w:val="18"/>
                <w:szCs w:val="18"/>
                <w:color w:val="auto"/>
              </w:rPr>
            </w:pPr>
          </w:p>
        </w:tc>
        <w:tc>
          <w:tcPr>
            <w:tcW w:w="280" w:type="dxa"/>
            <w:vAlign w:val="bottom"/>
            <w:tcBorders>
              <w:bottom w:val="single" w:sz="8" w:color="auto"/>
            </w:tcBorders>
            <w:shd w:val="clear" w:color="auto" w:fill="E9E9E9"/>
          </w:tcPr>
          <w:p>
            <w:pPr>
              <w:spacing w:after="0"/>
              <w:rPr>
                <w:sz w:val="18"/>
                <w:szCs w:val="18"/>
                <w:color w:val="auto"/>
              </w:rPr>
            </w:pPr>
          </w:p>
        </w:tc>
        <w:tc>
          <w:tcPr>
            <w:tcW w:w="1140" w:type="dxa"/>
            <w:vAlign w:val="bottom"/>
            <w:tcBorders>
              <w:bottom w:val="single" w:sz="8" w:color="auto"/>
            </w:tcBorders>
            <w:shd w:val="clear" w:color="auto" w:fill="E9E9E9"/>
          </w:tcPr>
          <w:p>
            <w:pPr>
              <w:jc w:val="right"/>
              <w:spacing w:after="0" w:line="217" w:lineRule="exact"/>
              <w:rPr>
                <w:sz w:val="20"/>
                <w:szCs w:val="20"/>
                <w:color w:val="auto"/>
              </w:rPr>
            </w:pPr>
            <w:r>
              <w:rPr>
                <w:rFonts w:ascii="Arial" w:cs="Arial" w:eastAsia="Arial" w:hAnsi="Arial"/>
                <w:sz w:val="20"/>
                <w:szCs w:val="20"/>
                <w:color w:val="auto"/>
              </w:rPr>
              <w:t>504,721</w:t>
            </w:r>
          </w:p>
        </w:tc>
        <w:tc>
          <w:tcPr>
            <w:tcW w:w="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-882015</wp:posOffset>
                </wp:positionV>
                <wp:extent cx="7112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69.4499pt" to="534.4pt,-69.4499pt" o:allowincell="f" strokecolor="#FFFFFF" strokeweight="0.4751pt"/>
            </w:pict>
          </mc:Fallback>
        </mc:AlternateContent>
      </w:r>
    </w:p>
    <w:p>
      <w:pPr>
        <w:spacing w:after="0" w:line="322" w:lineRule="exact"/>
        <w:rPr>
          <w:sz w:val="20"/>
          <w:szCs w:val="20"/>
          <w:color w:val="auto"/>
        </w:rPr>
      </w:pPr>
    </w:p>
    <w:p>
      <w:pPr>
        <w:ind w:left="400" w:hanging="363"/>
        <w:spacing w:after="0"/>
        <w:tabs>
          <w:tab w:leader="none" w:pos="400" w:val="left"/>
        </w:tabs>
        <w:numPr>
          <w:ilvl w:val="0"/>
          <w:numId w:val="35"/>
        </w:numPr>
        <w:rPr>
          <w:rFonts w:ascii="Arial" w:cs="Arial" w:eastAsia="Arial" w:hAnsi="Arial"/>
          <w:sz w:val="16"/>
          <w:szCs w:val="16"/>
          <w:color w:val="auto"/>
        </w:rPr>
      </w:pPr>
      <w:r>
        <w:rPr>
          <w:rFonts w:ascii="Arial" w:cs="Arial" w:eastAsia="Arial" w:hAnsi="Arial"/>
          <w:sz w:val="20"/>
          <w:szCs w:val="20"/>
          <w:color w:val="auto"/>
        </w:rPr>
        <w:t>Corporate assets primarily consist of cash, property, plant and equipment, and income tax related assets.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7040" w:type="dxa"/>
            <w:vAlign w:val="bottom"/>
            <w:tcBorders>
              <w:bottom w:val="single" w:sz="8" w:color="E9E9E9"/>
            </w:tcBorders>
            <w:gridSpan w:val="2"/>
          </w:tcPr>
          <w:p>
            <w:pPr>
              <w:spacing w:after="0" w:line="173" w:lineRule="exact"/>
              <w:rPr>
                <w:sz w:val="20"/>
                <w:szCs w:val="20"/>
                <w:color w:val="auto"/>
              </w:rPr>
            </w:pPr>
            <w:r>
              <w:rPr>
                <w:rFonts w:ascii="Arial" w:cs="Arial" w:eastAsia="Arial" w:hAnsi="Arial"/>
                <w:sz w:val="16"/>
                <w:szCs w:val="16"/>
                <w:b w:val="1"/>
                <w:bCs w:val="1"/>
                <w:color w:val="auto"/>
              </w:rPr>
              <w:t>(table only in thousands)</w:t>
            </w: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69"/>
              <w:spacing w:after="0" w:line="173"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E9E9E9"/>
            </w:tcBorders>
          </w:tcPr>
          <w:p>
            <w:pPr>
              <w:spacing w:after="0"/>
              <w:rPr>
                <w:sz w:val="15"/>
                <w:szCs w:val="15"/>
                <w:color w:val="auto"/>
              </w:rPr>
            </w:pPr>
          </w:p>
        </w:tc>
        <w:tc>
          <w:tcPr>
            <w:tcW w:w="20" w:type="dxa"/>
            <w:vAlign w:val="bottom"/>
            <w:tcBorders>
              <w:bottom w:val="single" w:sz="8" w:color="E9E9E9"/>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86"/>
              <w:spacing w:after="0" w:line="173"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9E9E9"/>
            </w:tcBorders>
          </w:tcPr>
          <w:p>
            <w:pPr>
              <w:spacing w:after="0"/>
              <w:rPr>
                <w:sz w:val="15"/>
                <w:szCs w:val="15"/>
                <w:color w:val="auto"/>
              </w:rPr>
            </w:pPr>
          </w:p>
        </w:tc>
      </w:tr>
      <w:tr>
        <w:trPr>
          <w:trHeight w:val="218"/>
        </w:trPr>
        <w:tc>
          <w:tcPr>
            <w:tcW w:w="6940" w:type="dxa"/>
            <w:vAlign w:val="bottom"/>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Goodwill</w:t>
            </w:r>
          </w:p>
        </w:tc>
        <w:tc>
          <w:tcPr>
            <w:tcW w:w="1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540" w:type="dxa"/>
            <w:vAlign w:val="bottom"/>
            <w:shd w:val="clear" w:color="auto" w:fill="E9E9E9"/>
          </w:tcPr>
          <w:p>
            <w:pPr>
              <w:spacing w:after="0"/>
              <w:rPr>
                <w:sz w:val="18"/>
                <w:szCs w:val="18"/>
                <w:color w:val="auto"/>
              </w:rPr>
            </w:pPr>
          </w:p>
        </w:tc>
        <w:tc>
          <w:tcPr>
            <w:tcW w:w="2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520" w:type="dxa"/>
            <w:vAlign w:val="bottom"/>
            <w:shd w:val="clear" w:color="auto" w:fill="E9E9E9"/>
          </w:tcPr>
          <w:p>
            <w:pPr>
              <w:spacing w:after="0"/>
              <w:rPr>
                <w:sz w:val="18"/>
                <w:szCs w:val="18"/>
                <w:color w:val="auto"/>
              </w:rPr>
            </w:pPr>
          </w:p>
        </w:tc>
        <w:tc>
          <w:tcPr>
            <w:tcW w:w="1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r>
      <w:tr>
        <w:trPr>
          <w:trHeight w:val="228"/>
        </w:trPr>
        <w:tc>
          <w:tcPr>
            <w:tcW w:w="7040" w:type="dxa"/>
            <w:vAlign w:val="bottom"/>
            <w:gridSpan w:val="2"/>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12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28" w:lineRule="exact"/>
              <w:rPr>
                <w:sz w:val="20"/>
                <w:szCs w:val="20"/>
                <w:color w:val="auto"/>
              </w:rPr>
            </w:pPr>
            <w:r>
              <w:rPr>
                <w:rFonts w:ascii="Arial" w:cs="Arial" w:eastAsia="Arial" w:hAnsi="Arial"/>
                <w:sz w:val="20"/>
                <w:szCs w:val="20"/>
                <w:color w:val="auto"/>
              </w:rPr>
              <w:t>142,229</w:t>
            </w:r>
          </w:p>
        </w:tc>
        <w:tc>
          <w:tcPr>
            <w:tcW w:w="740" w:type="dxa"/>
            <w:vAlign w:val="bottom"/>
            <w:gridSpan w:val="3"/>
          </w:tcPr>
          <w:p>
            <w:pPr>
              <w:jc w:val="right"/>
              <w:ind w:right="420"/>
              <w:spacing w:after="0" w:line="228"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28" w:lineRule="exact"/>
              <w:rPr>
                <w:sz w:val="20"/>
                <w:szCs w:val="20"/>
                <w:color w:val="auto"/>
              </w:rPr>
            </w:pPr>
            <w:r>
              <w:rPr>
                <w:rFonts w:ascii="Arial" w:cs="Arial" w:eastAsia="Arial" w:hAnsi="Arial"/>
                <w:sz w:val="20"/>
                <w:szCs w:val="20"/>
                <w:color w:val="auto"/>
              </w:rPr>
              <w:t>114,746</w:t>
            </w:r>
          </w:p>
        </w:tc>
        <w:tc>
          <w:tcPr>
            <w:tcW w:w="100" w:type="dxa"/>
            <w:vAlign w:val="bottom"/>
          </w:tcPr>
          <w:p>
            <w:pPr>
              <w:spacing w:after="0"/>
              <w:rPr>
                <w:sz w:val="19"/>
                <w:szCs w:val="19"/>
                <w:color w:val="auto"/>
              </w:rPr>
            </w:pPr>
          </w:p>
        </w:tc>
      </w:tr>
      <w:tr>
        <w:trPr>
          <w:trHeight w:val="226"/>
        </w:trPr>
        <w:tc>
          <w:tcPr>
            <w:tcW w:w="6940" w:type="dxa"/>
            <w:vAlign w:val="bottom"/>
            <w:shd w:val="clear" w:color="auto" w:fill="E9E9E9"/>
          </w:tcPr>
          <w:p>
            <w:pPr>
              <w:ind w:left="200"/>
              <w:spacing w:after="0" w:line="226"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54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69,097</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520" w:type="dxa"/>
            <w:vAlign w:val="bottom"/>
            <w:tcBorders>
              <w:bottom w:val="single" w:sz="8" w:color="auto"/>
            </w:tcBorders>
            <w:shd w:val="clear" w:color="auto" w:fill="E9E9E9"/>
          </w:tcPr>
          <w:p>
            <w:pPr>
              <w:spacing w:after="0"/>
              <w:rPr>
                <w:sz w:val="19"/>
                <w:szCs w:val="19"/>
                <w:color w:val="auto"/>
              </w:rPr>
            </w:pPr>
          </w:p>
        </w:tc>
        <w:tc>
          <w:tcPr>
            <w:tcW w:w="1140" w:type="dxa"/>
            <w:vAlign w:val="bottom"/>
            <w:tcBorders>
              <w:bottom w:val="single" w:sz="8" w:color="auto"/>
            </w:tcBorders>
            <w:shd w:val="clear" w:color="auto" w:fill="E9E9E9"/>
          </w:tcPr>
          <w:p>
            <w:pPr>
              <w:jc w:val="right"/>
              <w:spacing w:after="0" w:line="226" w:lineRule="exact"/>
              <w:rPr>
                <w:sz w:val="20"/>
                <w:szCs w:val="20"/>
                <w:color w:val="auto"/>
              </w:rPr>
            </w:pPr>
            <w:r>
              <w:rPr>
                <w:rFonts w:ascii="Arial" w:cs="Arial" w:eastAsia="Arial" w:hAnsi="Arial"/>
                <w:sz w:val="20"/>
                <w:szCs w:val="20"/>
                <w:color w:val="auto"/>
              </w:rPr>
              <w:t>68,451</w:t>
            </w:r>
          </w:p>
        </w:tc>
        <w:tc>
          <w:tcPr>
            <w:tcW w:w="100" w:type="dxa"/>
            <w:vAlign w:val="bottom"/>
            <w:shd w:val="clear" w:color="auto" w:fill="E9E9E9"/>
          </w:tcPr>
          <w:p>
            <w:pPr>
              <w:spacing w:after="0"/>
              <w:rPr>
                <w:sz w:val="19"/>
                <w:szCs w:val="19"/>
                <w:color w:val="auto"/>
              </w:rPr>
            </w:pPr>
          </w:p>
        </w:tc>
      </w:tr>
      <w:tr>
        <w:trPr>
          <w:trHeight w:val="219"/>
        </w:trPr>
        <w:tc>
          <w:tcPr>
            <w:tcW w:w="7040" w:type="dxa"/>
            <w:vAlign w:val="bottom"/>
            <w:gridSpan w:val="2"/>
          </w:tcPr>
          <w:p>
            <w:pPr>
              <w:ind w:left="400"/>
              <w:spacing w:after="0" w:line="217" w:lineRule="exact"/>
              <w:rPr>
                <w:sz w:val="20"/>
                <w:szCs w:val="20"/>
                <w:color w:val="auto"/>
              </w:rPr>
            </w:pPr>
            <w:r>
              <w:rPr>
                <w:rFonts w:ascii="Arial" w:cs="Arial" w:eastAsia="Arial" w:hAnsi="Arial"/>
                <w:sz w:val="20"/>
                <w:szCs w:val="20"/>
                <w:b w:val="1"/>
                <w:bCs w:val="1"/>
                <w:color w:val="auto"/>
              </w:rPr>
              <w:t>Goodwill</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17" w:lineRule="exact"/>
              <w:rPr>
                <w:sz w:val="20"/>
                <w:szCs w:val="20"/>
                <w:color w:val="auto"/>
              </w:rPr>
            </w:pPr>
            <w:r>
              <w:rPr>
                <w:rFonts w:ascii="Arial" w:cs="Arial" w:eastAsia="Arial" w:hAnsi="Arial"/>
                <w:sz w:val="20"/>
                <w:szCs w:val="20"/>
                <w:color w:val="auto"/>
              </w:rPr>
              <w:t>211,326</w:t>
            </w:r>
          </w:p>
        </w:tc>
        <w:tc>
          <w:tcPr>
            <w:tcW w:w="740" w:type="dxa"/>
            <w:vAlign w:val="bottom"/>
            <w:gridSpan w:val="3"/>
          </w:tcPr>
          <w:p>
            <w:pPr>
              <w:jc w:val="right"/>
              <w:ind w:right="420"/>
              <w:spacing w:after="0" w:line="217"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7" w:lineRule="exact"/>
              <w:rPr>
                <w:sz w:val="20"/>
                <w:szCs w:val="20"/>
                <w:color w:val="auto"/>
              </w:rPr>
            </w:pPr>
            <w:r>
              <w:rPr>
                <w:rFonts w:ascii="Arial" w:cs="Arial" w:eastAsia="Arial" w:hAnsi="Arial"/>
                <w:sz w:val="20"/>
                <w:szCs w:val="20"/>
                <w:color w:val="auto"/>
              </w:rPr>
              <w:t>183,197</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-737870</wp:posOffset>
                </wp:positionV>
                <wp:extent cx="7112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58.0999pt" to="534.4pt,-58.0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-175895</wp:posOffset>
                </wp:positionV>
                <wp:extent cx="7112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3.8499pt" to="534.4pt,-13.8499pt" o:allowincell="f" strokecolor="#FFFFFF" strokeweight="0.4752pt"/>
            </w:pict>
          </mc:Fallback>
        </mc:AlternateConten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Intra-segment and Inter-segment Revenues</w:t>
      </w:r>
    </w:p>
    <w:p>
      <w:pPr>
        <w:spacing w:after="0" w:line="248" w:lineRule="exact"/>
        <w:rPr>
          <w:sz w:val="20"/>
          <w:szCs w:val="20"/>
          <w:color w:val="auto"/>
        </w:rPr>
      </w:pPr>
    </w:p>
    <w:p>
      <w:pPr>
        <w:jc w:val="both"/>
        <w:ind w:right="100"/>
        <w:spacing w:after="0" w:line="232" w:lineRule="auto"/>
        <w:rPr>
          <w:sz w:val="20"/>
          <w:szCs w:val="20"/>
          <w:color w:val="auto"/>
        </w:rPr>
      </w:pPr>
      <w:r>
        <w:rPr>
          <w:rFonts w:ascii="Arial" w:cs="Arial" w:eastAsia="Arial" w:hAnsi="Arial"/>
          <w:sz w:val="20"/>
          <w:szCs w:val="20"/>
          <w:color w:val="auto"/>
        </w:rPr>
        <w:t>The Company has divisions that sell to each other within segments (intra-segment sales) and between segments (inter-segment sales),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11"/>
          </w:tcPr>
          <w:p>
            <w:pPr>
              <w:jc w:val="center"/>
              <w:ind w:right="340"/>
              <w:spacing w:after="0"/>
              <w:rPr>
                <w:sz w:val="20"/>
                <w:szCs w:val="20"/>
                <w:color w:val="auto"/>
              </w:rPr>
            </w:pPr>
            <w:r>
              <w:rPr>
                <w:rFonts w:ascii="Arial" w:cs="Arial" w:eastAsia="Arial" w:hAnsi="Arial"/>
                <w:sz w:val="16"/>
                <w:szCs w:val="16"/>
                <w:b w:val="1"/>
                <w:bCs w:val="1"/>
                <w:color w:val="auto"/>
                <w:w w:val="90"/>
              </w:rPr>
              <w:t>Year Ended December 31, 2023</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ind w:left="280"/>
              <w:spacing w:after="0" w:line="172" w:lineRule="exact"/>
              <w:rPr>
                <w:sz w:val="20"/>
                <w:szCs w:val="20"/>
                <w:color w:val="auto"/>
              </w:rPr>
            </w:pPr>
            <w:r>
              <w:rPr>
                <w:rFonts w:ascii="Arial" w:cs="Arial" w:eastAsia="Arial" w:hAnsi="Arial"/>
                <w:sz w:val="16"/>
                <w:szCs w:val="16"/>
                <w:b w:val="1"/>
                <w:bCs w:val="1"/>
                <w:color w:val="auto"/>
              </w:rPr>
              <w:t>Less Inter-Segment Sales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line="173" w:lineRule="exact"/>
              <w:rPr>
                <w:sz w:val="20"/>
                <w:szCs w:val="20"/>
                <w:color w:val="auto"/>
              </w:rPr>
            </w:pPr>
            <w:r>
              <w:rPr>
                <w:rFonts w:ascii="Arial" w:cs="Arial" w:eastAsia="Arial" w:hAnsi="Arial"/>
                <w:sz w:val="16"/>
                <w:szCs w:val="16"/>
                <w:b w:val="1"/>
                <w:bCs w:val="1"/>
                <w:color w:val="auto"/>
                <w:w w:val="94"/>
              </w:rPr>
              <w:t>Industrial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1"/>
              <w:spacing w:after="0" w:line="173" w:lineRule="exact"/>
              <w:rPr>
                <w:sz w:val="20"/>
                <w:szCs w:val="20"/>
                <w:color w:val="auto"/>
              </w:rPr>
            </w:pPr>
            <w:r>
              <w:rPr>
                <w:rFonts w:ascii="Arial" w:cs="Arial" w:eastAsia="Arial" w:hAnsi="Arial"/>
                <w:sz w:val="16"/>
                <w:szCs w:val="16"/>
                <w:b w:val="1"/>
                <w:bCs w:val="1"/>
                <w:color w:val="auto"/>
                <w:w w:val="85"/>
              </w:rPr>
              <w:t>Net Sales to</w:t>
            </w:r>
          </w:p>
        </w:tc>
        <w:tc>
          <w:tcPr>
            <w:tcW w:w="100" w:type="dxa"/>
            <w:vAlign w:val="bottom"/>
          </w:tcPr>
          <w:p>
            <w:pPr>
              <w:spacing w:after="0"/>
              <w:rPr>
                <w:sz w:val="15"/>
                <w:szCs w:val="15"/>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auto"/>
              </w:rPr>
              <w:t>Intra-Segment</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3" w:lineRule="exact"/>
              <w:rPr>
                <w:sz w:val="20"/>
                <w:szCs w:val="20"/>
                <w:color w:val="auto"/>
              </w:rPr>
            </w:pPr>
            <w:r>
              <w:rPr>
                <w:rFonts w:ascii="Arial" w:cs="Arial" w:eastAsia="Arial" w:hAnsi="Arial"/>
                <w:sz w:val="16"/>
                <w:szCs w:val="16"/>
                <w:b w:val="1"/>
                <w:bCs w:val="1"/>
                <w:color w:val="auto"/>
                <w:w w:val="80"/>
              </w:rPr>
              <w:t>Process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40"/>
              <w:spacing w:after="0" w:line="183" w:lineRule="exact"/>
              <w:rPr>
                <w:sz w:val="20"/>
                <w:szCs w:val="20"/>
                <w:color w:val="auto"/>
              </w:rPr>
            </w:pPr>
            <w:r>
              <w:rPr>
                <w:rFonts w:ascii="Arial" w:cs="Arial" w:eastAsia="Arial" w:hAnsi="Arial"/>
                <w:sz w:val="16"/>
                <w:szCs w:val="16"/>
                <w:b w:val="1"/>
                <w:bCs w:val="1"/>
                <w:color w:val="auto"/>
                <w:w w:val="89"/>
              </w:rPr>
              <w:t>Engineered</w:t>
            </w:r>
          </w:p>
        </w:tc>
        <w:tc>
          <w:tcPr>
            <w:tcW w:w="100" w:type="dxa"/>
            <w:vAlign w:val="bottom"/>
          </w:tcPr>
          <w:p>
            <w:pPr>
              <w:spacing w:after="0"/>
              <w:rPr>
                <w:sz w:val="15"/>
                <w:szCs w:val="15"/>
                <w:color w:val="auto"/>
              </w:rPr>
            </w:pPr>
          </w:p>
        </w:tc>
        <w:tc>
          <w:tcPr>
            <w:tcW w:w="920" w:type="dxa"/>
            <w:vAlign w:val="bottom"/>
          </w:tcPr>
          <w:p>
            <w:pPr>
              <w:jc w:val="center"/>
              <w:ind w:right="11"/>
              <w:spacing w:after="0" w:line="183" w:lineRule="exact"/>
              <w:rPr>
                <w:sz w:val="20"/>
                <w:szCs w:val="20"/>
                <w:color w:val="auto"/>
              </w:rPr>
            </w:pPr>
            <w:r>
              <w:rPr>
                <w:rFonts w:ascii="Arial" w:cs="Arial" w:eastAsia="Arial" w:hAnsi="Arial"/>
                <w:sz w:val="16"/>
                <w:szCs w:val="16"/>
                <w:b w:val="1"/>
                <w:bCs w:val="1"/>
                <w:color w:val="auto"/>
                <w:w w:val="90"/>
              </w:rPr>
              <w:t>Outside</w:t>
            </w:r>
          </w:p>
        </w:tc>
        <w:tc>
          <w:tcPr>
            <w:tcW w:w="100" w:type="dxa"/>
            <w:vAlign w:val="bottom"/>
          </w:tcPr>
          <w:p>
            <w:pPr>
              <w:spacing w:after="0"/>
              <w:rPr>
                <w:sz w:val="15"/>
                <w:szCs w:val="15"/>
                <w:color w:val="auto"/>
              </w:rPr>
            </w:pPr>
          </w:p>
        </w:tc>
      </w:tr>
      <w:tr>
        <w:trPr>
          <w:trHeight w:val="180"/>
        </w:trPr>
        <w:tc>
          <w:tcPr>
            <w:tcW w:w="4500" w:type="dxa"/>
            <w:vAlign w:val="bottom"/>
          </w:tcPr>
          <w:p>
            <w:pPr>
              <w:spacing w:after="0" w:line="181"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46"/>
              <w:spacing w:after="0" w:line="181" w:lineRule="exact"/>
              <w:rPr>
                <w:sz w:val="20"/>
                <w:szCs w:val="20"/>
                <w:color w:val="auto"/>
              </w:rPr>
            </w:pPr>
            <w:r>
              <w:rPr>
                <w:rFonts w:ascii="Arial" w:cs="Arial" w:eastAsia="Arial" w:hAnsi="Arial"/>
                <w:sz w:val="16"/>
                <w:szCs w:val="16"/>
                <w:b w:val="1"/>
                <w:bCs w:val="1"/>
                <w:color w:val="auto"/>
                <w:w w:val="87"/>
              </w:rPr>
              <w:t>Total Sales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220"/>
              <w:spacing w:after="0" w:line="181" w:lineRule="exact"/>
              <w:rPr>
                <w:sz w:val="20"/>
                <w:szCs w:val="20"/>
                <w:color w:val="auto"/>
              </w:rPr>
            </w:pPr>
            <w:r>
              <w:rPr>
                <w:rFonts w:ascii="Arial" w:cs="Arial" w:eastAsia="Arial" w:hAnsi="Arial"/>
                <w:sz w:val="16"/>
                <w:szCs w:val="16"/>
                <w:b w:val="1"/>
                <w:bCs w:val="1"/>
                <w:color w:val="auto"/>
              </w:rPr>
              <w:t>Sales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84"/>
              </w:rPr>
              <w:t>Solutions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40"/>
              <w:spacing w:after="0" w:line="181" w:lineRule="exact"/>
              <w:rPr>
                <w:sz w:val="20"/>
                <w:szCs w:val="20"/>
                <w:color w:val="auto"/>
              </w:rPr>
            </w:pPr>
            <w:r>
              <w:rPr>
                <w:rFonts w:ascii="Arial" w:cs="Arial" w:eastAsia="Arial" w:hAnsi="Arial"/>
                <w:sz w:val="16"/>
                <w:szCs w:val="16"/>
                <w:b w:val="1"/>
                <w:bCs w:val="1"/>
                <w:color w:val="auto"/>
                <w:w w:val="81"/>
              </w:rPr>
              <w:t>Systems</w:t>
            </w:r>
          </w:p>
        </w:tc>
        <w:tc>
          <w:tcPr>
            <w:tcW w:w="100" w:type="dxa"/>
            <w:vAlign w:val="bottom"/>
          </w:tcPr>
          <w:p>
            <w:pPr>
              <w:spacing w:after="0"/>
              <w:rPr>
                <w:sz w:val="15"/>
                <w:szCs w:val="15"/>
                <w:color w:val="auto"/>
              </w:rPr>
            </w:pPr>
          </w:p>
        </w:tc>
        <w:tc>
          <w:tcPr>
            <w:tcW w:w="920" w:type="dxa"/>
            <w:vAlign w:val="bottom"/>
          </w:tcPr>
          <w:p>
            <w:pPr>
              <w:jc w:val="center"/>
              <w:ind w:right="11"/>
              <w:spacing w:after="0" w:line="181" w:lineRule="exact"/>
              <w:rPr>
                <w:sz w:val="20"/>
                <w:szCs w:val="20"/>
                <w:color w:val="auto"/>
              </w:rPr>
            </w:pPr>
            <w:r>
              <w:rPr>
                <w:rFonts w:ascii="Arial" w:cs="Arial" w:eastAsia="Arial" w:hAnsi="Arial"/>
                <w:sz w:val="16"/>
                <w:szCs w:val="16"/>
                <w:b w:val="1"/>
                <w:bCs w:val="1"/>
                <w:color w:val="auto"/>
                <w:w w:val="88"/>
              </w:rPr>
              <w:t>Customers</w:t>
            </w:r>
          </w:p>
        </w:tc>
        <w:tc>
          <w:tcPr>
            <w:tcW w:w="100" w:type="dxa"/>
            <w:vAlign w:val="bottom"/>
          </w:tcPr>
          <w:p>
            <w:pPr>
              <w:spacing w:after="0"/>
              <w:rPr>
                <w:sz w:val="15"/>
                <w:szCs w:val="15"/>
                <w:color w:val="auto"/>
              </w:rPr>
            </w:pPr>
          </w:p>
        </w:tc>
      </w:tr>
      <w:tr>
        <w:trPr>
          <w:trHeight w:val="218"/>
        </w:trPr>
        <w:tc>
          <w:tcPr>
            <w:tcW w:w="450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Net Sales</w:t>
            </w:r>
          </w:p>
        </w:tc>
        <w:tc>
          <w:tcPr>
            <w:tcW w:w="1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9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4500" w:type="dxa"/>
            <w:vAlign w:val="bottom"/>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22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412,929</w:t>
            </w:r>
          </w:p>
        </w:tc>
        <w:tc>
          <w:tcPr>
            <w:tcW w:w="340" w:type="dxa"/>
            <w:vAlign w:val="bottom"/>
            <w:gridSpan w:val="2"/>
          </w:tcPr>
          <w:p>
            <w:pPr>
              <w:ind w:left="220"/>
              <w:spacing w:after="0" w:line="228" w:lineRule="exact"/>
              <w:rPr>
                <w:sz w:val="20"/>
                <w:szCs w:val="20"/>
                <w:color w:val="auto"/>
              </w:rPr>
            </w:pPr>
            <w:r>
              <w:rPr>
                <w:rFonts w:ascii="Arial" w:cs="Arial" w:eastAsia="Arial" w:hAnsi="Arial"/>
                <w:sz w:val="20"/>
                <w:szCs w:val="20"/>
                <w:color w:val="auto"/>
                <w:w w:val="89"/>
              </w:rPr>
              <w:t>$</w:t>
            </w:r>
          </w:p>
        </w:tc>
        <w:tc>
          <w:tcPr>
            <w:tcW w:w="1120" w:type="dxa"/>
            <w:vAlign w:val="bottom"/>
            <w:gridSpan w:val="2"/>
          </w:tcPr>
          <w:p>
            <w:pPr>
              <w:ind w:left="280"/>
              <w:spacing w:after="0" w:line="228" w:lineRule="exact"/>
              <w:rPr>
                <w:sz w:val="20"/>
                <w:szCs w:val="20"/>
                <w:color w:val="auto"/>
              </w:rPr>
            </w:pPr>
            <w:r>
              <w:rPr>
                <w:rFonts w:ascii="Arial" w:cs="Arial" w:eastAsia="Arial" w:hAnsi="Arial"/>
                <w:sz w:val="20"/>
                <w:szCs w:val="20"/>
                <w:color w:val="auto"/>
              </w:rPr>
              <w:t>(31,402)</w:t>
            </w:r>
          </w:p>
        </w:tc>
        <w:tc>
          <w:tcPr>
            <w:tcW w:w="12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(1,419)</w:t>
            </w:r>
          </w:p>
        </w:tc>
        <w:tc>
          <w:tcPr>
            <w:tcW w:w="2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auto"/>
              </w:rPr>
              <w:t>$</w:t>
            </w:r>
          </w:p>
        </w:tc>
        <w:tc>
          <w:tcPr>
            <w:tcW w:w="1120" w:type="dxa"/>
            <w:vAlign w:val="bottom"/>
            <w:gridSpan w:val="3"/>
          </w:tcPr>
          <w:p>
            <w:pPr>
              <w:jc w:val="right"/>
              <w:ind w:right="22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line="228" w:lineRule="exact"/>
              <w:rPr>
                <w:sz w:val="20"/>
                <w:szCs w:val="20"/>
                <w:color w:val="auto"/>
              </w:rPr>
            </w:pPr>
            <w:r>
              <w:rPr>
                <w:rFonts w:ascii="Arial" w:cs="Arial" w:eastAsia="Arial" w:hAnsi="Arial"/>
                <w:sz w:val="20"/>
                <w:szCs w:val="20"/>
                <w:color w:val="auto"/>
              </w:rPr>
              <w:t>380,108</w:t>
            </w:r>
          </w:p>
        </w:tc>
        <w:tc>
          <w:tcPr>
            <w:tcW w:w="100" w:type="dxa"/>
            <w:vAlign w:val="bottom"/>
          </w:tcPr>
          <w:p>
            <w:pPr>
              <w:spacing w:after="0"/>
              <w:rPr>
                <w:sz w:val="19"/>
                <w:szCs w:val="19"/>
                <w:color w:val="auto"/>
              </w:rPr>
            </w:pPr>
          </w:p>
        </w:tc>
      </w:tr>
      <w:tr>
        <w:trPr>
          <w:trHeight w:val="228"/>
        </w:trPr>
        <w:tc>
          <w:tcPr>
            <w:tcW w:w="450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183,011</w:t>
            </w:r>
          </w:p>
        </w:tc>
        <w:tc>
          <w:tcPr>
            <w:tcW w:w="2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ind w:left="280"/>
              <w:spacing w:after="0" w:line="228" w:lineRule="exact"/>
              <w:rPr>
                <w:sz w:val="20"/>
                <w:szCs w:val="20"/>
                <w:color w:val="auto"/>
              </w:rPr>
            </w:pPr>
            <w:r>
              <w:rPr>
                <w:rFonts w:ascii="Arial" w:cs="Arial" w:eastAsia="Arial" w:hAnsi="Arial"/>
                <w:sz w:val="20"/>
                <w:szCs w:val="20"/>
                <w:color w:val="auto"/>
                <w:w w:val="80"/>
              </w:rPr>
              <w:t>(17,489)</w:t>
            </w:r>
          </w:p>
        </w:tc>
        <w:tc>
          <w:tcPr>
            <w:tcW w:w="2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(785)</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164,737</w:t>
            </w:r>
          </w:p>
        </w:tc>
        <w:tc>
          <w:tcPr>
            <w:tcW w:w="100" w:type="dxa"/>
            <w:vAlign w:val="bottom"/>
            <w:shd w:val="clear" w:color="auto" w:fill="E9E9E9"/>
          </w:tcPr>
          <w:p>
            <w:pPr>
              <w:spacing w:after="0"/>
              <w:rPr>
                <w:sz w:val="19"/>
                <w:szCs w:val="19"/>
                <w:color w:val="auto"/>
              </w:rPr>
            </w:pPr>
          </w:p>
        </w:tc>
      </w:tr>
      <w:tr>
        <w:trPr>
          <w:trHeight w:val="219"/>
        </w:trPr>
        <w:tc>
          <w:tcPr>
            <w:tcW w:w="4500" w:type="dxa"/>
            <w:vAlign w:val="bottom"/>
          </w:tcPr>
          <w:p>
            <w:pPr>
              <w:ind w:left="400"/>
              <w:spacing w:after="0" w:line="217" w:lineRule="exact"/>
              <w:rPr>
                <w:sz w:val="20"/>
                <w:szCs w:val="20"/>
                <w:color w:val="auto"/>
              </w:rPr>
            </w:pPr>
            <w:r>
              <w:rPr>
                <w:rFonts w:ascii="Arial" w:cs="Arial" w:eastAsia="Arial" w:hAnsi="Arial"/>
                <w:sz w:val="20"/>
                <w:szCs w:val="20"/>
                <w:color w:val="auto"/>
              </w:rPr>
              <w:t>Total net sales</w:t>
            </w:r>
          </w:p>
        </w:tc>
        <w:tc>
          <w:tcPr>
            <w:tcW w:w="220" w:type="dxa"/>
            <w:vAlign w:val="bottom"/>
            <w:gridSpan w:val="2"/>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17" w:lineRule="exact"/>
              <w:rPr>
                <w:sz w:val="20"/>
                <w:szCs w:val="20"/>
                <w:color w:val="auto"/>
              </w:rPr>
            </w:pPr>
            <w:r>
              <w:rPr>
                <w:rFonts w:ascii="Arial" w:cs="Arial" w:eastAsia="Arial" w:hAnsi="Arial"/>
                <w:sz w:val="20"/>
                <w:szCs w:val="20"/>
                <w:color w:val="auto"/>
              </w:rPr>
              <w:t>595,940</w:t>
            </w:r>
          </w:p>
        </w:tc>
        <w:tc>
          <w:tcPr>
            <w:tcW w:w="340" w:type="dxa"/>
            <w:vAlign w:val="bottom"/>
            <w:gridSpan w:val="2"/>
          </w:tcPr>
          <w:p>
            <w:pPr>
              <w:ind w:left="220"/>
              <w:spacing w:after="0" w:line="217" w:lineRule="exact"/>
              <w:rPr>
                <w:sz w:val="20"/>
                <w:szCs w:val="20"/>
                <w:color w:val="auto"/>
              </w:rPr>
            </w:pPr>
            <w:r>
              <w:rPr>
                <w:rFonts w:ascii="Arial" w:cs="Arial" w:eastAsia="Arial" w:hAnsi="Arial"/>
                <w:sz w:val="20"/>
                <w:szCs w:val="20"/>
                <w:color w:val="auto"/>
                <w:w w:val="89"/>
              </w:rPr>
              <w:t>$</w:t>
            </w:r>
          </w:p>
        </w:tc>
        <w:tc>
          <w:tcPr>
            <w:tcW w:w="1120" w:type="dxa"/>
            <w:vAlign w:val="bottom"/>
            <w:gridSpan w:val="2"/>
          </w:tcPr>
          <w:p>
            <w:pPr>
              <w:ind w:left="280"/>
              <w:spacing w:after="0" w:line="217" w:lineRule="exact"/>
              <w:rPr>
                <w:sz w:val="20"/>
                <w:szCs w:val="20"/>
                <w:color w:val="auto"/>
              </w:rPr>
            </w:pPr>
            <w:r>
              <w:rPr>
                <w:rFonts w:ascii="Arial" w:cs="Arial" w:eastAsia="Arial" w:hAnsi="Arial"/>
                <w:sz w:val="20"/>
                <w:szCs w:val="20"/>
                <w:color w:val="auto"/>
              </w:rPr>
              <w:t>(48,891)</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40"/>
              <w:spacing w:after="0" w:line="217" w:lineRule="exact"/>
              <w:rPr>
                <w:sz w:val="20"/>
                <w:szCs w:val="20"/>
                <w:color w:val="auto"/>
              </w:rPr>
            </w:pPr>
            <w:r>
              <w:rPr>
                <w:rFonts w:ascii="Arial" w:cs="Arial" w:eastAsia="Arial" w:hAnsi="Arial"/>
                <w:sz w:val="20"/>
                <w:szCs w:val="20"/>
                <w:color w:val="auto"/>
              </w:rPr>
              <w:t>(1,419)</w:t>
            </w:r>
          </w:p>
        </w:tc>
        <w:tc>
          <w:tcPr>
            <w:tcW w:w="240" w:type="dxa"/>
            <w:vAlign w:val="bottom"/>
            <w:gridSpan w:val="3"/>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40"/>
              <w:spacing w:after="0" w:line="217" w:lineRule="exact"/>
              <w:rPr>
                <w:sz w:val="20"/>
                <w:szCs w:val="20"/>
                <w:color w:val="auto"/>
              </w:rPr>
            </w:pPr>
            <w:r>
              <w:rPr>
                <w:rFonts w:ascii="Arial" w:cs="Arial" w:eastAsia="Arial" w:hAnsi="Arial"/>
                <w:sz w:val="20"/>
                <w:szCs w:val="20"/>
                <w:color w:val="auto"/>
              </w:rPr>
              <w:t>(785)</w:t>
            </w:r>
          </w:p>
        </w:tc>
        <w:tc>
          <w:tcPr>
            <w:tcW w:w="20" w:type="dxa"/>
            <w:vAlign w:val="bottom"/>
          </w:tcPr>
          <w:p>
            <w:pPr>
              <w:spacing w:after="0"/>
              <w:rPr>
                <w:sz w:val="19"/>
                <w:szCs w:val="19"/>
                <w:color w:val="auto"/>
              </w:rPr>
            </w:pPr>
          </w:p>
        </w:tc>
        <w:tc>
          <w:tcPr>
            <w:tcW w:w="10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line="217" w:lineRule="exact"/>
              <w:rPr>
                <w:sz w:val="20"/>
                <w:szCs w:val="20"/>
                <w:color w:val="auto"/>
              </w:rPr>
            </w:pPr>
            <w:r>
              <w:rPr>
                <w:rFonts w:ascii="Arial" w:cs="Arial" w:eastAsia="Arial" w:hAnsi="Arial"/>
                <w:sz w:val="20"/>
                <w:szCs w:val="20"/>
                <w:color w:val="auto"/>
              </w:rPr>
              <w:t>544,845</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-1092200</wp:posOffset>
                </wp:positionV>
                <wp:extent cx="7112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86pt" to="534.4pt,-86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3569335</wp:posOffset>
                </wp:positionH>
                <wp:positionV relativeFrom="paragraph">
                  <wp:posOffset>-175895</wp:posOffset>
                </wp:positionV>
                <wp:extent cx="14351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51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05pt,-13.8499pt" to="292.35pt,-13.8499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-175895</wp:posOffset>
                </wp:positionV>
                <wp:extent cx="7112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3.8499pt" to="534.4pt,-13.8499pt" o:allowincell="f" strokecolor="#FFFFFF" strokeweight="0.475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F-34</w:t>
      </w:r>
    </w:p>
    <w:p>
      <w:pPr>
        <w:sectPr>
          <w:pgSz w:w="11880" w:h="15480" w:orient="portrait"/>
          <w:cols w:equalWidth="0" w:num="1">
            <w:col w:w="10680"/>
          </w:cols>
          <w:pgMar w:left="600" w:top="849" w:right="600" w:bottom="46"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11"/>
          </w:tcPr>
          <w:p>
            <w:pPr>
              <w:jc w:val="center"/>
              <w:ind w:right="340"/>
              <w:spacing w:after="0"/>
              <w:rPr>
                <w:sz w:val="20"/>
                <w:szCs w:val="20"/>
                <w:color w:val="auto"/>
              </w:rPr>
            </w:pPr>
            <w:r>
              <w:rPr>
                <w:rFonts w:ascii="Arial" w:cs="Arial" w:eastAsia="Arial" w:hAnsi="Arial"/>
                <w:sz w:val="16"/>
                <w:szCs w:val="16"/>
                <w:b w:val="1"/>
                <w:bCs w:val="1"/>
                <w:color w:val="auto"/>
                <w:w w:val="90"/>
              </w:rPr>
              <w:t>Year Ended December 31, 2022</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280"/>
              <w:spacing w:after="0" w:line="173" w:lineRule="exact"/>
              <w:rPr>
                <w:sz w:val="20"/>
                <w:szCs w:val="20"/>
                <w:color w:val="auto"/>
              </w:rPr>
            </w:pPr>
            <w:r>
              <w:rPr>
                <w:rFonts w:ascii="Arial" w:cs="Arial" w:eastAsia="Arial" w:hAnsi="Arial"/>
                <w:sz w:val="16"/>
                <w:szCs w:val="16"/>
                <w:b w:val="1"/>
                <w:bCs w:val="1"/>
                <w:color w:val="auto"/>
              </w:rPr>
              <w:t>Less Inter-Segment Sales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line="173" w:lineRule="exact"/>
              <w:rPr>
                <w:sz w:val="20"/>
                <w:szCs w:val="20"/>
                <w:color w:val="auto"/>
              </w:rPr>
            </w:pPr>
            <w:r>
              <w:rPr>
                <w:rFonts w:ascii="Arial" w:cs="Arial" w:eastAsia="Arial" w:hAnsi="Arial"/>
                <w:sz w:val="16"/>
                <w:szCs w:val="16"/>
                <w:b w:val="1"/>
                <w:bCs w:val="1"/>
                <w:color w:val="auto"/>
                <w:w w:val="94"/>
              </w:rPr>
              <w:t>Industrial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1"/>
              <w:spacing w:after="0" w:line="173" w:lineRule="exact"/>
              <w:rPr>
                <w:sz w:val="20"/>
                <w:szCs w:val="20"/>
                <w:color w:val="auto"/>
              </w:rPr>
            </w:pPr>
            <w:r>
              <w:rPr>
                <w:rFonts w:ascii="Arial" w:cs="Arial" w:eastAsia="Arial" w:hAnsi="Arial"/>
                <w:sz w:val="16"/>
                <w:szCs w:val="16"/>
                <w:b w:val="1"/>
                <w:bCs w:val="1"/>
                <w:color w:val="auto"/>
                <w:w w:val="85"/>
              </w:rPr>
              <w:t>Net Sales to</w:t>
            </w:r>
          </w:p>
        </w:tc>
        <w:tc>
          <w:tcPr>
            <w:tcW w:w="100" w:type="dxa"/>
            <w:vAlign w:val="bottom"/>
          </w:tcPr>
          <w:p>
            <w:pPr>
              <w:spacing w:after="0"/>
              <w:rPr>
                <w:sz w:val="15"/>
                <w:szCs w:val="15"/>
                <w:color w:val="auto"/>
              </w:rPr>
            </w:pPr>
          </w:p>
        </w:tc>
      </w:tr>
      <w:tr>
        <w:trPr>
          <w:trHeight w:val="18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Intra-Segment</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3" w:lineRule="exact"/>
              <w:rPr>
                <w:sz w:val="20"/>
                <w:szCs w:val="20"/>
                <w:color w:val="auto"/>
              </w:rPr>
            </w:pPr>
            <w:r>
              <w:rPr>
                <w:rFonts w:ascii="Arial" w:cs="Arial" w:eastAsia="Arial" w:hAnsi="Arial"/>
                <w:sz w:val="16"/>
                <w:szCs w:val="16"/>
                <w:b w:val="1"/>
                <w:bCs w:val="1"/>
                <w:color w:val="auto"/>
                <w:w w:val="80"/>
              </w:rPr>
              <w:t>Process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40"/>
              <w:spacing w:after="0" w:line="183" w:lineRule="exact"/>
              <w:rPr>
                <w:sz w:val="20"/>
                <w:szCs w:val="20"/>
                <w:color w:val="auto"/>
              </w:rPr>
            </w:pPr>
            <w:r>
              <w:rPr>
                <w:rFonts w:ascii="Arial" w:cs="Arial" w:eastAsia="Arial" w:hAnsi="Arial"/>
                <w:sz w:val="16"/>
                <w:szCs w:val="16"/>
                <w:b w:val="1"/>
                <w:bCs w:val="1"/>
                <w:color w:val="auto"/>
                <w:w w:val="89"/>
              </w:rPr>
              <w:t>Engineered</w:t>
            </w:r>
          </w:p>
        </w:tc>
        <w:tc>
          <w:tcPr>
            <w:tcW w:w="100" w:type="dxa"/>
            <w:vAlign w:val="bottom"/>
          </w:tcPr>
          <w:p>
            <w:pPr>
              <w:spacing w:after="0"/>
              <w:rPr>
                <w:sz w:val="15"/>
                <w:szCs w:val="15"/>
                <w:color w:val="auto"/>
              </w:rPr>
            </w:pPr>
          </w:p>
        </w:tc>
        <w:tc>
          <w:tcPr>
            <w:tcW w:w="920" w:type="dxa"/>
            <w:vAlign w:val="bottom"/>
          </w:tcPr>
          <w:p>
            <w:pPr>
              <w:jc w:val="center"/>
              <w:ind w:right="11"/>
              <w:spacing w:after="0" w:line="183" w:lineRule="exact"/>
              <w:rPr>
                <w:sz w:val="20"/>
                <w:szCs w:val="20"/>
                <w:color w:val="auto"/>
              </w:rPr>
            </w:pPr>
            <w:r>
              <w:rPr>
                <w:rFonts w:ascii="Arial" w:cs="Arial" w:eastAsia="Arial" w:hAnsi="Arial"/>
                <w:sz w:val="16"/>
                <w:szCs w:val="16"/>
                <w:b w:val="1"/>
                <w:bCs w:val="1"/>
                <w:color w:val="auto"/>
                <w:w w:val="90"/>
              </w:rPr>
              <w:t>Outside</w:t>
            </w:r>
          </w:p>
        </w:tc>
        <w:tc>
          <w:tcPr>
            <w:tcW w:w="100" w:type="dxa"/>
            <w:vAlign w:val="bottom"/>
          </w:tcPr>
          <w:p>
            <w:pPr>
              <w:spacing w:after="0"/>
              <w:rPr>
                <w:sz w:val="15"/>
                <w:szCs w:val="15"/>
                <w:color w:val="auto"/>
              </w:rPr>
            </w:pPr>
          </w:p>
        </w:tc>
      </w:tr>
      <w:tr>
        <w:trPr>
          <w:trHeight w:val="180"/>
        </w:trPr>
        <w:tc>
          <w:tcPr>
            <w:tcW w:w="4500" w:type="dxa"/>
            <w:vAlign w:val="bottom"/>
          </w:tcPr>
          <w:p>
            <w:pPr>
              <w:spacing w:after="0" w:line="180"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46"/>
              <w:spacing w:after="0" w:line="180" w:lineRule="exact"/>
              <w:rPr>
                <w:sz w:val="20"/>
                <w:szCs w:val="20"/>
                <w:color w:val="auto"/>
              </w:rPr>
            </w:pPr>
            <w:r>
              <w:rPr>
                <w:rFonts w:ascii="Arial" w:cs="Arial" w:eastAsia="Arial" w:hAnsi="Arial"/>
                <w:sz w:val="16"/>
                <w:szCs w:val="16"/>
                <w:b w:val="1"/>
                <w:bCs w:val="1"/>
                <w:color w:val="auto"/>
                <w:w w:val="87"/>
              </w:rPr>
              <w:t>Total Sales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78"/>
              <w:spacing w:after="0" w:line="180" w:lineRule="exact"/>
              <w:rPr>
                <w:sz w:val="20"/>
                <w:szCs w:val="20"/>
                <w:color w:val="auto"/>
              </w:rPr>
            </w:pPr>
            <w:r>
              <w:rPr>
                <w:rFonts w:ascii="Arial" w:cs="Arial" w:eastAsia="Arial" w:hAnsi="Arial"/>
                <w:sz w:val="16"/>
                <w:szCs w:val="16"/>
                <w:b w:val="1"/>
                <w:bCs w:val="1"/>
                <w:color w:val="auto"/>
              </w:rPr>
              <w:t>Sales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84"/>
              </w:rPr>
              <w:t>Solutions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40"/>
              <w:spacing w:after="0" w:line="180" w:lineRule="exact"/>
              <w:rPr>
                <w:sz w:val="20"/>
                <w:szCs w:val="20"/>
                <w:color w:val="auto"/>
              </w:rPr>
            </w:pPr>
            <w:r>
              <w:rPr>
                <w:rFonts w:ascii="Arial" w:cs="Arial" w:eastAsia="Arial" w:hAnsi="Arial"/>
                <w:sz w:val="16"/>
                <w:szCs w:val="16"/>
                <w:b w:val="1"/>
                <w:bCs w:val="1"/>
                <w:color w:val="auto"/>
                <w:w w:val="81"/>
              </w:rPr>
              <w:t>Systems</w:t>
            </w:r>
          </w:p>
        </w:tc>
        <w:tc>
          <w:tcPr>
            <w:tcW w:w="100" w:type="dxa"/>
            <w:vAlign w:val="bottom"/>
          </w:tcPr>
          <w:p>
            <w:pPr>
              <w:spacing w:after="0"/>
              <w:rPr>
                <w:sz w:val="15"/>
                <w:szCs w:val="15"/>
                <w:color w:val="auto"/>
              </w:rPr>
            </w:pPr>
          </w:p>
        </w:tc>
        <w:tc>
          <w:tcPr>
            <w:tcW w:w="920" w:type="dxa"/>
            <w:vAlign w:val="bottom"/>
          </w:tcPr>
          <w:p>
            <w:pPr>
              <w:jc w:val="center"/>
              <w:ind w:right="11"/>
              <w:spacing w:after="0" w:line="180" w:lineRule="exact"/>
              <w:rPr>
                <w:sz w:val="20"/>
                <w:szCs w:val="20"/>
                <w:color w:val="auto"/>
              </w:rPr>
            </w:pPr>
            <w:r>
              <w:rPr>
                <w:rFonts w:ascii="Arial" w:cs="Arial" w:eastAsia="Arial" w:hAnsi="Arial"/>
                <w:sz w:val="16"/>
                <w:szCs w:val="16"/>
                <w:b w:val="1"/>
                <w:bCs w:val="1"/>
                <w:color w:val="auto"/>
                <w:w w:val="88"/>
              </w:rPr>
              <w:t>Customers</w:t>
            </w:r>
          </w:p>
        </w:tc>
        <w:tc>
          <w:tcPr>
            <w:tcW w:w="100" w:type="dxa"/>
            <w:vAlign w:val="bottom"/>
          </w:tcPr>
          <w:p>
            <w:pPr>
              <w:spacing w:after="0"/>
              <w:rPr>
                <w:sz w:val="15"/>
                <w:szCs w:val="15"/>
                <w:color w:val="auto"/>
              </w:rPr>
            </w:pPr>
          </w:p>
        </w:tc>
      </w:tr>
      <w:tr>
        <w:trPr>
          <w:trHeight w:val="218"/>
        </w:trPr>
        <w:tc>
          <w:tcPr>
            <w:tcW w:w="450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Net Sales</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2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9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4500" w:type="dxa"/>
            <w:vAlign w:val="bottom"/>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22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278,354</w:t>
            </w:r>
          </w:p>
        </w:tc>
        <w:tc>
          <w:tcPr>
            <w:tcW w:w="340" w:type="dxa"/>
            <w:vAlign w:val="bottom"/>
            <w:gridSpan w:val="3"/>
          </w:tcPr>
          <w:p>
            <w:pPr>
              <w:ind w:left="220"/>
              <w:spacing w:after="0" w:line="228" w:lineRule="exact"/>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ind w:right="78"/>
              <w:spacing w:after="0" w:line="228" w:lineRule="exact"/>
              <w:rPr>
                <w:sz w:val="20"/>
                <w:szCs w:val="20"/>
                <w:color w:val="auto"/>
              </w:rPr>
            </w:pPr>
            <w:r>
              <w:rPr>
                <w:rFonts w:ascii="Arial" w:cs="Arial" w:eastAsia="Arial" w:hAnsi="Arial"/>
                <w:sz w:val="20"/>
                <w:szCs w:val="20"/>
                <w:color w:val="auto"/>
              </w:rPr>
              <w:t>(14,088)</w:t>
            </w:r>
          </w:p>
        </w:tc>
        <w:tc>
          <w:tcPr>
            <w:tcW w:w="12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(1,042)</w:t>
            </w:r>
          </w:p>
        </w:tc>
        <w:tc>
          <w:tcPr>
            <w:tcW w:w="2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auto"/>
              </w:rPr>
              <w:t>$</w:t>
            </w:r>
          </w:p>
        </w:tc>
        <w:tc>
          <w:tcPr>
            <w:tcW w:w="1120" w:type="dxa"/>
            <w:vAlign w:val="bottom"/>
            <w:gridSpan w:val="3"/>
          </w:tcPr>
          <w:p>
            <w:pPr>
              <w:jc w:val="right"/>
              <w:ind w:right="22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line="228" w:lineRule="exact"/>
              <w:rPr>
                <w:sz w:val="20"/>
                <w:szCs w:val="20"/>
                <w:color w:val="auto"/>
              </w:rPr>
            </w:pPr>
            <w:r>
              <w:rPr>
                <w:rFonts w:ascii="Arial" w:cs="Arial" w:eastAsia="Arial" w:hAnsi="Arial"/>
                <w:sz w:val="20"/>
                <w:szCs w:val="20"/>
                <w:color w:val="auto"/>
              </w:rPr>
              <w:t>263,224</w:t>
            </w:r>
          </w:p>
        </w:tc>
        <w:tc>
          <w:tcPr>
            <w:tcW w:w="100" w:type="dxa"/>
            <w:vAlign w:val="bottom"/>
          </w:tcPr>
          <w:p>
            <w:pPr>
              <w:spacing w:after="0"/>
              <w:rPr>
                <w:sz w:val="19"/>
                <w:szCs w:val="19"/>
                <w:color w:val="auto"/>
              </w:rPr>
            </w:pPr>
          </w:p>
        </w:tc>
      </w:tr>
      <w:tr>
        <w:trPr>
          <w:trHeight w:val="228"/>
        </w:trPr>
        <w:tc>
          <w:tcPr>
            <w:tcW w:w="450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165,220</w:t>
            </w:r>
          </w:p>
        </w:tc>
        <w:tc>
          <w:tcPr>
            <w:tcW w:w="2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(5,536)</w:t>
            </w:r>
          </w:p>
        </w:tc>
        <w:tc>
          <w:tcPr>
            <w:tcW w:w="2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(281)</w:t>
            </w:r>
          </w:p>
        </w:tc>
        <w:tc>
          <w:tcPr>
            <w:tcW w:w="2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159,403</w:t>
            </w:r>
          </w:p>
        </w:tc>
        <w:tc>
          <w:tcPr>
            <w:tcW w:w="100" w:type="dxa"/>
            <w:vAlign w:val="bottom"/>
            <w:shd w:val="clear" w:color="auto" w:fill="E9E9E9"/>
          </w:tcPr>
          <w:p>
            <w:pPr>
              <w:spacing w:after="0"/>
              <w:rPr>
                <w:sz w:val="19"/>
                <w:szCs w:val="19"/>
                <w:color w:val="auto"/>
              </w:rPr>
            </w:pPr>
          </w:p>
        </w:tc>
      </w:tr>
      <w:tr>
        <w:trPr>
          <w:trHeight w:val="219"/>
        </w:trPr>
        <w:tc>
          <w:tcPr>
            <w:tcW w:w="4500" w:type="dxa"/>
            <w:vAlign w:val="bottom"/>
          </w:tcPr>
          <w:p>
            <w:pPr>
              <w:ind w:left="400"/>
              <w:spacing w:after="0" w:line="217" w:lineRule="exact"/>
              <w:rPr>
                <w:sz w:val="20"/>
                <w:szCs w:val="20"/>
                <w:color w:val="auto"/>
              </w:rPr>
            </w:pPr>
            <w:r>
              <w:rPr>
                <w:rFonts w:ascii="Arial" w:cs="Arial" w:eastAsia="Arial" w:hAnsi="Arial"/>
                <w:sz w:val="20"/>
                <w:szCs w:val="20"/>
                <w:color w:val="auto"/>
              </w:rPr>
              <w:t>Total net sales</w:t>
            </w:r>
          </w:p>
        </w:tc>
        <w:tc>
          <w:tcPr>
            <w:tcW w:w="220" w:type="dxa"/>
            <w:vAlign w:val="bottom"/>
            <w:gridSpan w:val="3"/>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17" w:lineRule="exact"/>
              <w:rPr>
                <w:sz w:val="20"/>
                <w:szCs w:val="20"/>
                <w:color w:val="auto"/>
              </w:rPr>
            </w:pPr>
            <w:r>
              <w:rPr>
                <w:rFonts w:ascii="Arial" w:cs="Arial" w:eastAsia="Arial" w:hAnsi="Arial"/>
                <w:sz w:val="20"/>
                <w:szCs w:val="20"/>
                <w:color w:val="auto"/>
              </w:rPr>
              <w:t>443,574</w:t>
            </w:r>
          </w:p>
        </w:tc>
        <w:tc>
          <w:tcPr>
            <w:tcW w:w="340" w:type="dxa"/>
            <w:vAlign w:val="bottom"/>
            <w:gridSpan w:val="3"/>
          </w:tcPr>
          <w:p>
            <w:pPr>
              <w:ind w:left="220"/>
              <w:spacing w:after="0" w:line="217" w:lineRule="exact"/>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ind w:right="78"/>
              <w:spacing w:after="0" w:line="217" w:lineRule="exact"/>
              <w:rPr>
                <w:sz w:val="20"/>
                <w:szCs w:val="20"/>
                <w:color w:val="auto"/>
              </w:rPr>
            </w:pPr>
            <w:r>
              <w:rPr>
                <w:rFonts w:ascii="Arial" w:cs="Arial" w:eastAsia="Arial" w:hAnsi="Arial"/>
                <w:sz w:val="20"/>
                <w:szCs w:val="20"/>
                <w:color w:val="auto"/>
              </w:rPr>
              <w:t>(19,624)</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40"/>
              <w:spacing w:after="0" w:line="217" w:lineRule="exact"/>
              <w:rPr>
                <w:sz w:val="20"/>
                <w:szCs w:val="20"/>
                <w:color w:val="auto"/>
              </w:rPr>
            </w:pPr>
            <w:r>
              <w:rPr>
                <w:rFonts w:ascii="Arial" w:cs="Arial" w:eastAsia="Arial" w:hAnsi="Arial"/>
                <w:sz w:val="20"/>
                <w:szCs w:val="20"/>
                <w:color w:val="auto"/>
              </w:rPr>
              <w:t>(1,042)</w:t>
            </w:r>
          </w:p>
        </w:tc>
        <w:tc>
          <w:tcPr>
            <w:tcW w:w="240" w:type="dxa"/>
            <w:vAlign w:val="bottom"/>
            <w:gridSpan w:val="3"/>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58"/>
              <w:spacing w:after="0" w:line="217" w:lineRule="exact"/>
              <w:rPr>
                <w:sz w:val="20"/>
                <w:szCs w:val="20"/>
                <w:color w:val="auto"/>
              </w:rPr>
            </w:pPr>
            <w:r>
              <w:rPr>
                <w:rFonts w:ascii="Arial" w:cs="Arial" w:eastAsia="Arial" w:hAnsi="Arial"/>
                <w:sz w:val="20"/>
                <w:szCs w:val="20"/>
                <w:color w:val="auto"/>
              </w:rPr>
              <w:t>(281)</w:t>
            </w:r>
          </w:p>
        </w:tc>
        <w:tc>
          <w:tcPr>
            <w:tcW w:w="20" w:type="dxa"/>
            <w:vAlign w:val="bottom"/>
          </w:tcPr>
          <w:p>
            <w:pPr>
              <w:spacing w:after="0"/>
              <w:rPr>
                <w:sz w:val="19"/>
                <w:szCs w:val="19"/>
                <w:color w:val="auto"/>
              </w:rPr>
            </w:pPr>
          </w:p>
        </w:tc>
        <w:tc>
          <w:tcPr>
            <w:tcW w:w="10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line="217" w:lineRule="exact"/>
              <w:rPr>
                <w:sz w:val="20"/>
                <w:szCs w:val="20"/>
                <w:color w:val="auto"/>
              </w:rPr>
            </w:pPr>
            <w:r>
              <w:rPr>
                <w:rFonts w:ascii="Arial" w:cs="Arial" w:eastAsia="Arial" w:hAnsi="Arial"/>
                <w:sz w:val="20"/>
                <w:szCs w:val="20"/>
                <w:color w:val="auto"/>
              </w:rPr>
              <w:t>422,627</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1"/>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1"/>
          </w:tcPr>
          <w:p>
            <w:pPr>
              <w:jc w:val="center"/>
              <w:ind w:right="340"/>
              <w:spacing w:after="0"/>
              <w:rPr>
                <w:sz w:val="20"/>
                <w:szCs w:val="20"/>
                <w:color w:val="auto"/>
              </w:rPr>
            </w:pPr>
            <w:r>
              <w:rPr>
                <w:rFonts w:ascii="Arial" w:cs="Arial" w:eastAsia="Arial" w:hAnsi="Arial"/>
                <w:sz w:val="16"/>
                <w:szCs w:val="16"/>
                <w:b w:val="1"/>
                <w:bCs w:val="1"/>
                <w:color w:val="auto"/>
                <w:w w:val="90"/>
              </w:rPr>
              <w:t>Year Ended December 31, 2021</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ind w:left="280"/>
              <w:spacing w:after="0" w:line="172" w:lineRule="exact"/>
              <w:rPr>
                <w:sz w:val="20"/>
                <w:szCs w:val="20"/>
                <w:color w:val="auto"/>
              </w:rPr>
            </w:pPr>
            <w:r>
              <w:rPr>
                <w:rFonts w:ascii="Arial" w:cs="Arial" w:eastAsia="Arial" w:hAnsi="Arial"/>
                <w:sz w:val="16"/>
                <w:szCs w:val="16"/>
                <w:b w:val="1"/>
                <w:bCs w:val="1"/>
                <w:color w:val="auto"/>
              </w:rPr>
              <w:t>Less Inter-Segment Sales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line="173" w:lineRule="exact"/>
              <w:rPr>
                <w:sz w:val="20"/>
                <w:szCs w:val="20"/>
                <w:color w:val="auto"/>
              </w:rPr>
            </w:pPr>
            <w:r>
              <w:rPr>
                <w:rFonts w:ascii="Arial" w:cs="Arial" w:eastAsia="Arial" w:hAnsi="Arial"/>
                <w:sz w:val="16"/>
                <w:szCs w:val="16"/>
                <w:b w:val="1"/>
                <w:bCs w:val="1"/>
                <w:color w:val="auto"/>
                <w:w w:val="94"/>
              </w:rPr>
              <w:t>Industrial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1"/>
              <w:spacing w:after="0" w:line="173" w:lineRule="exact"/>
              <w:rPr>
                <w:sz w:val="20"/>
                <w:szCs w:val="20"/>
                <w:color w:val="auto"/>
              </w:rPr>
            </w:pPr>
            <w:r>
              <w:rPr>
                <w:rFonts w:ascii="Arial" w:cs="Arial" w:eastAsia="Arial" w:hAnsi="Arial"/>
                <w:sz w:val="16"/>
                <w:szCs w:val="16"/>
                <w:b w:val="1"/>
                <w:bCs w:val="1"/>
                <w:color w:val="auto"/>
                <w:w w:val="85"/>
              </w:rPr>
              <w:t>Net Sales to</w:t>
            </w:r>
          </w:p>
        </w:tc>
        <w:tc>
          <w:tcPr>
            <w:tcW w:w="100" w:type="dxa"/>
            <w:vAlign w:val="bottom"/>
          </w:tcPr>
          <w:p>
            <w:pPr>
              <w:spacing w:after="0"/>
              <w:rPr>
                <w:sz w:val="15"/>
                <w:szCs w:val="15"/>
                <w:color w:val="auto"/>
              </w:rPr>
            </w:pPr>
          </w:p>
        </w:tc>
      </w:tr>
      <w:tr>
        <w:trPr>
          <w:trHeight w:val="181"/>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Intra-Segment</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80"/>
              </w:rPr>
              <w:t>Process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40"/>
              <w:spacing w:after="0" w:line="181" w:lineRule="exact"/>
              <w:rPr>
                <w:sz w:val="20"/>
                <w:szCs w:val="20"/>
                <w:color w:val="auto"/>
              </w:rPr>
            </w:pPr>
            <w:r>
              <w:rPr>
                <w:rFonts w:ascii="Arial" w:cs="Arial" w:eastAsia="Arial" w:hAnsi="Arial"/>
                <w:sz w:val="16"/>
                <w:szCs w:val="16"/>
                <w:b w:val="1"/>
                <w:bCs w:val="1"/>
                <w:color w:val="auto"/>
                <w:w w:val="89"/>
              </w:rPr>
              <w:t>Engineered</w:t>
            </w:r>
          </w:p>
        </w:tc>
        <w:tc>
          <w:tcPr>
            <w:tcW w:w="100" w:type="dxa"/>
            <w:vAlign w:val="bottom"/>
          </w:tcPr>
          <w:p>
            <w:pPr>
              <w:spacing w:after="0"/>
              <w:rPr>
                <w:sz w:val="15"/>
                <w:szCs w:val="15"/>
                <w:color w:val="auto"/>
              </w:rPr>
            </w:pPr>
          </w:p>
        </w:tc>
        <w:tc>
          <w:tcPr>
            <w:tcW w:w="920" w:type="dxa"/>
            <w:vAlign w:val="bottom"/>
          </w:tcPr>
          <w:p>
            <w:pPr>
              <w:jc w:val="center"/>
              <w:ind w:right="11"/>
              <w:spacing w:after="0" w:line="181" w:lineRule="exact"/>
              <w:rPr>
                <w:sz w:val="20"/>
                <w:szCs w:val="20"/>
                <w:color w:val="auto"/>
              </w:rPr>
            </w:pPr>
            <w:r>
              <w:rPr>
                <w:rFonts w:ascii="Arial" w:cs="Arial" w:eastAsia="Arial" w:hAnsi="Arial"/>
                <w:sz w:val="16"/>
                <w:szCs w:val="16"/>
                <w:b w:val="1"/>
                <w:bCs w:val="1"/>
                <w:color w:val="auto"/>
                <w:w w:val="90"/>
              </w:rPr>
              <w:t>Outside</w:t>
            </w:r>
          </w:p>
        </w:tc>
        <w:tc>
          <w:tcPr>
            <w:tcW w:w="100" w:type="dxa"/>
            <w:vAlign w:val="bottom"/>
          </w:tcPr>
          <w:p>
            <w:pPr>
              <w:spacing w:after="0"/>
              <w:rPr>
                <w:sz w:val="15"/>
                <w:szCs w:val="15"/>
                <w:color w:val="auto"/>
              </w:rPr>
            </w:pPr>
          </w:p>
        </w:tc>
      </w:tr>
      <w:tr>
        <w:trPr>
          <w:trHeight w:val="182"/>
        </w:trPr>
        <w:tc>
          <w:tcPr>
            <w:tcW w:w="4500" w:type="dxa"/>
            <w:vAlign w:val="bottom"/>
          </w:tcPr>
          <w:p>
            <w:pPr>
              <w:spacing w:after="0" w:line="182" w:lineRule="exact"/>
              <w:rPr>
                <w:sz w:val="20"/>
                <w:szCs w:val="20"/>
                <w:color w:val="auto"/>
              </w:rPr>
            </w:pPr>
            <w:r>
              <w:rPr>
                <w:rFonts w:ascii="Arial" w:cs="Arial" w:eastAsia="Arial" w:hAnsi="Arial"/>
                <w:sz w:val="16"/>
                <w:szCs w:val="16"/>
                <w:b w:val="1"/>
                <w:bCs w:val="1"/>
                <w:color w:val="auto"/>
              </w:rPr>
              <w:t>(table only in thousands)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46"/>
              <w:spacing w:after="0" w:line="182" w:lineRule="exact"/>
              <w:rPr>
                <w:sz w:val="20"/>
                <w:szCs w:val="20"/>
                <w:color w:val="auto"/>
              </w:rPr>
            </w:pPr>
            <w:r>
              <w:rPr>
                <w:rFonts w:ascii="Arial" w:cs="Arial" w:eastAsia="Arial" w:hAnsi="Arial"/>
                <w:sz w:val="16"/>
                <w:szCs w:val="16"/>
                <w:b w:val="1"/>
                <w:bCs w:val="1"/>
                <w:color w:val="auto"/>
                <w:w w:val="87"/>
              </w:rPr>
              <w:t>Total Sales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78"/>
              <w:spacing w:after="0" w:line="182" w:lineRule="exact"/>
              <w:rPr>
                <w:sz w:val="20"/>
                <w:szCs w:val="20"/>
                <w:color w:val="auto"/>
              </w:rPr>
            </w:pPr>
            <w:r>
              <w:rPr>
                <w:rFonts w:ascii="Arial" w:cs="Arial" w:eastAsia="Arial" w:hAnsi="Arial"/>
                <w:sz w:val="16"/>
                <w:szCs w:val="16"/>
                <w:b w:val="1"/>
                <w:bCs w:val="1"/>
                <w:color w:val="auto"/>
              </w:rPr>
              <w:t>Sales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84"/>
              </w:rPr>
              <w:t>Solutions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40"/>
              <w:spacing w:after="0" w:line="182" w:lineRule="exact"/>
              <w:rPr>
                <w:sz w:val="20"/>
                <w:szCs w:val="20"/>
                <w:color w:val="auto"/>
              </w:rPr>
            </w:pPr>
            <w:r>
              <w:rPr>
                <w:rFonts w:ascii="Arial" w:cs="Arial" w:eastAsia="Arial" w:hAnsi="Arial"/>
                <w:sz w:val="16"/>
                <w:szCs w:val="16"/>
                <w:b w:val="1"/>
                <w:bCs w:val="1"/>
                <w:color w:val="auto"/>
                <w:w w:val="81"/>
              </w:rPr>
              <w:t>Systems</w:t>
            </w:r>
          </w:p>
        </w:tc>
        <w:tc>
          <w:tcPr>
            <w:tcW w:w="100" w:type="dxa"/>
            <w:vAlign w:val="bottom"/>
          </w:tcPr>
          <w:p>
            <w:pPr>
              <w:spacing w:after="0"/>
              <w:rPr>
                <w:sz w:val="15"/>
                <w:szCs w:val="15"/>
                <w:color w:val="auto"/>
              </w:rPr>
            </w:pPr>
          </w:p>
        </w:tc>
        <w:tc>
          <w:tcPr>
            <w:tcW w:w="920" w:type="dxa"/>
            <w:vAlign w:val="bottom"/>
          </w:tcPr>
          <w:p>
            <w:pPr>
              <w:jc w:val="center"/>
              <w:ind w:right="11"/>
              <w:spacing w:after="0" w:line="182" w:lineRule="exact"/>
              <w:rPr>
                <w:sz w:val="20"/>
                <w:szCs w:val="20"/>
                <w:color w:val="auto"/>
              </w:rPr>
            </w:pPr>
            <w:r>
              <w:rPr>
                <w:rFonts w:ascii="Arial" w:cs="Arial" w:eastAsia="Arial" w:hAnsi="Arial"/>
                <w:sz w:val="16"/>
                <w:szCs w:val="16"/>
                <w:b w:val="1"/>
                <w:bCs w:val="1"/>
                <w:color w:val="auto"/>
                <w:w w:val="88"/>
              </w:rPr>
              <w:t>Customers</w:t>
            </w:r>
          </w:p>
        </w:tc>
        <w:tc>
          <w:tcPr>
            <w:tcW w:w="100" w:type="dxa"/>
            <w:vAlign w:val="bottom"/>
          </w:tcPr>
          <w:p>
            <w:pPr>
              <w:spacing w:after="0"/>
              <w:rPr>
                <w:sz w:val="15"/>
                <w:szCs w:val="15"/>
                <w:color w:val="auto"/>
              </w:rPr>
            </w:pPr>
          </w:p>
        </w:tc>
      </w:tr>
      <w:tr>
        <w:trPr>
          <w:trHeight w:val="218"/>
        </w:trPr>
        <w:tc>
          <w:tcPr>
            <w:tcW w:w="4500" w:type="dxa"/>
            <w:vAlign w:val="bottom"/>
            <w:tcBorders>
              <w:top w:val="single" w:sz="8" w:color="E9E9E9"/>
            </w:tcBorders>
            <w:shd w:val="clear" w:color="auto" w:fill="E9E9E9"/>
          </w:tcPr>
          <w:p>
            <w:pPr>
              <w:spacing w:after="0" w:line="217" w:lineRule="exact"/>
              <w:rPr>
                <w:sz w:val="20"/>
                <w:szCs w:val="20"/>
                <w:color w:val="auto"/>
              </w:rPr>
            </w:pPr>
            <w:r>
              <w:rPr>
                <w:rFonts w:ascii="Arial" w:cs="Arial" w:eastAsia="Arial" w:hAnsi="Arial"/>
                <w:sz w:val="20"/>
                <w:szCs w:val="20"/>
                <w:b w:val="1"/>
                <w:bCs w:val="1"/>
                <w:color w:val="auto"/>
              </w:rPr>
              <w:t>Net Sales</w:t>
            </w: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2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90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9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r>
      <w:tr>
        <w:trPr>
          <w:trHeight w:val="228"/>
        </w:trPr>
        <w:tc>
          <w:tcPr>
            <w:tcW w:w="4500" w:type="dxa"/>
            <w:vAlign w:val="bottom"/>
          </w:tcPr>
          <w:p>
            <w:pPr>
              <w:ind w:left="200"/>
              <w:spacing w:after="0" w:line="228" w:lineRule="exact"/>
              <w:rPr>
                <w:sz w:val="20"/>
                <w:szCs w:val="20"/>
                <w:color w:val="auto"/>
              </w:rPr>
            </w:pPr>
            <w:r>
              <w:rPr>
                <w:rFonts w:ascii="Arial" w:cs="Arial" w:eastAsia="Arial" w:hAnsi="Arial"/>
                <w:sz w:val="20"/>
                <w:szCs w:val="20"/>
                <w:color w:val="auto"/>
              </w:rPr>
              <w:t>Engineered Systems segment</w:t>
            </w:r>
          </w:p>
        </w:tc>
        <w:tc>
          <w:tcPr>
            <w:tcW w:w="22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197,380</w:t>
            </w:r>
          </w:p>
        </w:tc>
        <w:tc>
          <w:tcPr>
            <w:tcW w:w="340" w:type="dxa"/>
            <w:vAlign w:val="bottom"/>
            <w:gridSpan w:val="3"/>
          </w:tcPr>
          <w:p>
            <w:pPr>
              <w:ind w:left="220"/>
              <w:spacing w:after="0" w:line="228" w:lineRule="exact"/>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ind w:right="78"/>
              <w:spacing w:after="0" w:line="228" w:lineRule="exact"/>
              <w:rPr>
                <w:sz w:val="20"/>
                <w:szCs w:val="20"/>
                <w:color w:val="auto"/>
              </w:rPr>
            </w:pPr>
            <w:r>
              <w:rPr>
                <w:rFonts w:ascii="Arial" w:cs="Arial" w:eastAsia="Arial" w:hAnsi="Arial"/>
                <w:sz w:val="20"/>
                <w:szCs w:val="20"/>
                <w:color w:val="auto"/>
              </w:rPr>
              <w:t>(9,483)</w:t>
            </w:r>
          </w:p>
        </w:tc>
        <w:tc>
          <w:tcPr>
            <w:tcW w:w="12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(971)</w:t>
            </w:r>
          </w:p>
        </w:tc>
        <w:tc>
          <w:tcPr>
            <w:tcW w:w="2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auto"/>
              </w:rPr>
              <w:t>$</w:t>
            </w:r>
          </w:p>
        </w:tc>
        <w:tc>
          <w:tcPr>
            <w:tcW w:w="1120" w:type="dxa"/>
            <w:vAlign w:val="bottom"/>
            <w:gridSpan w:val="3"/>
          </w:tcPr>
          <w:p>
            <w:pPr>
              <w:jc w:val="right"/>
              <w:ind w:right="220"/>
              <w:spacing w:after="0" w:line="228" w:lineRule="exact"/>
              <w:rPr>
                <w:sz w:val="20"/>
                <w:szCs w:val="20"/>
                <w:color w:val="auto"/>
              </w:rPr>
            </w:pPr>
            <w:r>
              <w:rPr>
                <w:rFonts w:ascii="Arial" w:cs="Arial" w:eastAsia="Arial" w:hAnsi="Arial"/>
                <w:sz w:val="20"/>
                <w:szCs w:val="20"/>
                <w:color w:val="auto"/>
              </w:rPr>
              <w:t>—</w:t>
            </w:r>
          </w:p>
        </w:tc>
        <w:tc>
          <w:tcPr>
            <w:tcW w:w="10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line="228" w:lineRule="exact"/>
              <w:rPr>
                <w:sz w:val="20"/>
                <w:szCs w:val="20"/>
                <w:color w:val="auto"/>
              </w:rPr>
            </w:pPr>
            <w:r>
              <w:rPr>
                <w:rFonts w:ascii="Arial" w:cs="Arial" w:eastAsia="Arial" w:hAnsi="Arial"/>
                <w:sz w:val="20"/>
                <w:szCs w:val="20"/>
                <w:color w:val="auto"/>
              </w:rPr>
              <w:t>186,926</w:t>
            </w:r>
          </w:p>
        </w:tc>
        <w:tc>
          <w:tcPr>
            <w:tcW w:w="100" w:type="dxa"/>
            <w:vAlign w:val="bottom"/>
          </w:tcPr>
          <w:p>
            <w:pPr>
              <w:spacing w:after="0"/>
              <w:rPr>
                <w:sz w:val="19"/>
                <w:szCs w:val="19"/>
                <w:color w:val="auto"/>
              </w:rPr>
            </w:pPr>
          </w:p>
        </w:tc>
      </w:tr>
      <w:tr>
        <w:trPr>
          <w:trHeight w:val="228"/>
        </w:trPr>
        <w:tc>
          <w:tcPr>
            <w:tcW w:w="4500" w:type="dxa"/>
            <w:vAlign w:val="bottom"/>
            <w:shd w:val="clear" w:color="auto" w:fill="E9E9E9"/>
          </w:tcPr>
          <w:p>
            <w:pPr>
              <w:ind w:left="200"/>
              <w:spacing w:after="0" w:line="228" w:lineRule="exact"/>
              <w:rPr>
                <w:sz w:val="20"/>
                <w:szCs w:val="20"/>
                <w:color w:val="auto"/>
              </w:rPr>
            </w:pPr>
            <w:r>
              <w:rPr>
                <w:rFonts w:ascii="Arial" w:cs="Arial" w:eastAsia="Arial" w:hAnsi="Arial"/>
                <w:sz w:val="20"/>
                <w:szCs w:val="20"/>
                <w:color w:val="auto"/>
              </w:rPr>
              <w:t>Industrial Process Solutions segment</w:t>
            </w: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152,886</w:t>
            </w:r>
          </w:p>
        </w:tc>
        <w:tc>
          <w:tcPr>
            <w:tcW w:w="2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(14,533</w:t>
            </w:r>
          </w:p>
        </w:tc>
        <w:tc>
          <w:tcPr>
            <w:tcW w:w="220" w:type="dxa"/>
            <w:vAlign w:val="bottom"/>
            <w:shd w:val="clear" w:color="auto" w:fill="E9E9E9"/>
          </w:tcPr>
          <w:p>
            <w:pPr>
              <w:jc w:val="right"/>
              <w:ind w:right="78"/>
              <w:spacing w:after="0"/>
              <w:rPr>
                <w:sz w:val="20"/>
                <w:szCs w:val="20"/>
                <w:color w:val="auto"/>
              </w:rPr>
            </w:pPr>
            <w:r>
              <w:rPr>
                <w:rFonts w:ascii="Arial" w:cs="Arial" w:eastAsia="Arial" w:hAnsi="Arial"/>
                <w:sz w:val="16"/>
                <w:szCs w:val="16"/>
                <w:color w:val="auto"/>
                <w:w w:val="74"/>
                <w:shd w:val="clear" w:color="auto" w:fill="E9E9E9"/>
              </w:rPr>
              <w:t>)</w:t>
            </w: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(1,139</w:t>
            </w:r>
          </w:p>
        </w:tc>
        <w:tc>
          <w:tcPr>
            <w:tcW w:w="200" w:type="dxa"/>
            <w:vAlign w:val="bottom"/>
            <w:shd w:val="clear" w:color="auto" w:fill="E9E9E9"/>
          </w:tcPr>
          <w:p>
            <w:pPr>
              <w:jc w:val="right"/>
              <w:ind w:right="58"/>
              <w:spacing w:after="0"/>
              <w:rPr>
                <w:sz w:val="20"/>
                <w:szCs w:val="20"/>
                <w:color w:val="auto"/>
              </w:rPr>
            </w:pPr>
            <w:r>
              <w:rPr>
                <w:rFonts w:ascii="Arial" w:cs="Arial" w:eastAsia="Arial" w:hAnsi="Arial"/>
                <w:sz w:val="16"/>
                <w:szCs w:val="16"/>
                <w:color w:val="auto"/>
                <w:w w:val="74"/>
                <w:shd w:val="clear" w:color="auto" w:fill="E9E9E9"/>
              </w:rPr>
              <w:t>)</w:t>
            </w: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20" w:type="dxa"/>
            <w:vAlign w:val="bottom"/>
            <w:tcBorders>
              <w:bottom w:val="single" w:sz="8" w:color="auto"/>
            </w:tcBorders>
            <w:shd w:val="clear" w:color="auto" w:fill="E9E9E9"/>
          </w:tcPr>
          <w:p>
            <w:pPr>
              <w:jc w:val="right"/>
              <w:spacing w:after="0" w:line="228" w:lineRule="exact"/>
              <w:rPr>
                <w:sz w:val="20"/>
                <w:szCs w:val="20"/>
                <w:color w:val="auto"/>
              </w:rPr>
            </w:pPr>
            <w:r>
              <w:rPr>
                <w:rFonts w:ascii="Arial" w:cs="Arial" w:eastAsia="Arial" w:hAnsi="Arial"/>
                <w:sz w:val="20"/>
                <w:szCs w:val="20"/>
                <w:color w:val="auto"/>
              </w:rPr>
              <w:t>137,214</w:t>
            </w:r>
          </w:p>
        </w:tc>
        <w:tc>
          <w:tcPr>
            <w:tcW w:w="100" w:type="dxa"/>
            <w:vAlign w:val="bottom"/>
            <w:shd w:val="clear" w:color="auto" w:fill="E9E9E9"/>
          </w:tcPr>
          <w:p>
            <w:pPr>
              <w:spacing w:after="0"/>
              <w:rPr>
                <w:sz w:val="19"/>
                <w:szCs w:val="19"/>
                <w:color w:val="auto"/>
              </w:rPr>
            </w:pPr>
          </w:p>
        </w:tc>
      </w:tr>
      <w:tr>
        <w:trPr>
          <w:trHeight w:val="219"/>
        </w:trPr>
        <w:tc>
          <w:tcPr>
            <w:tcW w:w="4500" w:type="dxa"/>
            <w:vAlign w:val="bottom"/>
          </w:tcPr>
          <w:p>
            <w:pPr>
              <w:ind w:left="400"/>
              <w:spacing w:after="0" w:line="217" w:lineRule="exact"/>
              <w:rPr>
                <w:sz w:val="20"/>
                <w:szCs w:val="20"/>
                <w:color w:val="auto"/>
              </w:rPr>
            </w:pPr>
            <w:r>
              <w:rPr>
                <w:rFonts w:ascii="Arial" w:cs="Arial" w:eastAsia="Arial" w:hAnsi="Arial"/>
                <w:sz w:val="20"/>
                <w:szCs w:val="20"/>
                <w:color w:val="auto"/>
              </w:rPr>
              <w:t>Total net sales</w:t>
            </w:r>
          </w:p>
        </w:tc>
        <w:tc>
          <w:tcPr>
            <w:tcW w:w="220" w:type="dxa"/>
            <w:vAlign w:val="bottom"/>
            <w:gridSpan w:val="3"/>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17" w:lineRule="exact"/>
              <w:rPr>
                <w:sz w:val="20"/>
                <w:szCs w:val="20"/>
                <w:color w:val="auto"/>
              </w:rPr>
            </w:pPr>
            <w:r>
              <w:rPr>
                <w:rFonts w:ascii="Arial" w:cs="Arial" w:eastAsia="Arial" w:hAnsi="Arial"/>
                <w:sz w:val="20"/>
                <w:szCs w:val="20"/>
                <w:color w:val="auto"/>
              </w:rPr>
              <w:t>350,266</w:t>
            </w:r>
          </w:p>
        </w:tc>
        <w:tc>
          <w:tcPr>
            <w:tcW w:w="340" w:type="dxa"/>
            <w:vAlign w:val="bottom"/>
            <w:gridSpan w:val="3"/>
          </w:tcPr>
          <w:p>
            <w:pPr>
              <w:ind w:left="220"/>
              <w:spacing w:after="0" w:line="217" w:lineRule="exact"/>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ind w:right="78"/>
              <w:spacing w:after="0" w:line="217" w:lineRule="exact"/>
              <w:rPr>
                <w:sz w:val="20"/>
                <w:szCs w:val="20"/>
                <w:color w:val="auto"/>
              </w:rPr>
            </w:pPr>
            <w:r>
              <w:rPr>
                <w:rFonts w:ascii="Arial" w:cs="Arial" w:eastAsia="Arial" w:hAnsi="Arial"/>
                <w:sz w:val="20"/>
                <w:szCs w:val="20"/>
                <w:color w:val="auto"/>
              </w:rPr>
              <w:t>(24,016)</w:t>
            </w:r>
          </w:p>
        </w:tc>
        <w:tc>
          <w:tcPr>
            <w:tcW w:w="12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40"/>
              <w:spacing w:after="0" w:line="217" w:lineRule="exact"/>
              <w:rPr>
                <w:sz w:val="20"/>
                <w:szCs w:val="20"/>
                <w:color w:val="auto"/>
              </w:rPr>
            </w:pPr>
            <w:r>
              <w:rPr>
                <w:rFonts w:ascii="Arial" w:cs="Arial" w:eastAsia="Arial" w:hAnsi="Arial"/>
                <w:sz w:val="20"/>
                <w:szCs w:val="20"/>
                <w:color w:val="auto"/>
              </w:rPr>
              <w:t>(971)</w:t>
            </w:r>
          </w:p>
        </w:tc>
        <w:tc>
          <w:tcPr>
            <w:tcW w:w="240" w:type="dxa"/>
            <w:vAlign w:val="bottom"/>
            <w:gridSpan w:val="3"/>
          </w:tcPr>
          <w:p>
            <w:pPr>
              <w:jc w:val="right"/>
              <w:ind w:right="20"/>
              <w:spacing w:after="0" w:line="217" w:lineRule="exact"/>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58"/>
              <w:spacing w:after="0" w:line="217" w:lineRule="exact"/>
              <w:rPr>
                <w:sz w:val="20"/>
                <w:szCs w:val="20"/>
                <w:color w:val="auto"/>
              </w:rPr>
            </w:pPr>
            <w:r>
              <w:rPr>
                <w:rFonts w:ascii="Arial" w:cs="Arial" w:eastAsia="Arial" w:hAnsi="Arial"/>
                <w:sz w:val="20"/>
                <w:szCs w:val="20"/>
                <w:color w:val="auto"/>
              </w:rPr>
              <w:t>(1,139)</w:t>
            </w:r>
          </w:p>
        </w:tc>
        <w:tc>
          <w:tcPr>
            <w:tcW w:w="20" w:type="dxa"/>
            <w:vAlign w:val="bottom"/>
          </w:tcPr>
          <w:p>
            <w:pPr>
              <w:spacing w:after="0"/>
              <w:rPr>
                <w:sz w:val="19"/>
                <w:szCs w:val="19"/>
                <w:color w:val="auto"/>
              </w:rPr>
            </w:pPr>
          </w:p>
        </w:tc>
        <w:tc>
          <w:tcPr>
            <w:tcW w:w="100" w:type="dxa"/>
            <w:vAlign w:val="bottom"/>
          </w:tcPr>
          <w:p>
            <w:pPr>
              <w:jc w:val="right"/>
              <w:spacing w:after="0" w:line="217" w:lineRule="exact"/>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line="217" w:lineRule="exact"/>
              <w:rPr>
                <w:sz w:val="20"/>
                <w:szCs w:val="20"/>
                <w:color w:val="auto"/>
              </w:rPr>
            </w:pPr>
            <w:r>
              <w:rPr>
                <w:rFonts w:ascii="Arial" w:cs="Arial" w:eastAsia="Arial" w:hAnsi="Arial"/>
                <w:sz w:val="20"/>
                <w:szCs w:val="20"/>
                <w:color w:val="auto"/>
              </w:rPr>
              <w:t>324,140</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6715760</wp:posOffset>
                </wp:positionH>
                <wp:positionV relativeFrom="paragraph">
                  <wp:posOffset>-2598420</wp:posOffset>
                </wp:positionV>
                <wp:extent cx="7112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204.5999pt" to="534.4pt,-204.59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3569335</wp:posOffset>
                </wp:positionH>
                <wp:positionV relativeFrom="paragraph">
                  <wp:posOffset>-1682115</wp:posOffset>
                </wp:positionV>
                <wp:extent cx="14351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51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05pt,-132.4499pt" to="292.35pt,-132.4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-1682115</wp:posOffset>
                </wp:positionV>
                <wp:extent cx="7112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32.4499pt" to="534.4pt,-132.4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-1092200</wp:posOffset>
                </wp:positionV>
                <wp:extent cx="7112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5">
                          <a:solidFill>
                            <a:srgbClr val="FFFFFF"/>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86pt" to="534.4pt,-86pt" o:allowincell="f" strokecolor="#FFFFFF" strokeweight="0.4752pt"/>
            </w:pict>
          </mc:Fallback>
        </mc:AlternateContent>
        <mc:AlternateContent>
          <mc:Choice Requires="wps">
            <w:drawing>
              <wp:anchor simplePos="0" relativeHeight="251657728" behindDoc="1" locked="0" layoutInCell="0" allowOverlap="1">
                <wp:simplePos x="0" y="0"/>
                <wp:positionH relativeFrom="column">
                  <wp:posOffset>3569335</wp:posOffset>
                </wp:positionH>
                <wp:positionV relativeFrom="paragraph">
                  <wp:posOffset>-175895</wp:posOffset>
                </wp:positionV>
                <wp:extent cx="14351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51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05pt,-13.8499pt" to="292.35pt,-13.8499pt" o:allowincell="f" strokecolor="#FFFFFF" strokeweight="0.4751pt"/>
            </w:pict>
          </mc:Fallback>
        </mc:AlternateContent>
        <mc:AlternateContent>
          <mc:Choice Requires="wps">
            <w:drawing>
              <wp:anchor simplePos="0" relativeHeight="251657728" behindDoc="1" locked="0" layoutInCell="0" allowOverlap="1">
                <wp:simplePos x="0" y="0"/>
                <wp:positionH relativeFrom="column">
                  <wp:posOffset>6715760</wp:posOffset>
                </wp:positionH>
                <wp:positionV relativeFrom="paragraph">
                  <wp:posOffset>-175895</wp:posOffset>
                </wp:positionV>
                <wp:extent cx="7112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6034">
                          <a:solidFill>
                            <a:srgbClr val="FFFFFF"/>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8.8pt,-13.8499pt" to="534.4pt,-13.8499pt" o:allowincell="f" strokecolor="#FFFFFF" strokeweight="0.4751pt"/>
            </w:pict>
          </mc:Fallback>
        </mc:AlternateConten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No single customer represented greater than 10% of consolidated net sales or accounts receivable for 2023, 2022, or 2021.</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For 2023, 2022, and 2021, sales outside the United States accounted for approximately 33%, 35%, and 38%, respectively,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sales. The largest portions of sales outside the United States in 2023 were in Europe (19%) and Asia (9%).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largest portions of sales outside the United States in 2022 were in Europe (20%) and Asia (11%). The largest portion of sales outside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in 2021 was destined for Asia (16.0%) and Europe (10.3%). Of consolidated long-lived assets, $48.2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$39.9 million were located outside of the United States as of December 31, 2023 and 2022, respectively. The largest portion of long-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lived assets located outside the United States at December 31, 2023 and December 31, 2022 were in Europe ($38.3 million and $30.5</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F-35</w:t>
      </w:r>
    </w:p>
    <w:p>
      <w:pPr>
        <w:sectPr>
          <w:pgSz w:w="11880" w:h="15480" w:orient="portrait"/>
          <w:cols w:equalWidth="0" w:num="1">
            <w:col w:w="10680"/>
          </w:cols>
          <w:pgMar w:left="600" w:top="1183" w:right="600" w:bottom="46"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52525"/>
        </w:rPr>
        <w:t>(This page has been left blank intentionally.)</w:t>
      </w:r>
    </w:p>
    <w:p>
      <w:pPr>
        <w:sectPr>
          <w:pgSz w:w="11880" w:h="15480" w:orient="portrait"/>
          <w:cols w:equalWidth="0" w:num="1">
            <w:col w:w="9000"/>
          </w:cols>
          <w:pgMar w:left="1440" w:top="1440" w:right="1440"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52525"/>
        </w:rPr>
        <w:t>(This page has been left blank intentionally.)</w:t>
      </w:r>
    </w:p>
    <w:p>
      <w:pPr>
        <w:sectPr>
          <w:pgSz w:w="11880" w:h="15480" w:orient="portrait"/>
          <w:cols w:equalWidth="0" w:num="1">
            <w:col w:w="9000"/>
          </w:cols>
          <w:pgMar w:left="1440" w:top="1440" w:right="1440" w:bottom="1440" w:gutter="0" w:footer="0" w:header="0"/>
        </w:sectPr>
      </w:pPr>
    </w:p>
    <w:bookmarkStart w:id="97" w:name="page98"/>
    <w:bookmarkEnd w:id="97"/>
    <w:p>
      <w:pPr>
        <w:ind w:left="380"/>
        <w:spacing w:after="0"/>
        <w:rPr>
          <w:sz w:val="20"/>
          <w:szCs w:val="20"/>
          <w:color w:val="auto"/>
        </w:rPr>
      </w:pPr>
      <w:r>
        <w:rPr>
          <w:rFonts w:ascii="Arial" w:cs="Arial" w:eastAsia="Arial" w:hAnsi="Arial"/>
          <w:sz w:val="28"/>
          <w:szCs w:val="28"/>
          <w:b w:val="1"/>
          <w:bCs w:val="1"/>
          <w:color w:val="262626"/>
        </w:rPr>
        <w:t>Supplementary Reconciliation of Non-GAAP Financial Measures: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Annual 2021</w:t>
            </w:r>
          </w:p>
        </w:tc>
        <w:tc>
          <w:tcPr>
            <w:tcW w:w="32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Annual 2022</w:t>
            </w:r>
          </w:p>
        </w:tc>
        <w:tc>
          <w:tcPr>
            <w:tcW w:w="32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Annual 2023</w:t>
            </w:r>
          </w:p>
        </w:tc>
        <w:tc>
          <w:tcPr>
            <w:tcW w:w="20" w:type="dxa"/>
            <w:vAlign w:val="bottom"/>
          </w:tcPr>
          <w:p>
            <w:pPr>
              <w:spacing w:after="0"/>
              <w:rPr>
                <w:sz w:val="18"/>
                <w:szCs w:val="18"/>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5"/>
        </w:trPr>
        <w:tc>
          <w:tcPr>
            <w:tcW w:w="2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 as reported in accordance with GAAP</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17.4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3"/>
                <w:szCs w:val="23"/>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Amortization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Earnout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48"/>
        </w:trPr>
        <w:tc>
          <w:tcPr>
            <w:tcW w:w="2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Executive transition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remeasurement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Tax expense (benefit) of adjustments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Non-GAAP net income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Non-cash stock compensation</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2"/>
                <w:szCs w:val="22"/>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25.6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42.2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Adjusted EBITDA margin</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7.9 %</w:t>
            </w:r>
          </w:p>
        </w:tc>
        <w:tc>
          <w:tcPr>
            <w:tcW w:w="320" w:type="dxa"/>
            <w:vAlign w:val="bottom"/>
          </w:tcPr>
          <w:p>
            <w:pPr>
              <w:spacing w:after="0"/>
              <w:rPr>
                <w:sz w:val="22"/>
                <w:szCs w:val="22"/>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10.0 %</w:t>
            </w:r>
          </w:p>
        </w:tc>
        <w:tc>
          <w:tcPr>
            <w:tcW w:w="3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10.6 %</w:t>
            </w:r>
          </w:p>
        </w:tc>
        <w:tc>
          <w:tcPr>
            <w:tcW w:w="20" w:type="dxa"/>
            <w:vAlign w:val="bottom"/>
          </w:tcPr>
          <w:p>
            <w:pPr>
              <w:spacing w:after="0"/>
              <w:rPr>
                <w:sz w:val="22"/>
                <w:szCs w:val="22"/>
                <w:color w:val="auto"/>
              </w:rPr>
            </w:pPr>
          </w:p>
        </w:tc>
      </w:tr>
      <w:tr>
        <w:trPr>
          <w:trHeight w:val="35"/>
        </w:trPr>
        <w:tc>
          <w:tcPr>
            <w:tcW w:w="20" w:type="dxa"/>
            <w:vAlign w:val="bottom"/>
            <w:tcBorders>
              <w:bottom w:val="single" w:sz="8" w:color="808080"/>
            </w:tcBorders>
          </w:tcPr>
          <w:p>
            <w:pPr>
              <w:spacing w:after="0"/>
              <w:rPr>
                <w:sz w:val="3"/>
                <w:szCs w:val="3"/>
                <w:color w:val="auto"/>
              </w:rPr>
            </w:pPr>
          </w:p>
        </w:tc>
        <w:tc>
          <w:tcPr>
            <w:tcW w:w="4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22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Annual 2021</w:t>
            </w:r>
          </w:p>
        </w:tc>
        <w:tc>
          <w:tcPr>
            <w:tcW w:w="44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Annual 2022</w:t>
            </w:r>
          </w:p>
        </w:tc>
        <w:tc>
          <w:tcPr>
            <w:tcW w:w="4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Annual 2023</w:t>
            </w:r>
          </w:p>
        </w:tc>
        <w:tc>
          <w:tcPr>
            <w:tcW w:w="20" w:type="dxa"/>
            <w:vAlign w:val="bottom"/>
          </w:tcPr>
          <w:p>
            <w:pPr>
              <w:spacing w:after="0"/>
              <w:rPr>
                <w:sz w:val="18"/>
                <w:szCs w:val="18"/>
                <w:color w:val="auto"/>
              </w:rPr>
            </w:pPr>
          </w:p>
        </w:tc>
      </w:tr>
      <w:tr>
        <w:trPr>
          <w:trHeight w:val="35"/>
        </w:trPr>
        <w:tc>
          <w:tcPr>
            <w:tcW w:w="20" w:type="dxa"/>
            <w:vAlign w:val="bottom"/>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29.6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Earnouts payments (within operating activities)</w:t>
            </w:r>
          </w:p>
        </w:tc>
        <w:tc>
          <w:tcPr>
            <w:tcW w:w="22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Acquisitions of property and equipment</w:t>
            </w:r>
          </w:p>
        </w:tc>
        <w:tc>
          <w:tcPr>
            <w:tcW w:w="22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2"/>
                <w:szCs w:val="22"/>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Free Cash Flow</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11.3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27.2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22"/>
                <w:szCs w:val="22"/>
                <w:color w:val="auto"/>
              </w:rPr>
            </w:pPr>
          </w:p>
        </w:tc>
      </w:tr>
      <w:tr>
        <w:trPr>
          <w:trHeight w:val="35"/>
        </w:trPr>
        <w:tc>
          <w:tcPr>
            <w:tcW w:w="20" w:type="dxa"/>
            <w:vAlign w:val="bottom"/>
            <w:tcBorders>
              <w:bottom w:val="single" w:sz="8" w:color="808080"/>
            </w:tcBorders>
          </w:tcPr>
          <w:p>
            <w:pPr>
              <w:spacing w:after="0"/>
              <w:rPr>
                <w:sz w:val="3"/>
                <w:szCs w:val="3"/>
                <w:color w:val="auto"/>
              </w:rPr>
            </w:pPr>
          </w:p>
        </w:tc>
        <w:tc>
          <w:tcPr>
            <w:tcW w:w="4540" w:type="dxa"/>
            <w:vAlign w:val="bottom"/>
            <w:tcBorders>
              <w:bottom w:val="single" w:sz="8" w:color="80808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880" w:h="15480" w:orient="portrait"/>
          <w:cols w:equalWidth="0" w:num="1">
            <w:col w:w="9900"/>
          </w:cols>
          <w:pgMar w:left="900" w:top="943" w:right="108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20027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67">
                      <a:extLst>
                        <a:ext uri="{28A0092B-C50C-407E-A947-70E740481C1C}"/>
                      </a:extLst>
                    </a:blip>
                    <a:srcRect/>
                    <a:stretch>
                      <a:fillRect/>
                    </a:stretch>
                  </pic:blipFill>
                  <pic:spPr bwMode="auto">
                    <a:xfrm>
                      <a:off x="0" y="0"/>
                      <a:ext cx="7543800" cy="200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63"/>
          <w:szCs w:val="63"/>
          <w:color w:val="273D86"/>
          <w:shd w:val="clear" w:color="auto" w:fill="98B82F"/>
        </w:rPr>
        <w:t xml:space="preserve">Corporate </w:t>
      </w:r>
      <w:r>
        <w:rPr>
          <w:rFonts w:ascii="Arial" w:cs="Arial" w:eastAsia="Arial" w:hAnsi="Arial"/>
          <w:sz w:val="63"/>
          <w:szCs w:val="63"/>
          <w:color w:val="273D86"/>
        </w:rPr>
        <w:t>Information</w:t>
      </w:r>
    </w:p>
    <w:p>
      <w:pPr>
        <w:sectPr>
          <w:pgSz w:w="11880" w:h="15480" w:orient="portrait"/>
          <w:cols w:equalWidth="0" w:num="1">
            <w:col w:w="10060"/>
          </w:cols>
          <w:pgMar w:left="1080" w:top="1440" w:right="740" w:bottom="3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3420" w:val="left"/>
        </w:tabs>
        <w:rPr>
          <w:sz w:val="20"/>
          <w:szCs w:val="20"/>
          <w:color w:val="auto"/>
        </w:rPr>
      </w:pPr>
      <w:r>
        <w:rPr>
          <w:rFonts w:ascii="Arial" w:cs="Arial" w:eastAsia="Arial" w:hAnsi="Arial"/>
          <w:sz w:val="22"/>
          <w:szCs w:val="22"/>
          <w:b w:val="1"/>
          <w:bCs w:val="1"/>
          <w:color w:val="273D86"/>
        </w:rPr>
        <w:t>Board of Directors</w:t>
      </w:r>
      <w:r>
        <w:rPr>
          <w:sz w:val="20"/>
          <w:szCs w:val="20"/>
          <w:color w:val="auto"/>
        </w:rPr>
        <w:tab/>
      </w:r>
      <w:r>
        <w:rPr>
          <w:rFonts w:ascii="Arial" w:cs="Arial" w:eastAsia="Arial" w:hAnsi="Arial"/>
          <w:sz w:val="21"/>
          <w:szCs w:val="21"/>
          <w:b w:val="1"/>
          <w:bCs w:val="1"/>
          <w:color w:val="273D86"/>
        </w:rPr>
        <w:t>Executive Officers</w:t>
      </w:r>
    </w:p>
    <w:p>
      <w:pPr>
        <w:spacing w:after="0" w:line="185"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b w:val="1"/>
          <w:bCs w:val="1"/>
          <w:color w:val="auto"/>
        </w:rPr>
        <w:t>Jason DeZwirek</w:t>
      </w:r>
      <w:r>
        <w:rPr>
          <w:sz w:val="20"/>
          <w:szCs w:val="20"/>
          <w:color w:val="auto"/>
        </w:rPr>
        <w:tab/>
      </w:r>
      <w:r>
        <w:rPr>
          <w:rFonts w:ascii="Arial" w:cs="Arial" w:eastAsia="Arial" w:hAnsi="Arial"/>
          <w:sz w:val="18"/>
          <w:szCs w:val="18"/>
          <w:b w:val="1"/>
          <w:bCs w:val="1"/>
          <w:color w:val="auto"/>
        </w:rPr>
        <w:t>Todd Gleason</w:t>
      </w:r>
    </w:p>
    <w:p>
      <w:pPr>
        <w:spacing w:after="0" w:line="4"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color w:val="auto"/>
        </w:rPr>
        <w:t>Chairman</w:t>
      </w:r>
      <w:r>
        <w:rPr>
          <w:sz w:val="20"/>
          <w:szCs w:val="20"/>
          <w:color w:val="auto"/>
        </w:rPr>
        <w:tab/>
      </w:r>
      <w:r>
        <w:rPr>
          <w:rFonts w:ascii="Arial" w:cs="Arial" w:eastAsia="Arial" w:hAnsi="Arial"/>
          <w:sz w:val="20"/>
          <w:szCs w:val="20"/>
          <w:color w:val="auto"/>
        </w:rPr>
        <w:t>Chief Executive Officer</w:t>
      </w:r>
    </w:p>
    <w:p>
      <w:pPr>
        <w:spacing w:after="0" w:line="95"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b w:val="1"/>
          <w:bCs w:val="1"/>
          <w:color w:val="auto"/>
        </w:rPr>
        <w:t>Todd Gleason</w:t>
      </w:r>
      <w:r>
        <w:rPr>
          <w:sz w:val="20"/>
          <w:szCs w:val="20"/>
          <w:color w:val="auto"/>
        </w:rPr>
        <w:tab/>
      </w:r>
      <w:r>
        <w:rPr>
          <w:rFonts w:ascii="Arial" w:cs="Arial" w:eastAsia="Arial" w:hAnsi="Arial"/>
          <w:sz w:val="18"/>
          <w:szCs w:val="18"/>
          <w:b w:val="1"/>
          <w:bCs w:val="1"/>
          <w:color w:val="auto"/>
        </w:rPr>
        <w:t>Peter Johansson</w:t>
      </w:r>
    </w:p>
    <w:p>
      <w:pPr>
        <w:spacing w:after="0" w:line="4"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color w:val="auto"/>
        </w:rPr>
        <w:t>Chief Executive Officer</w:t>
      </w:r>
      <w:r>
        <w:rPr>
          <w:sz w:val="20"/>
          <w:szCs w:val="20"/>
          <w:color w:val="auto"/>
        </w:rPr>
        <w:tab/>
      </w:r>
      <w:r>
        <w:rPr>
          <w:rFonts w:ascii="Arial" w:cs="Arial" w:eastAsia="Arial" w:hAnsi="Arial"/>
          <w:sz w:val="18"/>
          <w:szCs w:val="18"/>
          <w:color w:val="auto"/>
        </w:rPr>
        <w:t>Chief Financial &amp; Strategy Officer</w:t>
      </w:r>
    </w:p>
    <w:p>
      <w:pPr>
        <w:spacing w:after="0" w:line="95" w:lineRule="exact"/>
        <w:rPr>
          <w:sz w:val="20"/>
          <w:szCs w:val="20"/>
          <w:color w:val="auto"/>
        </w:rPr>
      </w:pPr>
    </w:p>
    <w:p>
      <w:pPr>
        <w:spacing w:after="0"/>
        <w:tabs>
          <w:tab w:leader="none" w:pos="3420" w:val="left"/>
        </w:tabs>
        <w:rPr>
          <w:sz w:val="20"/>
          <w:szCs w:val="20"/>
          <w:color w:val="auto"/>
        </w:rPr>
      </w:pPr>
      <w:r>
        <w:rPr>
          <w:rFonts w:ascii="Arial" w:cs="Arial" w:eastAsia="Arial" w:hAnsi="Arial"/>
          <w:sz w:val="20"/>
          <w:szCs w:val="20"/>
          <w:b w:val="1"/>
          <w:bCs w:val="1"/>
          <w:color w:val="auto"/>
        </w:rPr>
        <w:t>Robert E. Knowling, Jr.</w:t>
      </w:r>
      <w:r>
        <w:rPr>
          <w:sz w:val="20"/>
          <w:szCs w:val="20"/>
          <w:color w:val="auto"/>
        </w:rPr>
        <w:tab/>
      </w:r>
      <w:r>
        <w:rPr>
          <w:rFonts w:ascii="Arial" w:cs="Arial" w:eastAsia="Arial" w:hAnsi="Arial"/>
          <w:sz w:val="18"/>
          <w:szCs w:val="18"/>
          <w:b w:val="1"/>
          <w:bCs w:val="1"/>
          <w:color w:val="auto"/>
        </w:rPr>
        <w:t>Lynn Watkins-Asiyanbi</w:t>
      </w:r>
    </w:p>
    <w:p>
      <w:pPr>
        <w:spacing w:after="0" w:line="10"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Chief Administrative &amp; Legal Officer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Eagles Landing Partners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Claudio A. Mannarino</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President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Sette CS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Munish Nanda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Former President,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Americas &amp; Europe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Watts Water Technologies, Inc.</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Valerie Gentile Sachs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Former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and Corporate Secretary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OM Group,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Laurie A. Siegel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President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LAS Advisory Services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Richard F. Wallman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Former Senior Vice President and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Honeywell International,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273D86"/>
        </w:rPr>
        <w:t>Corporate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CECO Environmental Corp.’s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Annual Meeting of Stockholders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at 8:00 a.m. Central Time 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Monday, May 20, 2024,</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virtually through</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www.virtualshareholdermeeting.com/</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CECO2024</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The Common Stock of CECO Environmental Corp. is traded on the Nasdaq Global Select Market under the symbol [“CECO”]</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Office</w:t>
      </w:r>
    </w:p>
    <w:p>
      <w:pPr>
        <w:spacing w:after="0" w:line="10"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color w:val="auto"/>
        </w:rPr>
        <w:t>14651 N. Dallas Parkway, Suite 500 Dallas, Texas 75254</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Registered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Accounting Firm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BDO USA, P.C.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Counsel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Foley &amp; Lardner LLP</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Milwaukee, WI</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Broadridge Corporate Issuer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Solutions, Inc.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Brentwood, New York</w:t>
      </w:r>
    </w:p>
    <w:p>
      <w:pPr>
        <w:spacing w:after="0" w:line="200" w:lineRule="exact"/>
        <w:rPr>
          <w:sz w:val="20"/>
          <w:szCs w:val="20"/>
          <w:color w:val="auto"/>
        </w:rPr>
      </w:pPr>
    </w:p>
    <w:p>
      <w:pPr>
        <w:sectPr>
          <w:pgSz w:w="11880" w:h="15480" w:orient="portrait"/>
          <w:cols w:equalWidth="0" w:num="2">
            <w:col w:w="6480" w:space="400"/>
            <w:col w:w="3180"/>
          </w:cols>
          <w:pgMar w:left="1080" w:top="1440" w:right="740" w:bottom="322" w:gutter="0" w:footer="0" w:header="0"/>
          <w:type w:val="continuous"/>
        </w:sectPr>
      </w:pPr>
    </w:p>
    <w:p>
      <w:pPr>
        <w:spacing w:after="0" w:line="386" w:lineRule="exact"/>
        <w:rPr>
          <w:sz w:val="20"/>
          <w:szCs w:val="20"/>
          <w:color w:val="auto"/>
        </w:rPr>
      </w:pPr>
    </w:p>
    <w:p>
      <w:pPr>
        <w:jc w:val="both"/>
        <w:ind w:right="40" w:hanging="61"/>
        <w:spacing w:after="0" w:line="272" w:lineRule="auto"/>
        <w:rPr>
          <w:sz w:val="20"/>
          <w:szCs w:val="20"/>
          <w:color w:val="auto"/>
        </w:rPr>
      </w:pPr>
      <w:r>
        <w:rPr>
          <w:rFonts w:ascii="Arial" w:cs="Arial" w:eastAsia="Arial" w:hAnsi="Arial"/>
          <w:sz w:val="15"/>
          <w:szCs w:val="15"/>
          <w:color w:val="auto"/>
        </w:rPr>
        <w:t>*This document contains forward-looking statements that are intended to be covered by the safe harbor for “forward-looking statements” provided by the Private Securities Litigation Reform Act of 1995. These statements reflect the Company’s current estimates, expectations and projections about the Company’s future results, performance, prospects and opportunities. Please refer to the Cautionary Note Regarding Forward-Looking Statement in our accompanying Annual Report on Form 10-K as filed with the Securities and Exchange Commission on March 5, 2024.</w:t>
      </w:r>
    </w:p>
    <w:p>
      <w:pPr>
        <w:sectPr>
          <w:pgSz w:w="11880" w:h="15480" w:orient="portrait"/>
          <w:cols w:equalWidth="0" w:num="1">
            <w:col w:w="10060"/>
          </w:cols>
          <w:pgMar w:left="1080" w:top="1440" w:right="740" w:bottom="322"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3057525</wp:posOffset>
            </wp:positionH>
            <wp:positionV relativeFrom="page">
              <wp:posOffset>8208010</wp:posOffset>
            </wp:positionV>
            <wp:extent cx="1428750" cy="551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68">
                      <a:extLst>
                        <a:ext uri="{28A0092B-C50C-407E-A947-70E740481C1C}"/>
                      </a:extLst>
                    </a:blip>
                    <a:srcRect/>
                    <a:stretch>
                      <a:fillRect/>
                    </a:stretch>
                  </pic:blipFill>
                  <pic:spPr bwMode="auto">
                    <a:xfrm>
                      <a:off x="0" y="0"/>
                      <a:ext cx="1428750" cy="55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273D86"/>
        </w:rPr>
        <w:t>cecoenviro.com</w:t>
      </w:r>
    </w:p>
    <w:sectPr>
      <w:pgSz w:w="11880" w:h="15480" w:orient="portrait"/>
      <w:cols w:equalWidth="0" w:num="1">
        <w:col w:w="9000"/>
      </w:cols>
      <w:pgMar w:left="1440" w:top="1440" w:right="1440" w:bottom="6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endash "/>
      <w:numFmt w:val="bullet"/>
      <w:start w:val="1"/>
    </w:lvl>
  </w:abstractNum>
  <w:abstractNum w:abstractNumId="1">
    <w:nsid w:val="3F2DBA31"/>
    <w:multiLevelType w:val="hybridMultilevel"/>
    <w:lvl w:ilvl="0">
      <w:lvlJc w:val="left"/>
      <w:lvlText w:val="\endash "/>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2"/>
    </w:lvl>
  </w:abstractNum>
  <w:abstractNum w:abstractNumId="25">
    <w:nsid w:val="1E7FF521"/>
    <w:multiLevelType w:val="hybridMultilevel"/>
    <w:lvl w:ilvl="0">
      <w:lvlJc w:val="left"/>
      <w:lvlText w:val="%1."/>
      <w:numFmt w:val="decimal"/>
      <w:start w:val="9"/>
    </w:lvl>
  </w:abstractNum>
  <w:abstractNum w:abstractNumId="26">
    <w:nsid w:val="7C3DBD3D"/>
    <w:multiLevelType w:val="hybridMultilevel"/>
    <w:lvl w:ilvl="0">
      <w:lvlJc w:val="left"/>
      <w:lvlText w:val="%1."/>
      <w:numFmt w:val="decimal"/>
      <w:start w:val="10"/>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1"/>
    </w:lvl>
  </w:abstractNum>
  <w:abstractNum w:abstractNumId="29">
    <w:nsid w:val="22221A70"/>
    <w:multiLevelType w:val="hybridMultilevel"/>
    <w:lvl w:ilvl="0">
      <w:lvlJc w:val="left"/>
      <w:lvlText w:val="%1."/>
      <w:numFmt w:val="decimal"/>
      <w:start w:val="12"/>
    </w:lvl>
  </w:abstractNum>
  <w:abstractNum w:abstractNumId="30">
    <w:nsid w:val="4516DDE9"/>
    <w:multiLevelType w:val="hybridMultilevel"/>
    <w:lvl w:ilvl="0">
      <w:lvlJc w:val="left"/>
      <w:lvlText w:val="%1."/>
      <w:numFmt w:val="decimal"/>
      <w:start w:val="13"/>
    </w:lvl>
  </w:abstractNum>
  <w:abstractNum w:abstractNumId="31">
    <w:nsid w:val="3006C83E"/>
    <w:multiLevelType w:val="hybridMultilevel"/>
    <w:lvl w:ilvl="0">
      <w:lvlJc w:val="left"/>
      <w:lvlText w:val="%1."/>
      <w:numFmt w:val="decimal"/>
      <w:start w:val="14"/>
    </w:lvl>
  </w:abstractNum>
  <w:abstractNum w:abstractNumId="32">
    <w:nsid w:val="614FD4A1"/>
    <w:multiLevelType w:val="hybridMultilevel"/>
    <w:lvl w:ilvl="0">
      <w:lvlJc w:val="left"/>
      <w:lvlText w:val="%1."/>
      <w:numFmt w:val="decimal"/>
      <w:start w:val="15"/>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2024-04-11T08:48:31Z</dcterms:created>
  <dcterms:modified xsi:type="dcterms:W3CDTF">2024-04-11T08:48:31Z</dcterms:modified>
</cp:coreProperties>
</file>