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 w:lineRule="exact"/>
        <w:rPr>
          <w:sz w:val="24"/>
          <w:szCs w:val="24"/>
          <w:color w:val="auto"/>
        </w:rPr>
      </w:pPr>
    </w:p>
    <w:p>
      <w:pPr>
        <w:ind w:left="540" w:hanging="519"/>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4"/>
          <w:szCs w:val="24"/>
          <w:color w:val="auto"/>
        </w:rPr>
      </w:pPr>
    </w:p>
    <w:p>
      <w:pPr>
        <w:ind w:left="540" w:hanging="519"/>
        <w:spacing w:after="0"/>
        <w:tabs>
          <w:tab w:leader="none" w:pos="5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6" w:lineRule="exact"/>
        <w:rPr>
          <w:sz w:val="24"/>
          <w:szCs w:val="24"/>
          <w:color w:val="auto"/>
        </w:rPr>
      </w:pPr>
    </w:p>
    <w:p>
      <w:pPr>
        <w:ind w:left="3320"/>
        <w:spacing w:after="0"/>
        <w:tabs>
          <w:tab w:leader="none" w:pos="66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3590925</wp:posOffset>
            </wp:positionH>
            <wp:positionV relativeFrom="paragraph">
              <wp:posOffset>-5080</wp:posOffset>
            </wp:positionV>
            <wp:extent cx="6286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191135</wp:posOffset>
            </wp:positionV>
            <wp:extent cx="71120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200"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CECO ENVIRONMENTAL CORP.</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790" w:type="dxa"/>
        <w:tblCellMar>
          <w:top w:w="0" w:type="dxa"/>
          <w:left w:w="0" w:type="dxa"/>
          <w:bottom w:w="0" w:type="dxa"/>
          <w:right w:w="0" w:type="dxa"/>
        </w:tblCellMar>
      </w:tblPr>
      <w:tr>
        <w:trPr>
          <w:trHeight w:val="238"/>
        </w:trPr>
        <w:tc>
          <w:tcPr>
            <w:tcW w:w="3200" w:type="dxa"/>
            <w:vAlign w:val="bottom"/>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640" w:type="dxa"/>
            <w:vAlign w:val="bottom"/>
          </w:tcPr>
          <w:p>
            <w:pPr>
              <w:jc w:val="right"/>
              <w:ind w:right="1780"/>
              <w:spacing w:after="0"/>
              <w:rPr>
                <w:sz w:val="20"/>
                <w:szCs w:val="20"/>
                <w:color w:val="auto"/>
              </w:rPr>
            </w:pPr>
            <w:r>
              <w:rPr>
                <w:rFonts w:ascii="Times New Roman" w:cs="Times New Roman" w:eastAsia="Times New Roman" w:hAnsi="Times New Roman"/>
                <w:sz w:val="18"/>
                <w:szCs w:val="18"/>
                <w:b w:val="1"/>
                <w:bCs w:val="1"/>
                <w:color w:val="auto"/>
              </w:rPr>
              <w:t>13-2566064</w:t>
            </w:r>
          </w:p>
        </w:tc>
      </w:tr>
      <w:tr>
        <w:trPr>
          <w:trHeight w:val="151"/>
        </w:trPr>
        <w:tc>
          <w:tcPr>
            <w:tcW w:w="3200" w:type="dxa"/>
            <w:vAlign w:val="bottom"/>
          </w:tcPr>
          <w:p>
            <w:pPr>
              <w:jc w:val="center"/>
              <w:ind w:left="677"/>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640" w:type="dxa"/>
            <w:vAlign w:val="bottom"/>
          </w:tcPr>
          <w:p>
            <w:pPr>
              <w:jc w:val="center"/>
              <w:ind w:right="860"/>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00" w:type="dxa"/>
            <w:vAlign w:val="bottom"/>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640" w:type="dxa"/>
            <w:vAlign w:val="bottom"/>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3200" w:type="dxa"/>
            <w:vAlign w:val="bottom"/>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w w:val="99"/>
              </w:rPr>
              <w:t>14651 North Dallas Parkway</w:t>
            </w:r>
          </w:p>
        </w:tc>
        <w:tc>
          <w:tcPr>
            <w:tcW w:w="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3200" w:type="dxa"/>
            <w:vAlign w:val="bottom"/>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rPr>
              <w:t>Suite 500</w:t>
            </w: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38"/>
        </w:trPr>
        <w:tc>
          <w:tcPr>
            <w:tcW w:w="3200" w:type="dxa"/>
            <w:vAlign w:val="bottom"/>
          </w:tcPr>
          <w:p>
            <w:pPr>
              <w:jc w:val="center"/>
              <w:ind w:left="717"/>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640" w:type="dxa"/>
            <w:vAlign w:val="bottom"/>
          </w:tcPr>
          <w:p>
            <w:pPr>
              <w:jc w:val="right"/>
              <w:ind w:right="1980"/>
              <w:spacing w:after="0"/>
              <w:rPr>
                <w:sz w:val="20"/>
                <w:szCs w:val="20"/>
                <w:color w:val="auto"/>
              </w:rPr>
            </w:pPr>
            <w:r>
              <w:rPr>
                <w:rFonts w:ascii="Times New Roman" w:cs="Times New Roman" w:eastAsia="Times New Roman" w:hAnsi="Times New Roman"/>
                <w:sz w:val="18"/>
                <w:szCs w:val="18"/>
                <w:b w:val="1"/>
                <w:bCs w:val="1"/>
                <w:color w:val="auto"/>
              </w:rPr>
              <w:t>75254</w:t>
            </w:r>
          </w:p>
        </w:tc>
      </w:tr>
      <w:tr>
        <w:trPr>
          <w:trHeight w:val="193"/>
        </w:trPr>
        <w:tc>
          <w:tcPr>
            <w:tcW w:w="3200" w:type="dxa"/>
            <w:vAlign w:val="bottom"/>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640" w:type="dxa"/>
            <w:vAlign w:val="bottom"/>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34"/>
        </w:trPr>
        <w:tc>
          <w:tcPr>
            <w:tcW w:w="10000" w:type="dxa"/>
            <w:vAlign w:val="bottom"/>
            <w:gridSpan w:val="4"/>
          </w:tcPr>
          <w:p>
            <w:pPr>
              <w:ind w:left="226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tc>
      </w:tr>
      <w:tr>
        <w:trPr>
          <w:trHeight w:val="326"/>
        </w:trPr>
        <w:tc>
          <w:tcPr>
            <w:tcW w:w="32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192"/>
        </w:trPr>
        <w:tc>
          <w:tcPr>
            <w:tcW w:w="3200" w:type="dxa"/>
            <w:vAlign w:val="bottom"/>
            <w:tcBorders>
              <w:left w:val="single" w:sz="8" w:color="auto"/>
            </w:tcBorders>
          </w:tcPr>
          <w:p>
            <w:pPr>
              <w:jc w:val="center"/>
              <w:ind w:left="257"/>
              <w:spacing w:after="0"/>
              <w:rPr>
                <w:sz w:val="20"/>
                <w:szCs w:val="20"/>
                <w:color w:val="auto"/>
              </w:rPr>
            </w:pPr>
            <w:r>
              <w:rPr>
                <w:rFonts w:ascii="Times New Roman" w:cs="Times New Roman" w:eastAsia="Times New Roman" w:hAnsi="Times New Roman"/>
                <w:sz w:val="16"/>
                <w:szCs w:val="16"/>
                <w:color w:val="auto"/>
              </w:rPr>
              <w:t>Title of each class</w:t>
            </w:r>
          </w:p>
        </w:tc>
        <w:tc>
          <w:tcPr>
            <w:tcW w:w="36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Trading Symbol</w:t>
            </w:r>
          </w:p>
        </w:tc>
        <w:tc>
          <w:tcPr>
            <w:tcW w:w="3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87"/>
        </w:trPr>
        <w:tc>
          <w:tcPr>
            <w:tcW w:w="3200" w:type="dxa"/>
            <w:vAlign w:val="bottom"/>
            <w:tcBorders>
              <w:left w:val="single" w:sz="8" w:color="auto"/>
              <w:bottom w:val="single" w:sz="8" w:color="auto"/>
            </w:tcBorders>
          </w:tcPr>
          <w:p>
            <w:pPr>
              <w:spacing w:after="0"/>
              <w:rPr>
                <w:sz w:val="7"/>
                <w:szCs w:val="7"/>
                <w:color w:val="auto"/>
              </w:rPr>
            </w:pPr>
          </w:p>
        </w:tc>
        <w:tc>
          <w:tcPr>
            <w:tcW w:w="360" w:type="dxa"/>
            <w:vAlign w:val="bottom"/>
            <w:tcBorders>
              <w:bottom w:val="single" w:sz="8" w:color="auto"/>
              <w:right w:val="single" w:sz="8" w:color="auto"/>
            </w:tcBorders>
          </w:tcPr>
          <w:p>
            <w:pPr>
              <w:spacing w:after="0"/>
              <w:rPr>
                <w:sz w:val="7"/>
                <w:szCs w:val="7"/>
                <w:color w:val="auto"/>
              </w:rPr>
            </w:pPr>
          </w:p>
        </w:tc>
        <w:tc>
          <w:tcPr>
            <w:tcW w:w="2800" w:type="dxa"/>
            <w:vAlign w:val="bottom"/>
            <w:tcBorders>
              <w:bottom w:val="single" w:sz="8" w:color="auto"/>
              <w:right w:val="single" w:sz="8" w:color="auto"/>
            </w:tcBorders>
          </w:tcPr>
          <w:p>
            <w:pPr>
              <w:spacing w:after="0"/>
              <w:rPr>
                <w:sz w:val="7"/>
                <w:szCs w:val="7"/>
                <w:color w:val="auto"/>
              </w:rPr>
            </w:pPr>
          </w:p>
        </w:tc>
        <w:tc>
          <w:tcPr>
            <w:tcW w:w="3640" w:type="dxa"/>
            <w:vAlign w:val="bottom"/>
            <w:tcBorders>
              <w:bottom w:val="single" w:sz="8" w:color="auto"/>
              <w:right w:val="single" w:sz="8" w:color="auto"/>
            </w:tcBorders>
          </w:tcPr>
          <w:p>
            <w:pPr>
              <w:spacing w:after="0"/>
              <w:rPr>
                <w:sz w:val="7"/>
                <w:szCs w:val="7"/>
                <w:color w:val="auto"/>
              </w:rPr>
            </w:pPr>
          </w:p>
        </w:tc>
      </w:tr>
      <w:tr>
        <w:trPr>
          <w:trHeight w:val="190"/>
        </w:trPr>
        <w:tc>
          <w:tcPr>
            <w:tcW w:w="3200" w:type="dxa"/>
            <w:vAlign w:val="bottom"/>
            <w:tcBorders>
              <w:left w:val="single" w:sz="8" w:color="auto"/>
            </w:tcBorders>
          </w:tcPr>
          <w:p>
            <w:pPr>
              <w:jc w:val="center"/>
              <w:ind w:left="257"/>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36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CECO</w:t>
            </w:r>
          </w:p>
        </w:tc>
        <w:tc>
          <w:tcPr>
            <w:tcW w:w="3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56"/>
        </w:trPr>
        <w:tc>
          <w:tcPr>
            <w:tcW w:w="3200" w:type="dxa"/>
            <w:vAlign w:val="bottom"/>
            <w:tcBorders>
              <w:left w:val="single" w:sz="8" w:color="auto"/>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right w:val="single" w:sz="8" w:color="auto"/>
            </w:tcBorders>
          </w:tcPr>
          <w:p>
            <w:pPr>
              <w:spacing w:after="0"/>
              <w:rPr>
                <w:sz w:val="4"/>
                <w:szCs w:val="4"/>
                <w:color w:val="auto"/>
              </w:rPr>
            </w:pPr>
          </w:p>
        </w:tc>
      </w:tr>
    </w:tbl>
    <w:p>
      <w:pPr>
        <w:spacing w:after="0" w:line="90" w:lineRule="exact"/>
        <w:rPr>
          <w:sz w:val="24"/>
          <w:szCs w:val="24"/>
          <w:color w:val="auto"/>
        </w:rPr>
      </w:pPr>
    </w:p>
    <w:p>
      <w:pPr>
        <w:ind w:right="60" w:firstLine="26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right="100" w:firstLine="26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40" w:firstLine="26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260" w:type="dxa"/>
        <w:tblCellMar>
          <w:top w:w="0" w:type="dxa"/>
          <w:left w:w="0" w:type="dxa"/>
          <w:bottom w:w="0" w:type="dxa"/>
          <w:right w:w="0" w:type="dxa"/>
        </w:tblCellMar>
      </w:tblPr>
      <w:tr>
        <w:trPr>
          <w:trHeight w:val="30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2"/>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16" w:lineRule="exact"/>
        <w:rPr>
          <w:sz w:val="24"/>
          <w:szCs w:val="24"/>
          <w:color w:val="auto"/>
        </w:rPr>
      </w:pPr>
    </w:p>
    <w:p>
      <w:pPr>
        <w:ind w:right="240" w:firstLine="26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left="280"/>
        <w:spacing w:after="0" w:line="207" w:lineRule="exact"/>
        <w:tabs>
          <w:tab w:leader="none" w:pos="92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70" w:lineRule="exact"/>
        <w:rPr>
          <w:sz w:val="24"/>
          <w:szCs w:val="24"/>
          <w:color w:val="auto"/>
        </w:rPr>
      </w:pPr>
    </w:p>
    <w:p>
      <w:pPr>
        <w:ind w:firstLine="269"/>
        <w:spacing w:after="0" w:line="258" w:lineRule="auto"/>
        <w:rPr>
          <w:sz w:val="20"/>
          <w:szCs w:val="20"/>
          <w:color w:val="auto"/>
        </w:rPr>
      </w:pPr>
      <w:r>
        <w:rPr>
          <w:rFonts w:ascii="Times New Roman" w:cs="Times New Roman" w:eastAsia="Times New Roman" w:hAnsi="Times New Roman"/>
          <w:sz w:val="18"/>
          <w:szCs w:val="18"/>
          <w:color w:val="auto"/>
        </w:rPr>
        <w:t>The number of shares outstanding of each of the issuer’s classes of common equity, as of the latest practical date: 34,935,514 shares of common stock, par value $0.01 per share, as of April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423545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1" w:name="page2"/>
    <w:bookmarkEnd w:id="1"/>
    <w:p>
      <w:pPr>
        <w:jc w:val="center"/>
        <w:ind w:left="900"/>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18"/>
          <w:szCs w:val="18"/>
          <w:color w:val="auto"/>
        </w:rPr>
        <w:t>QUARTERLY REPORT ON FORM 10-Q</w:t>
      </w:r>
    </w:p>
    <w:p>
      <w:pPr>
        <w:spacing w:after="0" w:line="9"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18"/>
          <w:szCs w:val="18"/>
          <w:color w:val="auto"/>
        </w:rPr>
        <w:t>For the quarter ended March 31, 2024</w:t>
      </w:r>
    </w:p>
    <w:p>
      <w:pPr>
        <w:spacing w:after="0" w:line="95"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Part I –</w:t>
      </w:r>
      <w:r>
        <w:rPr>
          <w:sz w:val="20"/>
          <w:szCs w:val="20"/>
          <w:color w:val="auto"/>
        </w:rPr>
        <w:tab/>
      </w:r>
      <w:r>
        <w:rPr>
          <w:rFonts w:ascii="Times New Roman" w:cs="Times New Roman" w:eastAsia="Times New Roman" w:hAnsi="Times New Roman"/>
          <w:sz w:val="17"/>
          <w:szCs w:val="17"/>
          <w:u w:val="single" w:color="auto"/>
          <w:color w:val="0000FF"/>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9994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99490" cy="8255"/>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307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6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 as of March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-7620</wp:posOffset>
            </wp:positionV>
            <wp:extent cx="39852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85260" cy="8255"/>
                    </a:xfrm>
                    <a:prstGeom prst="rect">
                      <a:avLst/>
                    </a:prstGeom>
                    <a:noFill/>
                  </pic:spPr>
                </pic:pic>
              </a:graphicData>
            </a:graphic>
          </wp:anchor>
        </w:drawing>
      </w:r>
    </w:p>
    <w:p>
      <w:pPr>
        <w:spacing w:after="0" w:line="16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Income for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-7620</wp:posOffset>
            </wp:positionV>
            <wp:extent cx="4623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23435" cy="8890"/>
                    </a:xfrm>
                    <a:prstGeom prst="rect">
                      <a:avLst/>
                    </a:prstGeom>
                    <a:noFill/>
                  </pic:spPr>
                </pic:pic>
              </a:graphicData>
            </a:graphic>
          </wp:anchor>
        </w:drawing>
      </w:r>
    </w:p>
    <w:p>
      <w:pPr>
        <w:spacing w:after="0" w:line="16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Comprehensive Income for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-7620</wp:posOffset>
            </wp:positionV>
            <wp:extent cx="53689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68925" cy="8255"/>
                    </a:xfrm>
                    <a:prstGeom prst="rect">
                      <a:avLst/>
                    </a:prstGeom>
                    <a:noFill/>
                  </pic:spPr>
                </pic:pic>
              </a:graphicData>
            </a:graphic>
          </wp:anchor>
        </w:drawing>
      </w:r>
    </w:p>
    <w:p>
      <w:pPr>
        <w:spacing w:after="0" w:line="16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Shareholders’ Equity for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-7620</wp:posOffset>
            </wp:positionV>
            <wp:extent cx="52482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48275" cy="8255"/>
                    </a:xfrm>
                    <a:prstGeom prst="rect">
                      <a:avLst/>
                    </a:prstGeom>
                    <a:noFill/>
                  </pic:spPr>
                </pic:pic>
              </a:graphicData>
            </a:graphic>
          </wp:anchor>
        </w:drawing>
      </w:r>
    </w:p>
    <w:p>
      <w:pPr>
        <w:spacing w:after="0" w:line="16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Flows for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-7620</wp:posOffset>
            </wp:positionV>
            <wp:extent cx="48171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17110" cy="8255"/>
                    </a:xfrm>
                    <a:prstGeom prst="rect">
                      <a:avLst/>
                    </a:prstGeom>
                    <a:noFill/>
                  </pic:spPr>
                </pic:pic>
              </a:graphicData>
            </a:graphic>
          </wp:anchor>
        </w:drawing>
      </w:r>
    </w:p>
    <w:p>
      <w:pPr>
        <w:spacing w:after="0" w:line="16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-7620</wp:posOffset>
            </wp:positionV>
            <wp:extent cx="25355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35555" cy="8255"/>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44519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51985" cy="8255"/>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3087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87370" cy="8255"/>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4751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5105" cy="8255"/>
                    </a:xfrm>
                    <a:prstGeom prst="rect">
                      <a:avLst/>
                    </a:prstGeom>
                    <a:noFill/>
                  </pic:spPr>
                </pic:pic>
              </a:graphicData>
            </a:graphic>
          </wp:anchor>
        </w:drawing>
      </w:r>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Part II –</w:t>
      </w:r>
      <w:r>
        <w:rPr>
          <w:sz w:val="20"/>
          <w:szCs w:val="20"/>
          <w:color w:val="auto"/>
        </w:rPr>
        <w:tab/>
      </w:r>
      <w:r>
        <w:rPr>
          <w:rFonts w:ascii="Times New Roman" w:cs="Times New Roman" w:eastAsia="Times New Roman" w:hAnsi="Times New Roman"/>
          <w:sz w:val="17"/>
          <w:szCs w:val="17"/>
          <w:u w:val="single" w:color="auto"/>
          <w:color w:val="0000F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8343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34390" cy="8890"/>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1995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0090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09015" cy="8890"/>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31127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2770" cy="8255"/>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3. 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8275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7530" cy="8890"/>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4751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75105" cy="8255"/>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5.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1868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7327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79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826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26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2">
            <w:col w:w="9840" w:space="720"/>
            <w:col w:w="180"/>
          </w:cols>
          <w:pgMar w:left="580" w:top="981" w:right="5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CECO ENVIRONMENTAL CORP. AND SUBSIDIARIES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40" w:type="dxa"/>
            <w:vAlign w:val="bottom"/>
          </w:tcPr>
          <w:p>
            <w:pPr>
              <w:spacing w:after="0"/>
              <w:rPr>
                <w:sz w:val="16"/>
                <w:szCs w:val="16"/>
                <w:color w:val="auto"/>
              </w:rPr>
            </w:pPr>
          </w:p>
        </w:tc>
        <w:tc>
          <w:tcPr>
            <w:tcW w:w="17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54,779</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 allowances of $6,023 and $6,460</w:t>
            </w:r>
          </w:p>
        </w:tc>
        <w:tc>
          <w:tcPr>
            <w:tcW w:w="2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116,647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112,733</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66,574</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38,032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34,089</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11,769</w:t>
            </w:r>
          </w:p>
        </w:tc>
        <w:tc>
          <w:tcPr>
            <w:tcW w:w="100" w:type="dxa"/>
            <w:vAlign w:val="bottom"/>
          </w:tcPr>
          <w:p>
            <w:pPr>
              <w:spacing w:after="0"/>
              <w:rPr>
                <w:sz w:val="20"/>
                <w:szCs w:val="20"/>
                <w:color w:val="auto"/>
              </w:rPr>
            </w:pPr>
          </w:p>
        </w:tc>
      </w:tr>
      <w:tr>
        <w:trPr>
          <w:trHeight w:val="243"/>
        </w:trPr>
        <w:tc>
          <w:tcPr>
            <w:tcW w:w="7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income taxes</w:t>
            </w:r>
          </w:p>
        </w:tc>
        <w:tc>
          <w:tcPr>
            <w:tcW w:w="24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271,609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281,437</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26,237</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16,256</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211,479</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211,326</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50,461</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2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0"/>
                <w:szCs w:val="20"/>
                <w:color w:val="auto"/>
              </w:rPr>
            </w:pPr>
          </w:p>
        </w:tc>
      </w:tr>
      <w:tr>
        <w:trPr>
          <w:trHeight w:val="243"/>
        </w:trPr>
        <w:tc>
          <w:tcPr>
            <w:tcW w:w="7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24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589,020</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600,291</w:t>
            </w:r>
          </w:p>
        </w:tc>
        <w:tc>
          <w:tcPr>
            <w:tcW w:w="100" w:type="dxa"/>
            <w:vAlign w:val="bottom"/>
          </w:tcPr>
          <w:p>
            <w:pPr>
              <w:spacing w:after="0"/>
              <w:rPr>
                <w:sz w:val="20"/>
                <w:szCs w:val="20"/>
                <w:color w:val="auto"/>
              </w:rPr>
            </w:pPr>
          </w:p>
        </w:tc>
      </w:tr>
      <w:tr>
        <w:trPr>
          <w:trHeight w:val="20"/>
        </w:trPr>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debt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79,061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87,691</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46,195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44,301</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56,899</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Notes payable</w:t>
            </w:r>
          </w:p>
        </w:tc>
        <w:tc>
          <w:tcPr>
            <w:tcW w:w="2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20"/>
                <w:szCs w:val="20"/>
                <w:color w:val="auto"/>
              </w:rPr>
            </w:pPr>
          </w:p>
        </w:tc>
      </w:tr>
      <w:tr>
        <w:trPr>
          <w:trHeight w:val="241"/>
        </w:trPr>
        <w:tc>
          <w:tcPr>
            <w:tcW w:w="7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196,310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203,106</w:t>
            </w:r>
          </w:p>
        </w:tc>
        <w:tc>
          <w:tcPr>
            <w:tcW w:w="100" w:type="dxa"/>
            <w:vAlign w:val="bottom"/>
            <w:shd w:val="clear" w:color="auto" w:fill="CFF0FC"/>
          </w:tcPr>
          <w:p>
            <w:pPr>
              <w:spacing w:after="0"/>
              <w:rPr>
                <w:sz w:val="20"/>
                <w:szCs w:val="20"/>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less current portion</w:t>
            </w:r>
          </w:p>
        </w:tc>
        <w:tc>
          <w:tcPr>
            <w:tcW w:w="2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125,070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126,795</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00" w:type="dxa"/>
            <w:vAlign w:val="bottom"/>
          </w:tcPr>
          <w:p>
            <w:pPr>
              <w:spacing w:after="0"/>
              <w:rPr>
                <w:sz w:val="20"/>
                <w:szCs w:val="20"/>
                <w:color w:val="auto"/>
              </w:rPr>
            </w:pPr>
          </w:p>
        </w:tc>
      </w:tr>
      <w:tr>
        <w:trPr>
          <w:trHeight w:val="243"/>
        </w:trPr>
        <w:tc>
          <w:tcPr>
            <w:tcW w:w="7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352,868</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362,800</w:t>
            </w:r>
          </w:p>
        </w:tc>
        <w:tc>
          <w:tcPr>
            <w:tcW w:w="100" w:type="dxa"/>
            <w:vAlign w:val="bottom"/>
          </w:tcPr>
          <w:p>
            <w:pPr>
              <w:spacing w:after="0"/>
              <w:rPr>
                <w:sz w:val="20"/>
                <w:szCs w:val="20"/>
                <w:color w:val="auto"/>
              </w:rPr>
            </w:pPr>
          </w:p>
        </w:tc>
      </w:tr>
      <w:tr>
        <w:trPr>
          <w:trHeight w:val="241"/>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14)</w:t>
            </w:r>
          </w:p>
        </w:tc>
        <w:tc>
          <w:tcPr>
            <w:tcW w:w="24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$.01 par value; 10,000 shares authorized, none issued</w:t>
            </w:r>
          </w:p>
        </w:tc>
        <w:tc>
          <w:tcPr>
            <w:tcW w:w="24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$.01 par value; 100,000,000 shares authorized, 34,908,330 and</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34,835,293 shares issued and outstanding at March 31, 2024 and December 31, 2023,</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0"/>
                <w:szCs w:val="20"/>
                <w:color w:val="auto"/>
              </w:rPr>
            </w:pPr>
          </w:p>
        </w:tc>
      </w:tr>
      <w:tr>
        <w:trPr>
          <w:trHeight w:val="250"/>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251,673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254,956</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loss</w:t>
            </w:r>
          </w:p>
        </w:tc>
        <w:tc>
          <w:tcPr>
            <w:tcW w:w="240" w:type="dxa"/>
            <w:vAlign w:val="bottom"/>
          </w:tcPr>
          <w:p>
            <w:pPr>
              <w:spacing w:after="0"/>
              <w:rPr>
                <w:sz w:val="20"/>
                <w:szCs w:val="20"/>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(4,879 )</w:t>
            </w:r>
          </w:p>
        </w:tc>
        <w:tc>
          <w:tcPr>
            <w:tcW w:w="18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(6,387 )</w:t>
            </w:r>
          </w:p>
        </w:tc>
      </w:tr>
      <w:tr>
        <w:trPr>
          <w:trHeight w:val="243"/>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(15,620 )</w:t>
            </w:r>
          </w:p>
        </w:tc>
        <w:tc>
          <w:tcPr>
            <w:tcW w:w="1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(16,274 )</w:t>
            </w:r>
          </w:p>
        </w:tc>
      </w:tr>
      <w:tr>
        <w:trPr>
          <w:trHeight w:val="237"/>
        </w:trPr>
        <w:tc>
          <w:tcPr>
            <w:tcW w:w="74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231,523</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232,643</w:t>
            </w:r>
          </w:p>
        </w:tc>
        <w:tc>
          <w:tcPr>
            <w:tcW w:w="100" w:type="dxa"/>
            <w:vAlign w:val="bottom"/>
            <w:tcBorders>
              <w:top w:val="single" w:sz="8" w:color="CFF0FC"/>
            </w:tcBorders>
          </w:tcPr>
          <w:p>
            <w:pPr>
              <w:spacing w:after="0"/>
              <w:rPr>
                <w:sz w:val="20"/>
                <w:szCs w:val="20"/>
                <w:color w:val="auto"/>
              </w:rPr>
            </w:pPr>
          </w:p>
        </w:tc>
      </w:tr>
      <w:tr>
        <w:trPr>
          <w:trHeight w:val="243"/>
        </w:trPr>
        <w:tc>
          <w:tcPr>
            <w:tcW w:w="74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236,152</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237,491</w:t>
            </w:r>
          </w:p>
        </w:tc>
        <w:tc>
          <w:tcPr>
            <w:tcW w:w="100" w:type="dxa"/>
            <w:vAlign w:val="bottom"/>
          </w:tcPr>
          <w:p>
            <w:pPr>
              <w:spacing w:after="0"/>
              <w:rPr>
                <w:sz w:val="20"/>
                <w:szCs w:val="20"/>
                <w:color w:val="auto"/>
              </w:rPr>
            </w:pPr>
          </w:p>
        </w:tc>
      </w:tr>
      <w:tr>
        <w:trPr>
          <w:trHeight w:val="276"/>
        </w:trPr>
        <w:tc>
          <w:tcPr>
            <w:tcW w:w="74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589,020</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600,291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-5640070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-5640070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-4396740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-4396740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-2193925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-668020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-351155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20" w:type="dxa"/>
            <w:vAlign w:val="bottom"/>
            <w:gridSpan w:val="5"/>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r>
      <w:tr>
        <w:trPr>
          <w:trHeight w:val="237"/>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126,332</w:t>
            </w: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112,563</w:t>
            </w:r>
          </w:p>
        </w:tc>
        <w:tc>
          <w:tcPr>
            <w:tcW w:w="280" w:type="dxa"/>
            <w:vAlign w:val="bottom"/>
            <w:shd w:val="clear" w:color="auto" w:fill="CFF0FC"/>
          </w:tcPr>
          <w:p>
            <w:pPr>
              <w:spacing w:after="0"/>
              <w:rPr>
                <w:sz w:val="20"/>
                <w:szCs w:val="20"/>
                <w:color w:val="auto"/>
              </w:rPr>
            </w:pP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81,200</w:t>
            </w:r>
          </w:p>
        </w:tc>
        <w:tc>
          <w:tcPr>
            <w:tcW w:w="2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77,670</w:t>
            </w:r>
          </w:p>
        </w:tc>
        <w:tc>
          <w:tcPr>
            <w:tcW w:w="280" w:type="dxa"/>
            <w:vAlign w:val="bottom"/>
          </w:tcPr>
          <w:p>
            <w:pPr>
              <w:spacing w:after="0"/>
              <w:rPr>
                <w:sz w:val="21"/>
                <w:szCs w:val="21"/>
                <w:color w:val="auto"/>
              </w:rPr>
            </w:pPr>
          </w:p>
        </w:tc>
      </w:tr>
      <w:tr>
        <w:trPr>
          <w:trHeight w:val="237"/>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45,132</w:t>
            </w: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34,893</w:t>
            </w:r>
          </w:p>
        </w:tc>
        <w:tc>
          <w:tcPr>
            <w:tcW w:w="280" w:type="dxa"/>
            <w:vAlign w:val="bottom"/>
            <w:shd w:val="clear" w:color="auto" w:fill="CFF0FC"/>
          </w:tcPr>
          <w:p>
            <w:pPr>
              <w:spacing w:after="0"/>
              <w:rPr>
                <w:sz w:val="20"/>
                <w:szCs w:val="20"/>
                <w:color w:val="auto"/>
              </w:rPr>
            </w:pPr>
          </w:p>
        </w:tc>
      </w:tr>
      <w:tr>
        <w:trPr>
          <w:trHeight w:val="23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34,908</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27,193</w:t>
            </w:r>
          </w:p>
        </w:tc>
        <w:tc>
          <w:tcPr>
            <w:tcW w:w="280" w:type="dxa"/>
            <w:vAlign w:val="bottom"/>
          </w:tcPr>
          <w:p>
            <w:pPr>
              <w:spacing w:after="0"/>
              <w:rPr>
                <w:sz w:val="20"/>
                <w:szCs w:val="20"/>
                <w:color w:val="auto"/>
              </w:rPr>
            </w:pPr>
          </w:p>
        </w:tc>
      </w:tr>
      <w:tr>
        <w:trPr>
          <w:trHeight w:val="247"/>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280" w:type="dxa"/>
            <w:vAlign w:val="bottom"/>
            <w:shd w:val="clear" w:color="auto" w:fill="CFF0FC"/>
          </w:tcPr>
          <w:p>
            <w:pPr>
              <w:spacing w:after="0"/>
              <w:rPr>
                <w:sz w:val="21"/>
                <w:szCs w:val="21"/>
                <w:color w:val="auto"/>
              </w:rPr>
            </w:pPr>
          </w:p>
        </w:tc>
      </w:tr>
      <w:tr>
        <w:trPr>
          <w:trHeight w:val="23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80" w:type="dxa"/>
            <w:vAlign w:val="bottom"/>
          </w:tcPr>
          <w:p>
            <w:pPr>
              <w:spacing w:after="0"/>
              <w:rPr>
                <w:sz w:val="20"/>
                <w:szCs w:val="20"/>
                <w:color w:val="auto"/>
              </w:rPr>
            </w:pPr>
          </w:p>
        </w:tc>
      </w:tr>
      <w:tr>
        <w:trPr>
          <w:trHeight w:val="247"/>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72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28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280" w:type="dxa"/>
            <w:vAlign w:val="bottom"/>
            <w:tcBorders>
              <w:top w:val="single" w:sz="8" w:color="CFF0FC"/>
            </w:tcBorders>
          </w:tcPr>
          <w:p>
            <w:pPr>
              <w:spacing w:after="0"/>
              <w:rPr>
                <w:sz w:val="20"/>
                <w:szCs w:val="20"/>
                <w:color w:val="auto"/>
              </w:rPr>
            </w:pPr>
          </w:p>
        </w:tc>
      </w:tr>
      <w:tr>
        <w:trPr>
          <w:trHeight w:val="247"/>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4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(1,513 )</w:t>
            </w:r>
          </w:p>
        </w:tc>
        <w:tc>
          <w:tcPr>
            <w:tcW w:w="4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(574 )</w:t>
            </w: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(3,413 )</w:t>
            </w:r>
          </w:p>
        </w:tc>
        <w:tc>
          <w:tcPr>
            <w:tcW w:w="4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(2,408 )</w:t>
            </w:r>
          </w:p>
        </w:tc>
      </w:tr>
      <w:tr>
        <w:trPr>
          <w:trHeight w:val="237"/>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8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280" w:type="dxa"/>
            <w:vAlign w:val="bottom"/>
            <w:shd w:val="clear" w:color="auto" w:fill="CFF0FC"/>
          </w:tcPr>
          <w:p>
            <w:pPr>
              <w:spacing w:after="0"/>
              <w:rPr>
                <w:sz w:val="20"/>
                <w:szCs w:val="20"/>
                <w:color w:val="auto"/>
              </w:rPr>
            </w:pP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1"/>
                <w:szCs w:val="21"/>
                <w:color w:val="auto"/>
              </w:rPr>
            </w:pPr>
          </w:p>
        </w:tc>
      </w:tr>
      <w:tr>
        <w:trPr>
          <w:trHeight w:val="237"/>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280" w:type="dxa"/>
            <w:vAlign w:val="bottom"/>
            <w:shd w:val="clear" w:color="auto" w:fill="CFF0FC"/>
          </w:tcPr>
          <w:p>
            <w:pPr>
              <w:spacing w:after="0"/>
              <w:rPr>
                <w:sz w:val="20"/>
                <w:szCs w:val="20"/>
                <w:color w:val="auto"/>
              </w:rPr>
            </w:pP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42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(585 )</w:t>
            </w:r>
          </w:p>
        </w:tc>
        <w:tc>
          <w:tcPr>
            <w:tcW w:w="4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(491 )</w:t>
            </w:r>
          </w:p>
        </w:tc>
      </w:tr>
      <w:tr>
        <w:trPr>
          <w:trHeight w:val="237"/>
        </w:trPr>
        <w:tc>
          <w:tcPr>
            <w:tcW w:w="7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280" w:type="dxa"/>
            <w:vAlign w:val="bottom"/>
            <w:tcBorders>
              <w:bottom w:val="single" w:sz="8" w:color="CFF0FC"/>
            </w:tcBorders>
            <w:shd w:val="clear" w:color="auto" w:fill="CFF0FC"/>
          </w:tcPr>
          <w:p>
            <w:pPr>
              <w:spacing w:after="0"/>
              <w:rPr>
                <w:sz w:val="20"/>
                <w:szCs w:val="20"/>
                <w:color w:val="auto"/>
              </w:rPr>
            </w:pPr>
          </w:p>
        </w:tc>
      </w:tr>
      <w:tr>
        <w:trPr>
          <w:trHeight w:val="232"/>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87"/>
        </w:trPr>
        <w:tc>
          <w:tcPr>
            <w:tcW w:w="7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80" w:type="dxa"/>
            <w:vAlign w:val="bottom"/>
            <w:tcBorders>
              <w:bottom w:val="single" w:sz="8" w:color="CFF0FC"/>
            </w:tcBorders>
            <w:shd w:val="clear" w:color="auto" w:fill="CFF0FC"/>
          </w:tcPr>
          <w:p>
            <w:pPr>
              <w:spacing w:after="0"/>
              <w:rPr>
                <w:sz w:val="24"/>
                <w:szCs w:val="24"/>
                <w:color w:val="auto"/>
              </w:rPr>
            </w:pPr>
          </w:p>
        </w:tc>
      </w:tr>
      <w:tr>
        <w:trPr>
          <w:trHeight w:val="224"/>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8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3"/>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39"/>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34,846,163</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34,441,905</w:t>
            </w:r>
          </w:p>
        </w:tc>
        <w:tc>
          <w:tcPr>
            <w:tcW w:w="280" w:type="dxa"/>
            <w:vAlign w:val="bottom"/>
          </w:tcPr>
          <w:p>
            <w:pPr>
              <w:spacing w:after="0"/>
              <w:rPr>
                <w:sz w:val="20"/>
                <w:szCs w:val="20"/>
                <w:color w:val="auto"/>
              </w:rPr>
            </w:pPr>
          </w:p>
        </w:tc>
      </w:tr>
      <w:tr>
        <w:trPr>
          <w:trHeight w:val="247"/>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36,177,323</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35,198,668</w:t>
            </w:r>
          </w:p>
        </w:tc>
        <w:tc>
          <w:tcPr>
            <w:tcW w:w="28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-2253615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-2253615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-985520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-985520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-668020</wp:posOffset>
            </wp:positionV>
            <wp:extent cx="768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-650875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-668020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-650875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r>
      <w:tr>
        <w:trPr>
          <w:trHeight w:val="232"/>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280" w:type="dxa"/>
            <w:vAlign w:val="bottom"/>
            <w:shd w:val="clear" w:color="auto" w:fill="CFF0FC"/>
          </w:tcPr>
          <w:p>
            <w:pPr>
              <w:spacing w:after="0"/>
              <w:rPr>
                <w:sz w:val="20"/>
                <w:szCs w:val="20"/>
                <w:color w:val="auto"/>
              </w:rPr>
            </w:pPr>
          </w:p>
        </w:tc>
      </w:tr>
      <w:tr>
        <w:trPr>
          <w:trHeight w:val="237"/>
        </w:trPr>
        <w:tc>
          <w:tcPr>
            <w:tcW w:w="7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r>
      <w:tr>
        <w:trPr>
          <w:trHeight w:val="243"/>
        </w:trPr>
        <w:tc>
          <w:tcPr>
            <w:tcW w:w="7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4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3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80" w:type="dxa"/>
            <w:vAlign w:val="bottom"/>
            <w:tcBorders>
              <w:bottom w:val="single" w:sz="8" w:color="CFF0FC"/>
            </w:tcBorders>
            <w:shd w:val="clear" w:color="auto" w:fill="CFF0FC"/>
          </w:tcPr>
          <w:p>
            <w:pPr>
              <w:spacing w:after="0"/>
              <w:rPr>
                <w:sz w:val="21"/>
                <w:szCs w:val="21"/>
                <w:color w:val="auto"/>
              </w:rPr>
            </w:pPr>
          </w:p>
        </w:tc>
      </w:tr>
      <w:tr>
        <w:trPr>
          <w:trHeight w:val="237"/>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280" w:type="dxa"/>
            <w:vAlign w:val="bottom"/>
          </w:tcPr>
          <w:p>
            <w:pPr>
              <w:spacing w:after="0"/>
              <w:rPr>
                <w:sz w:val="20"/>
                <w:szCs w:val="20"/>
                <w:color w:val="auto"/>
              </w:rPr>
            </w:pPr>
          </w:p>
        </w:tc>
      </w:tr>
      <w:tr>
        <w:trPr>
          <w:trHeight w:val="20"/>
        </w:trPr>
        <w:tc>
          <w:tcPr>
            <w:tcW w:w="7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-505460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-505460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-187960</wp:posOffset>
            </wp:positionV>
            <wp:extent cx="768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-187960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4"/>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80" w:type="dxa"/>
            <w:vAlign w:val="bottom"/>
            <w:gridSpan w:val="7"/>
            <w:vMerge w:val="restart"/>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2"/>
                <w:szCs w:val="12"/>
                <w:color w:val="auto"/>
              </w:rPr>
            </w:pPr>
          </w:p>
        </w:tc>
        <w:tc>
          <w:tcPr>
            <w:tcW w:w="100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Capital in</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Non-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gridSpan w:val="7"/>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excess of</w:t>
            </w:r>
          </w:p>
        </w:tc>
        <w:tc>
          <w:tcPr>
            <w:tcW w:w="112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4"/>
                <w:szCs w:val="14"/>
                <w:color w:val="auto"/>
              </w:rPr>
            </w:pPr>
          </w:p>
        </w:tc>
        <w:tc>
          <w:tcPr>
            <w:tcW w:w="132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4"/>
                <w:szCs w:val="14"/>
                <w:color w:val="auto"/>
              </w:rPr>
            </w:pPr>
          </w:p>
        </w:tc>
        <w:tc>
          <w:tcPr>
            <w:tcW w:w="1020" w:type="dxa"/>
            <w:vAlign w:val="bottom"/>
            <w:gridSpan w:val="4"/>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02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140" w:type="dxa"/>
            <w:vAlign w:val="bottom"/>
            <w:tcBorders>
              <w:top w:val="single" w:sz="8" w:color="auto"/>
            </w:tcBorders>
            <w:gridSpan w:val="4"/>
          </w:tcPr>
          <w:p>
            <w:pPr>
              <w:jc w:val="right"/>
              <w:ind w:right="50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33"/>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320" w:type="dxa"/>
            <w:vAlign w:val="bottom"/>
          </w:tcPr>
          <w:p>
            <w:pPr>
              <w:spacing w:after="0"/>
              <w:rPr>
                <w:sz w:val="12"/>
                <w:szCs w:val="12"/>
                <w:color w:val="auto"/>
              </w:rPr>
            </w:pPr>
          </w:p>
        </w:tc>
        <w:tc>
          <w:tcPr>
            <w:tcW w:w="800" w:type="dxa"/>
            <w:vAlign w:val="bottom"/>
            <w:gridSpan w:val="3"/>
          </w:tcPr>
          <w:p>
            <w:pPr>
              <w:jc w:val="center"/>
              <w:ind w:right="520"/>
              <w:spacing w:after="0" w:line="142" w:lineRule="exact"/>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2"/>
                <w:szCs w:val="12"/>
                <w:color w:val="auto"/>
              </w:rPr>
            </w:pPr>
          </w:p>
        </w:tc>
        <w:tc>
          <w:tcPr>
            <w:tcW w:w="1320" w:type="dxa"/>
            <w:vAlign w:val="bottom"/>
            <w:gridSpan w:val="4"/>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460"/>
              <w:spacing w:after="0" w:line="142"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60" w:type="dxa"/>
            <w:vAlign w:val="bottom"/>
          </w:tcPr>
          <w:p>
            <w:pPr>
              <w:spacing w:after="0"/>
              <w:rPr>
                <w:sz w:val="12"/>
                <w:szCs w:val="12"/>
                <w:color w:val="auto"/>
              </w:rPr>
            </w:pPr>
          </w:p>
        </w:tc>
        <w:tc>
          <w:tcPr>
            <w:tcW w:w="860" w:type="dxa"/>
            <w:vAlign w:val="bottom"/>
            <w:gridSpan w:val="4"/>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2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34,835</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254,956</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(6,387 )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(16,274 )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4,848</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237,491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for the three months ended March 31, 2024</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1,508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2,093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(2,204 )</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(2,202 )</w:t>
            </w: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1,808</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1,808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repurchase and retirement</w:t>
            </w: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(144 )</w:t>
            </w:r>
          </w:p>
        </w:tc>
        <w:tc>
          <w:tcPr>
            <w:tcW w:w="18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(1 )</w:t>
            </w:r>
          </w:p>
        </w:tc>
        <w:tc>
          <w:tcPr>
            <w:tcW w:w="120" w:type="dxa"/>
            <w:vAlign w:val="bottom"/>
          </w:tcPr>
          <w:p>
            <w:pPr>
              <w:spacing w:after="0"/>
              <w:rPr>
                <w:sz w:val="15"/>
                <w:szCs w:val="15"/>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(3,000 )</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(3,001 )</w:t>
            </w: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Translation gain</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654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 distributions</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(804 )</w:t>
            </w:r>
          </w:p>
        </w:tc>
        <w:tc>
          <w:tcPr>
            <w:tcW w:w="160" w:type="dxa"/>
            <w:vAlign w:val="bottom"/>
          </w:tcPr>
          <w:p>
            <w:pPr>
              <w:spacing w:after="0"/>
              <w:rPr>
                <w:sz w:val="15"/>
                <w:szCs w:val="15"/>
                <w:color w:val="auto"/>
              </w:rPr>
            </w:pP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(804 )</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March 31, 2024</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34,908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251,673</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(4,879 )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(15,620 )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4,629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236,152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25"/>
        </w:trPr>
        <w:tc>
          <w:tcPr>
            <w:tcW w:w="31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gridSpan w:val="3"/>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80" w:type="dxa"/>
            <w:vAlign w:val="bottom"/>
            <w:gridSpan w:val="7"/>
            <w:vMerge w:val="restart"/>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2"/>
                <w:szCs w:val="12"/>
                <w:color w:val="auto"/>
              </w:rPr>
            </w:pPr>
          </w:p>
        </w:tc>
        <w:tc>
          <w:tcPr>
            <w:tcW w:w="100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Capital in</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Non-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gridSpan w:val="7"/>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excess of</w:t>
            </w:r>
          </w:p>
        </w:tc>
        <w:tc>
          <w:tcPr>
            <w:tcW w:w="112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4"/>
                <w:szCs w:val="14"/>
                <w:color w:val="auto"/>
              </w:rPr>
            </w:pPr>
          </w:p>
        </w:tc>
        <w:tc>
          <w:tcPr>
            <w:tcW w:w="132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4"/>
                <w:szCs w:val="14"/>
                <w:color w:val="auto"/>
              </w:rPr>
            </w:pPr>
          </w:p>
        </w:tc>
        <w:tc>
          <w:tcPr>
            <w:tcW w:w="1020" w:type="dxa"/>
            <w:vAlign w:val="bottom"/>
            <w:gridSpan w:val="4"/>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02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140" w:type="dxa"/>
            <w:vAlign w:val="bottom"/>
            <w:tcBorders>
              <w:top w:val="single" w:sz="8" w:color="auto"/>
            </w:tcBorders>
            <w:gridSpan w:val="4"/>
          </w:tcPr>
          <w:p>
            <w:pPr>
              <w:jc w:val="right"/>
              <w:ind w:right="50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33"/>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320" w:type="dxa"/>
            <w:vAlign w:val="bottom"/>
          </w:tcPr>
          <w:p>
            <w:pPr>
              <w:spacing w:after="0"/>
              <w:rPr>
                <w:sz w:val="12"/>
                <w:szCs w:val="12"/>
                <w:color w:val="auto"/>
              </w:rPr>
            </w:pPr>
          </w:p>
        </w:tc>
        <w:tc>
          <w:tcPr>
            <w:tcW w:w="800" w:type="dxa"/>
            <w:vAlign w:val="bottom"/>
            <w:gridSpan w:val="3"/>
          </w:tcPr>
          <w:p>
            <w:pPr>
              <w:jc w:val="center"/>
              <w:ind w:right="520"/>
              <w:spacing w:after="0" w:line="142" w:lineRule="exact"/>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2"/>
                <w:szCs w:val="12"/>
                <w:color w:val="auto"/>
              </w:rPr>
            </w:pPr>
          </w:p>
        </w:tc>
        <w:tc>
          <w:tcPr>
            <w:tcW w:w="1320" w:type="dxa"/>
            <w:vAlign w:val="bottom"/>
            <w:gridSpan w:val="4"/>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460"/>
              <w:spacing w:after="0" w:line="142"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60" w:type="dxa"/>
            <w:vAlign w:val="bottom"/>
          </w:tcPr>
          <w:p>
            <w:pPr>
              <w:spacing w:after="0"/>
              <w:rPr>
                <w:sz w:val="12"/>
                <w:szCs w:val="12"/>
                <w:color w:val="auto"/>
              </w:rPr>
            </w:pPr>
          </w:p>
        </w:tc>
        <w:tc>
          <w:tcPr>
            <w:tcW w:w="860" w:type="dxa"/>
            <w:vAlign w:val="bottom"/>
            <w:gridSpan w:val="4"/>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December 31, 2022</w:t>
            </w:r>
          </w:p>
        </w:tc>
        <w:tc>
          <w:tcPr>
            <w:tcW w:w="2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34,382</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250,174</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(19,298 )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(17,996 )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4,924</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218,148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for the three months ended March 31, 2023</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1,978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491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2,469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612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(622 )</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(621 )</w:t>
            </w: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808</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808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Translation gain</w:t>
            </w:r>
          </w:p>
        </w:tc>
        <w:tc>
          <w:tcPr>
            <w:tcW w:w="2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766</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766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March 31, 2023</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34,557</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250,971</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(17,320 )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(17,230 )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5,415</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222,182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-1567815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-1550670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-1567815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-1550670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-1567815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-1550670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-1567815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-1550670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-1567815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-1550670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-1567815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-1550670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-25400</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-7620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-25400</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-7620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-25400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-25400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4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3"/>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26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2,885</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Unrealized foreign currency gain (loss)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(92 )</w:t>
            </w:r>
          </w:p>
        </w:tc>
      </w:tr>
      <w:tr>
        <w:trPr>
          <w:trHeight w:val="220"/>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Gain (loss) on sale of property and equipment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(17 )</w:t>
            </w:r>
          </w:p>
        </w:tc>
      </w:tr>
      <w:tr>
        <w:trPr>
          <w:trHeight w:val="239"/>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Debt discount amortization</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Bad debt expense</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(384 )</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Inventory reserve expense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(5,355 )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(22,786 )</w:t>
            </w: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Costs and estimated earnings in excess of billings on uncompleted contracts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7,858</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(8,418 )</w:t>
            </w: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(4,447 )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(2,191 )</w:t>
            </w: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(221 )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(325 )</w:t>
            </w: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(2,442 )</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(3,358 )</w:t>
            </w: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16,838</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payable</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(387 )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(17 )</w:t>
            </w:r>
          </w:p>
        </w:tc>
      </w:tr>
      <w:tr>
        <w:trPr>
          <w:trHeight w:val="22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4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(5,249 )</w:t>
            </w:r>
          </w:p>
        </w:tc>
        <w:tc>
          <w:tcPr>
            <w:tcW w:w="4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(1,038 )</w:t>
            </w:r>
          </w:p>
        </w:tc>
      </w:tr>
      <w:tr>
        <w:trPr>
          <w:trHeight w:val="23"/>
        </w:trPr>
        <w:tc>
          <w:tcPr>
            <w:tcW w:w="732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(12,021 )</w:t>
            </w:r>
          </w:p>
        </w:tc>
      </w:tr>
      <w:tr>
        <w:trPr>
          <w:trHeight w:val="23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4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(3,116 )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(2,513 )</w:t>
            </w:r>
          </w:p>
        </w:tc>
      </w:tr>
      <w:tr>
        <w:trPr>
          <w:trHeight w:val="22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received (paid) for acquisitions</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(24,142 )</w:t>
            </w:r>
          </w:p>
        </w:tc>
      </w:tr>
      <w:tr>
        <w:trPr>
          <w:trHeight w:val="23"/>
        </w:trPr>
        <w:tc>
          <w:tcPr>
            <w:tcW w:w="732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(2,694 )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(26,655 )</w:t>
            </w:r>
          </w:p>
        </w:tc>
      </w:tr>
      <w:tr>
        <w:trPr>
          <w:trHeight w:val="23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4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Borrowings on revolving credit lines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54,800</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Repayments on revolving credit lines</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(12,600 )</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(20,000 )</w:t>
            </w: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(2,553 )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(826 )</w:t>
            </w: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Payments on finance leases and financing liability</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(229 )</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(225 )</w:t>
            </w: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consideration paid for acquisitions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(1,000 )</w:t>
            </w:r>
          </w:p>
        </w:tc>
        <w:tc>
          <w:tcPr>
            <w:tcW w:w="4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employee stock purchase plan and exercise of stock options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Noncontrolling interest distributions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(804 )</w:t>
            </w:r>
          </w:p>
        </w:tc>
        <w:tc>
          <w:tcPr>
            <w:tcW w:w="4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repurchased</w:t>
            </w:r>
          </w:p>
        </w:tc>
        <w:tc>
          <w:tcPr>
            <w:tcW w:w="4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(3,000 )</w:t>
            </w:r>
          </w:p>
        </w:tc>
        <w:tc>
          <w:tcPr>
            <w:tcW w:w="4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732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(6,528 )</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34,359</w:t>
            </w:r>
          </w:p>
        </w:tc>
        <w:tc>
          <w:tcPr>
            <w:tcW w:w="100" w:type="dxa"/>
            <w:vAlign w:val="bottom"/>
          </w:tcPr>
          <w:p>
            <w:pPr>
              <w:spacing w:after="0"/>
              <w:rPr>
                <w:sz w:val="19"/>
                <w:szCs w:val="19"/>
                <w:color w:val="auto"/>
              </w:rPr>
            </w:pPr>
          </w:p>
        </w:tc>
      </w:tr>
      <w:tr>
        <w:trPr>
          <w:trHeight w:val="23"/>
        </w:trPr>
        <w:tc>
          <w:tcPr>
            <w:tcW w:w="7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4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(422 )</w:t>
            </w:r>
          </w:p>
        </w:tc>
        <w:tc>
          <w:tcPr>
            <w:tcW w:w="4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(64 )</w:t>
            </w:r>
          </w:p>
        </w:tc>
      </w:tr>
      <w:tr>
        <w:trPr>
          <w:trHeight w:val="23"/>
        </w:trPr>
        <w:tc>
          <w:tcPr>
            <w:tcW w:w="732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(8,420 )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(4,381 )</w:t>
            </w:r>
          </w:p>
        </w:tc>
      </w:tr>
      <w:tr>
        <w:trPr>
          <w:trHeight w:val="233"/>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55,448</w:t>
            </w:r>
          </w:p>
        </w:tc>
        <w:tc>
          <w:tcPr>
            <w:tcW w:w="2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46,585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47,028</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42,204</w:t>
            </w:r>
          </w:p>
        </w:tc>
        <w:tc>
          <w:tcPr>
            <w:tcW w:w="10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23"/>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w:t>
            </w: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3,269</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10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taxes</w:t>
            </w:r>
          </w:p>
        </w:tc>
        <w:tc>
          <w:tcPr>
            <w:tcW w:w="42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-3359785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-3359785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-2759710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-1285240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-976630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-676275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-351155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-25400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u w:val="single" w:color="auto"/>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(unaudited)</w:t>
      </w:r>
    </w:p>
    <w:p>
      <w:pPr>
        <w:spacing w:after="0" w:line="203"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Reporting for Consolidated Financial Statements</w:t>
      </w:r>
    </w:p>
    <w:p>
      <w:pPr>
        <w:spacing w:after="0" w:line="229" w:lineRule="exact"/>
        <w:rPr>
          <w:sz w:val="20"/>
          <w:szCs w:val="20"/>
          <w:color w:val="auto"/>
        </w:rPr>
      </w:pPr>
    </w:p>
    <w:p>
      <w:pPr>
        <w:ind w:left="520" w:right="80"/>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CECO Environmental Corp. and its subsidiaries (the “Company,” “CECO,” “we,” “us,” or “our”) have been prepared pursuant to the rules and regulations of the Securities and Exchange Commission (the “SEC”). Certain information and footnote disclosures normally included in financial statements prepared in accordance with accounting principles generally accepted in the United States of America (“GAAP”) have been condensed or omitted pursuant to those rules and regulations. In the opinion of management, the accompanying unaudited condensed consolidated financial statements of the Company contain all adjustments (consisting only of normal recurring adjustments) necessary to present fairly the financial position as of March 31, 2024 and the results of operations, cash flows and shareholders’ equity for the three months ended March 31, 2024 and 2023. The results of operations for the three months ended March 31, 2024 are not necessarily indicative of the results to be expected for the full year. The balance sheet as of December 31, 2023 has been derived from the audited consolidated financial statements included in the Company’s Annual Report on Form 10-K for the year ended December 31, 2023 as filed with the SEC on March 5, 2024 (the “Form 10-K”).</w:t>
      </w:r>
    </w:p>
    <w:p>
      <w:pPr>
        <w:spacing w:after="0" w:line="194" w:lineRule="exact"/>
        <w:rPr>
          <w:sz w:val="20"/>
          <w:szCs w:val="20"/>
          <w:color w:val="auto"/>
        </w:rPr>
      </w:pPr>
    </w:p>
    <w:p>
      <w:pPr>
        <w:jc w:val="both"/>
        <w:ind w:left="520" w:right="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ind w:left="520" w:right="600"/>
        <w:spacing w:after="0" w:line="282" w:lineRule="auto"/>
        <w:rPr>
          <w:sz w:val="20"/>
          <w:szCs w:val="20"/>
          <w:color w:val="auto"/>
        </w:rPr>
      </w:pPr>
      <w:r>
        <w:rPr>
          <w:rFonts w:ascii="Times New Roman" w:cs="Times New Roman" w:eastAsia="Times New Roman" w:hAnsi="Times New Roman"/>
          <w:sz w:val="18"/>
          <w:szCs w:val="18"/>
          <w:color w:val="auto"/>
        </w:rPr>
        <w:t>These financial statements and accompanying notes should be read in conjunction with the audited financial statements and the notes thereto included in the Form 10-K.</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Unless otherwise indicated, all balances within tables are in thousands, except per share amounts.</w:t>
      </w:r>
    </w:p>
    <w:p>
      <w:pPr>
        <w:spacing w:after="0" w:line="221" w:lineRule="exact"/>
        <w:rPr>
          <w:sz w:val="20"/>
          <w:szCs w:val="20"/>
          <w:color w:val="auto"/>
        </w:rPr>
      </w:pPr>
    </w:p>
    <w:p>
      <w:pPr>
        <w:ind w:left="520" w:right="7200" w:hanging="512"/>
        <w:spacing w:after="0" w:line="500" w:lineRule="auto"/>
        <w:tabs>
          <w:tab w:leader="none" w:pos="37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New Financial Accounting Pronouncements Accounting Standards Adopted in Fiscal 2024 </w:t>
      </w:r>
      <w:r>
        <w:rPr>
          <w:rFonts w:ascii="Times New Roman" w:cs="Times New Roman" w:eastAsia="Times New Roman" w:hAnsi="Times New Roman"/>
          <w:sz w:val="18"/>
          <w:szCs w:val="18"/>
          <w:color w:val="auto"/>
        </w:rPr>
        <w:t>None.</w:t>
      </w:r>
    </w:p>
    <w:p>
      <w:pPr>
        <w:spacing w:after="0" w:line="2"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Standards to be Adopted</w:t>
      </w:r>
    </w:p>
    <w:p>
      <w:pPr>
        <w:spacing w:after="0" w:line="229" w:lineRule="exact"/>
        <w:rPr>
          <w:sz w:val="20"/>
          <w:szCs w:val="20"/>
          <w:color w:val="auto"/>
        </w:rPr>
      </w:pPr>
    </w:p>
    <w:p>
      <w:pPr>
        <w:ind w:left="520" w:right="120"/>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Accounting Standards Update ("ASU") 2023-09, Income Taxes (Topic 740): Improvements to Income Tax Disclosures, which addresses income tax disclosure requirements, primarily around the disclosure of the rate reconciliation and income taxes paid. The ASU is effective for fiscal years beginning after December 15, 2024. The Company is currently evaluating the impact the adoption of the standard will have on the Company’s consolidated financial statements.</w:t>
      </w:r>
    </w:p>
    <w:p>
      <w:pPr>
        <w:spacing w:after="0" w:line="180"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addresses segment disclosure requirements, primarily the disclosure of significant segment expenses. The ASU is effective for fiscal years beginning after December 15, 2023, and interim periods beginning after December 15, 2024. The Company is currently evaluating the impact the adoption of the standard will have on the Company’s consolidated financial statements.</w:t>
      </w:r>
    </w:p>
    <w:p>
      <w:pPr>
        <w:spacing w:after="0" w:line="176"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Accounts receivable as of March 31, 2024 and December 31, 2023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36"/>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6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122,670</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119,193</w:t>
            </w:r>
          </w:p>
        </w:tc>
        <w:tc>
          <w:tcPr>
            <w:tcW w:w="100" w:type="dxa"/>
            <w:vAlign w:val="bottom"/>
            <w:shd w:val="clear" w:color="auto" w:fill="CFF0FC"/>
          </w:tcPr>
          <w:p>
            <w:pPr>
              <w:spacing w:after="0"/>
              <w:rPr>
                <w:sz w:val="20"/>
                <w:szCs w:val="20"/>
                <w:color w:val="auto"/>
              </w:rPr>
            </w:pPr>
          </w:p>
        </w:tc>
      </w:tr>
      <w:tr>
        <w:trPr>
          <w:trHeight w:val="23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(6,023 )</w:t>
            </w:r>
          </w:p>
        </w:tc>
        <w:tc>
          <w:tcPr>
            <w:tcW w:w="20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(6,460 )</w:t>
            </w:r>
          </w:p>
        </w:tc>
      </w:tr>
      <w:tr>
        <w:trPr>
          <w:trHeight w:val="276"/>
        </w:trPr>
        <w:tc>
          <w:tcPr>
            <w:tcW w:w="39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33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116,647</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112,733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3"/>
        </w:trPr>
        <w:tc>
          <w:tcPr>
            <w:tcW w:w="3960" w:type="dxa"/>
            <w:vAlign w:val="bottom"/>
          </w:tcPr>
          <w:p>
            <w:pPr>
              <w:spacing w:after="0"/>
              <w:rPr>
                <w:sz w:val="24"/>
                <w:szCs w:val="24"/>
                <w:color w:val="auto"/>
              </w:rPr>
            </w:pPr>
          </w:p>
        </w:tc>
        <w:tc>
          <w:tcPr>
            <w:tcW w:w="336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396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-925195</wp:posOffset>
            </wp:positionV>
            <wp:extent cx="768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-908050</wp:posOffset>
            </wp:positionV>
            <wp:extent cx="768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ind w:left="520"/>
        <w:spacing w:after="0"/>
        <w:rPr>
          <w:sz w:val="20"/>
          <w:szCs w:val="20"/>
          <w:color w:val="auto"/>
        </w:rPr>
      </w:pPr>
      <w:r>
        <w:rPr>
          <w:rFonts w:ascii="Times New Roman" w:cs="Times New Roman" w:eastAsia="Times New Roman" w:hAnsi="Times New Roman"/>
          <w:sz w:val="18"/>
          <w:szCs w:val="18"/>
          <w:color w:val="auto"/>
        </w:rPr>
        <w:t>Accounts receivable, net as of the beginning of the prior year period, or January 1, 2023, were $83.1 million.</w:t>
      </w:r>
    </w:p>
    <w:p>
      <w:pPr>
        <w:spacing w:after="0" w:line="225" w:lineRule="exact"/>
        <w:rPr>
          <w:sz w:val="20"/>
          <w:szCs w:val="20"/>
          <w:color w:val="auto"/>
        </w:rPr>
      </w:pPr>
    </w:p>
    <w:p>
      <w:pPr>
        <w:ind w:left="520" w:right="40"/>
        <w:spacing w:after="0" w:line="261" w:lineRule="auto"/>
        <w:rPr>
          <w:sz w:val="20"/>
          <w:szCs w:val="20"/>
          <w:color w:val="auto"/>
        </w:rPr>
      </w:pPr>
      <w:r>
        <w:rPr>
          <w:rFonts w:ascii="Times New Roman" w:cs="Times New Roman" w:eastAsia="Times New Roman" w:hAnsi="Times New Roman"/>
          <w:sz w:val="18"/>
          <w:szCs w:val="18"/>
          <w:color w:val="auto"/>
        </w:rPr>
        <w:t>Balances billed but not paid by customers under retainage provisions in contracts within the Condensed Consolidated Balance Sheets amounted to approximately $3.5 million and $3.2 million at March 31, 2024 and December 31, 2023, respectively. Retainage receivables on contracts in progress are generally collected within a year or two subsequent to contract completion, and are recorded in either "Accounts receivable, net" or "Deferred charges and other assets" within the Condensed Consolidated Balance Sheets depending on timing of expected collection.</w:t>
      </w:r>
    </w:p>
    <w:p>
      <w:pPr>
        <w:spacing w:after="0" w:line="180" w:lineRule="exact"/>
        <w:rPr>
          <w:sz w:val="20"/>
          <w:szCs w:val="20"/>
          <w:color w:val="auto"/>
        </w:rPr>
      </w:pPr>
    </w:p>
    <w:p>
      <w:pPr>
        <w:ind w:left="520" w:right="260"/>
        <w:spacing w:after="0" w:line="282" w:lineRule="auto"/>
        <w:rPr>
          <w:sz w:val="20"/>
          <w:szCs w:val="20"/>
          <w:color w:val="auto"/>
        </w:rPr>
      </w:pPr>
      <w:r>
        <w:rPr>
          <w:rFonts w:ascii="Times New Roman" w:cs="Times New Roman" w:eastAsia="Times New Roman" w:hAnsi="Times New Roman"/>
          <w:sz w:val="18"/>
          <w:szCs w:val="18"/>
          <w:color w:val="auto"/>
        </w:rPr>
        <w:t>Amounts (recovered from) charged to the provision for credit losses were $(0.4) million and $0.1 for the three months ended March 31, 2024 and 2023, respectively.</w:t>
      </w:r>
    </w:p>
    <w:p>
      <w:pPr>
        <w:spacing w:after="0" w:line="158"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Assets and Liabilities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Contract assets and liabilities as of March 31, 2024 and December 31, 2023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36"/>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58,541</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66,574</w:t>
            </w:r>
          </w:p>
        </w:tc>
        <w:tc>
          <w:tcPr>
            <w:tcW w:w="100" w:type="dxa"/>
            <w:vAlign w:val="bottom"/>
            <w:shd w:val="clear" w:color="auto" w:fill="CFF0FC"/>
          </w:tcPr>
          <w:p>
            <w:pPr>
              <w:spacing w:after="0"/>
              <w:rPr>
                <w:sz w:val="20"/>
                <w:szCs w:val="20"/>
                <w:color w:val="auto"/>
              </w:rPr>
            </w:pPr>
          </w:p>
        </w:tc>
      </w:tr>
      <w:tr>
        <w:trPr>
          <w:trHeight w:val="234"/>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56,899</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left="520" w:right="260"/>
        <w:spacing w:after="0" w:line="258" w:lineRule="auto"/>
        <w:rPr>
          <w:sz w:val="20"/>
          <w:szCs w:val="20"/>
          <w:color w:val="auto"/>
        </w:rPr>
      </w:pPr>
      <w:r>
        <w:rPr>
          <w:rFonts w:ascii="Times New Roman" w:cs="Times New Roman" w:eastAsia="Times New Roman" w:hAnsi="Times New Roman"/>
          <w:sz w:val="18"/>
          <w:szCs w:val="18"/>
          <w:color w:val="auto"/>
        </w:rPr>
        <w:t>As of the beginning of the prior year period, or January 1, 2023, costs and estimated earnings in excess of billings on uncompleted contracts and billings in excess of costs and estimated earnings on uncompleted contracts were $71.0 million and $32.7 million, respectively. The contract liabilities recorded in “Accrued expenses” on the Condensed Consolidated Balance Sheets were $8.9 million, $7.9 million and $4.5 million as of March 31, 2024, December 31, 2023 and January 1, 2023, respectively. Approximately 40% of the Company's contract liabilities as of December 31, 2023 were recognized as revenue in the three months ended March 31, 2024.</w:t>
      </w:r>
    </w:p>
    <w:p>
      <w:pPr>
        <w:spacing w:after="0" w:line="17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Inventories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Inventories as of March 31, 2024 and December 31, 2023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8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25,792</w:t>
            </w: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25,819</w:t>
            </w:r>
          </w:p>
        </w:tc>
        <w:tc>
          <w:tcPr>
            <w:tcW w:w="100" w:type="dxa"/>
            <w:vAlign w:val="bottom"/>
            <w:shd w:val="clear" w:color="auto" w:fill="CFF0FC"/>
          </w:tcPr>
          <w:p>
            <w:pPr>
              <w:spacing w:after="0"/>
              <w:rPr>
                <w:sz w:val="20"/>
                <w:szCs w:val="20"/>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shd w:val="clear" w:color="auto" w:fill="CFF0FC"/>
          </w:tcPr>
          <w:p>
            <w:pPr>
              <w:spacing w:after="0"/>
              <w:rPr>
                <w:sz w:val="21"/>
                <w:szCs w:val="21"/>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Obsolescence allowance</w:t>
            </w:r>
          </w:p>
        </w:tc>
        <w:tc>
          <w:tcPr>
            <w:tcW w:w="260" w:type="dxa"/>
            <w:vAlign w:val="bottom"/>
          </w:tcPr>
          <w:p>
            <w:pPr>
              <w:spacing w:after="0"/>
              <w:rPr>
                <w:sz w:val="20"/>
                <w:szCs w:val="20"/>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(4,062 )</w:t>
            </w:r>
          </w:p>
        </w:tc>
        <w:tc>
          <w:tcPr>
            <w:tcW w:w="20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(3,808 )</w:t>
            </w:r>
          </w:p>
        </w:tc>
      </w:tr>
      <w:tr>
        <w:trPr>
          <w:trHeight w:val="277"/>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38,032</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right="540"/>
        <w:spacing w:after="0" w:line="282" w:lineRule="auto"/>
        <w:rPr>
          <w:sz w:val="20"/>
          <w:szCs w:val="20"/>
          <w:color w:val="auto"/>
        </w:rPr>
      </w:pPr>
      <w:r>
        <w:rPr>
          <w:rFonts w:ascii="Times New Roman" w:cs="Times New Roman" w:eastAsia="Times New Roman" w:hAnsi="Times New Roman"/>
          <w:sz w:val="18"/>
          <w:szCs w:val="18"/>
          <w:color w:val="auto"/>
        </w:rPr>
        <w:t>Amounts credited to the allowance for obsolete inventory and charged to cost of sales amounted to $0.5 million and $0.2 million for the three months ended March 31, 2024 and 2023, respectively.</w:t>
      </w:r>
    </w:p>
    <w:p>
      <w:pPr>
        <w:spacing w:after="0" w:line="158"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Goodwill activity for the three months ended March 31, 2024 and the year ended December 31, 2023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284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20" w:type="dxa"/>
            <w:vAlign w:val="bottom"/>
          </w:tcPr>
          <w:p>
            <w:pPr>
              <w:spacing w:after="0"/>
              <w:rPr>
                <w:sz w:val="16"/>
                <w:szCs w:val="16"/>
                <w:color w:val="auto"/>
              </w:rPr>
            </w:pPr>
          </w:p>
        </w:tc>
        <w:tc>
          <w:tcPr>
            <w:tcW w:w="26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r>
      <w:tr>
        <w:trPr>
          <w:trHeight w:val="169"/>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Goodwill / Tradename</w:t>
            </w:r>
          </w:p>
        </w:tc>
        <w:tc>
          <w:tcPr>
            <w:tcW w:w="2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Tradename</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Tradename</w:t>
            </w:r>
          </w:p>
        </w:tc>
        <w:tc>
          <w:tcPr>
            <w:tcW w:w="100" w:type="dxa"/>
            <w:vAlign w:val="bottom"/>
          </w:tcPr>
          <w:p>
            <w:pPr>
              <w:spacing w:after="0"/>
              <w:rPr>
                <w:sz w:val="14"/>
                <w:szCs w:val="14"/>
                <w:color w:val="auto"/>
              </w:rPr>
            </w:pPr>
          </w:p>
        </w:tc>
      </w:tr>
      <w:tr>
        <w:trPr>
          <w:trHeight w:val="23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211,326</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183,197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9,508</w:t>
            </w:r>
          </w:p>
        </w:tc>
        <w:tc>
          <w:tcPr>
            <w:tcW w:w="100" w:type="dxa"/>
            <w:vAlign w:val="bottom"/>
            <w:shd w:val="clear" w:color="auto" w:fill="CFF0FC"/>
          </w:tcPr>
          <w:p>
            <w:pPr>
              <w:spacing w:after="0"/>
              <w:rPr>
                <w:sz w:val="20"/>
                <w:szCs w:val="20"/>
                <w:color w:val="auto"/>
              </w:rPr>
            </w:pPr>
          </w:p>
        </w:tc>
      </w:tr>
      <w:tr>
        <w:trPr>
          <w:trHeight w:val="23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(12 )</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21"/>
                <w:szCs w:val="21"/>
                <w:color w:val="auto"/>
              </w:rPr>
            </w:pPr>
          </w:p>
        </w:tc>
      </w:tr>
      <w:tr>
        <w:trPr>
          <w:trHeight w:val="237"/>
        </w:trPr>
        <w:tc>
          <w:tcPr>
            <w:tcW w:w="5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211,479</w:t>
            </w: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211,326</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100" w:type="dxa"/>
            <w:vAlign w:val="bottom"/>
            <w:tcBorders>
              <w:top w:val="single" w:sz="8" w:color="CFF0FC"/>
            </w:tcBorders>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-187960</wp:posOffset>
            </wp:positionV>
            <wp:extent cx="768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-187960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760" w:right="3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Company recorded measurement period adjustments related to the acquisition of Kemco Systems Co., LLC ("Kemco"), as discussed in Note 15, resulting in an increase to goodwill.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ind w:left="540"/>
        <w:spacing w:after="0"/>
        <w:rPr>
          <w:sz w:val="20"/>
          <w:szCs w:val="20"/>
          <w:color w:val="auto"/>
        </w:rPr>
      </w:pPr>
      <w:r>
        <w:rPr>
          <w:rFonts w:ascii="Times New Roman" w:cs="Times New Roman" w:eastAsia="Times New Roman" w:hAnsi="Times New Roman"/>
          <w:sz w:val="18"/>
          <w:szCs w:val="18"/>
          <w:color w:val="auto"/>
        </w:rPr>
        <w:t>Finite life intangible assets as of March 31, 2024 and December 31, 2023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Accum. Amort.</w:t>
            </w:r>
          </w:p>
        </w:tc>
        <w:tc>
          <w:tcPr>
            <w:tcW w:w="2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Accum. Amort.</w:t>
            </w:r>
          </w:p>
        </w:tc>
        <w:tc>
          <w:tcPr>
            <w:tcW w:w="100" w:type="dxa"/>
            <w:vAlign w:val="bottom"/>
          </w:tcPr>
          <w:p>
            <w:pPr>
              <w:spacing w:after="0"/>
              <w:rPr>
                <w:sz w:val="14"/>
                <w:szCs w:val="14"/>
                <w:color w:val="auto"/>
              </w:rPr>
            </w:pPr>
          </w:p>
        </w:tc>
      </w:tr>
      <w:tr>
        <w:trPr>
          <w:trHeight w:val="23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16,517</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16,517</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14,061</w:t>
            </w:r>
          </w:p>
        </w:tc>
        <w:tc>
          <w:tcPr>
            <w:tcW w:w="100" w:type="dxa"/>
            <w:vAlign w:val="bottom"/>
            <w:shd w:val="clear" w:color="auto" w:fill="CFF0FC"/>
          </w:tcPr>
          <w:p>
            <w:pPr>
              <w:spacing w:after="0"/>
              <w:rPr>
                <w:sz w:val="20"/>
                <w:szCs w:val="20"/>
                <w:color w:val="auto"/>
              </w:rPr>
            </w:pPr>
          </w:p>
        </w:tc>
      </w:tr>
      <w:tr>
        <w:trPr>
          <w:trHeight w:val="23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103,471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103,471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63,420</w:t>
            </w:r>
          </w:p>
        </w:tc>
        <w:tc>
          <w:tcPr>
            <w:tcW w:w="100" w:type="dxa"/>
            <w:vAlign w:val="bottom"/>
          </w:tcPr>
          <w:p>
            <w:pPr>
              <w:spacing w:after="0"/>
              <w:rPr>
                <w:sz w:val="20"/>
                <w:szCs w:val="20"/>
                <w:color w:val="auto"/>
              </w:rPr>
            </w:pPr>
          </w:p>
        </w:tc>
      </w:tr>
      <w:tr>
        <w:trPr>
          <w:trHeight w:val="24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14,094</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00" w:type="dxa"/>
            <w:vAlign w:val="bottom"/>
            <w:shd w:val="clear" w:color="auto" w:fill="CFF0FC"/>
          </w:tcPr>
          <w:p>
            <w:pPr>
              <w:spacing w:after="0"/>
              <w:rPr>
                <w:sz w:val="21"/>
                <w:szCs w:val="21"/>
                <w:color w:val="auto"/>
              </w:rPr>
            </w:pPr>
          </w:p>
        </w:tc>
      </w:tr>
      <w:tr>
        <w:trPr>
          <w:trHeight w:val="23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3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(1,111 )</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(1,083 )</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r>
      <w:tr>
        <w:trPr>
          <w:trHeight w:val="277"/>
        </w:trPr>
        <w:tc>
          <w:tcPr>
            <w:tcW w:w="5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intangible assets – finite life</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132,971</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84,647</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132,999</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82,538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-24765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Finite life intangible asset activity for the three months ended March 31, 2024 and 2023 was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50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8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2"/>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finite life, net at beginning of period</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50,461</w:t>
            </w:r>
          </w:p>
        </w:tc>
        <w:tc>
          <w:tcPr>
            <w:tcW w:w="2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35,251</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4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(2,157 )</w:t>
            </w:r>
          </w:p>
        </w:tc>
        <w:tc>
          <w:tcPr>
            <w:tcW w:w="4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(1,690 )</w:t>
            </w: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w:t>
            </w:r>
          </w:p>
        </w:tc>
        <w:tc>
          <w:tcPr>
            <w:tcW w:w="42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Pr>
          <w:p>
            <w:pPr>
              <w:spacing w:after="0"/>
              <w:rPr>
                <w:sz w:val="20"/>
                <w:szCs w:val="20"/>
                <w:color w:val="auto"/>
              </w:rPr>
            </w:pPr>
          </w:p>
        </w:tc>
      </w:tr>
      <w:tr>
        <w:trPr>
          <w:trHeight w:val="243"/>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4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finite life, net at end of period</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48,324</w:t>
            </w:r>
          </w:p>
        </w:tc>
        <w:tc>
          <w:tcPr>
            <w:tcW w:w="28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35,414</w:t>
            </w:r>
          </w:p>
        </w:tc>
        <w:tc>
          <w:tcPr>
            <w:tcW w:w="10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-187960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60"/>
        <w:spacing w:after="0" w:line="266" w:lineRule="auto"/>
        <w:rPr>
          <w:sz w:val="20"/>
          <w:szCs w:val="20"/>
          <w:color w:val="auto"/>
        </w:rPr>
      </w:pPr>
      <w:r>
        <w:rPr>
          <w:rFonts w:ascii="Times New Roman" w:cs="Times New Roman" w:eastAsia="Times New Roman" w:hAnsi="Times New Roman"/>
          <w:sz w:val="18"/>
          <w:szCs w:val="18"/>
          <w:color w:val="auto"/>
        </w:rPr>
        <w:t>Amortization expense of finite life intangible assets was $2.2 million and $1.7 million for the three months ended March 31, 2024 and 2023, respectively. Amortization over the next five years for finite life intangibles is expected to be $6.4 million for the remainder of 2024, $7.6 million in 2025, $6.2 million in 2026, $6.0 million in 2027, and $5.6 million in 2028.</w:t>
      </w:r>
    </w:p>
    <w:p>
      <w:pPr>
        <w:spacing w:after="0" w:line="176" w:lineRule="exact"/>
        <w:rPr>
          <w:sz w:val="20"/>
          <w:szCs w:val="20"/>
          <w:color w:val="auto"/>
        </w:rPr>
      </w:pPr>
    </w:p>
    <w:p>
      <w:pPr>
        <w:ind w:left="520" w:right="20"/>
        <w:spacing w:after="0" w:line="255" w:lineRule="auto"/>
        <w:rPr>
          <w:sz w:val="20"/>
          <w:szCs w:val="20"/>
          <w:color w:val="auto"/>
        </w:rPr>
      </w:pPr>
      <w:r>
        <w:rPr>
          <w:rFonts w:ascii="Times New Roman" w:cs="Times New Roman" w:eastAsia="Times New Roman" w:hAnsi="Times New Roman"/>
          <w:sz w:val="18"/>
          <w:szCs w:val="18"/>
          <w:color w:val="auto"/>
        </w:rPr>
        <w:t>The Company completes its goodwill and indefinite life intangible asset impairment assessment annually in the fourth quarter, or more often if circumstances require. As a part of its impairment assessment, the Company first qualitatively assesses whether current events or changes in circumstances lead to a determination that it is more likely than not, defined as a likelihood of more than 50 percent, that the fair value of a reporting unit or indefinite life intangible asset is less than its carrying amount. If there is a qualitative determination that the fair value is more likely than not greater than the carrying value, the Company does not quantitatively test for impairment. If this qualitative assessment indicates a more likely than not potential that the asset may be impaired, the estimated fair value is calculated. If the estimated fair value is less than carrying value, an impairment charge is recorded.</w:t>
      </w:r>
    </w:p>
    <w:p>
      <w:pPr>
        <w:spacing w:after="0" w:line="189" w:lineRule="exact"/>
        <w:rPr>
          <w:sz w:val="20"/>
          <w:szCs w:val="20"/>
          <w:color w:val="auto"/>
        </w:rPr>
      </w:pPr>
    </w:p>
    <w:p>
      <w:pPr>
        <w:ind w:left="520" w:right="140"/>
        <w:spacing w:after="0" w:line="261" w:lineRule="auto"/>
        <w:rPr>
          <w:sz w:val="20"/>
          <w:szCs w:val="20"/>
          <w:color w:val="auto"/>
        </w:rPr>
      </w:pPr>
      <w:r>
        <w:rPr>
          <w:rFonts w:ascii="Times New Roman" w:cs="Times New Roman" w:eastAsia="Times New Roman" w:hAnsi="Times New Roman"/>
          <w:sz w:val="18"/>
          <w:szCs w:val="18"/>
          <w:color w:val="auto"/>
        </w:rPr>
        <w:t>As of March 31, 2024, the Company reviewed its previous forecasts and assumptions based on its current projections, which are subject to various risks and uncertainties, including projected revenue, projected operational profit, terminal growth rates, and the cost of capital. The Company did not identify any triggering events during the three months ended March 31, 2024 and 2023 that would require an interim impairment assessment of goodwill or intangible assets.</w:t>
      </w:r>
    </w:p>
    <w:p>
      <w:pPr>
        <w:spacing w:after="0" w:line="180" w:lineRule="exact"/>
        <w:rPr>
          <w:sz w:val="20"/>
          <w:szCs w:val="20"/>
          <w:color w:val="auto"/>
        </w:rPr>
      </w:pPr>
    </w:p>
    <w:p>
      <w:pPr>
        <w:jc w:val="both"/>
        <w:ind w:left="520" w:right="20"/>
        <w:spacing w:after="0" w:line="266" w:lineRule="auto"/>
        <w:rPr>
          <w:sz w:val="20"/>
          <w:szCs w:val="20"/>
          <w:color w:val="auto"/>
        </w:rPr>
      </w:pPr>
      <w:r>
        <w:rPr>
          <w:rFonts w:ascii="Times New Roman" w:cs="Times New Roman" w:eastAsia="Times New Roman" w:hAnsi="Times New Roman"/>
          <w:sz w:val="18"/>
          <w:szCs w:val="18"/>
          <w:color w:val="auto"/>
        </w:rPr>
        <w:t>The Company’s assumptions about future conditions important to its assessment of potential impairment of its goodwill and indefinite life intangible assets are subject to uncertainty, and the Company will continue to monitor these conditions in future periods as new information becomes available, and will update its analysis accordingly.</w:t>
      </w:r>
    </w:p>
    <w:p>
      <w:pPr>
        <w:spacing w:after="0" w:line="172"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as of March 31, 2024 and December 31, 2023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3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warranty</w:t>
            </w:r>
          </w:p>
        </w:tc>
        <w:tc>
          <w:tcPr>
            <w:tcW w:w="3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liability</w:t>
            </w:r>
          </w:p>
        </w:tc>
        <w:tc>
          <w:tcPr>
            <w:tcW w:w="3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3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20,369</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expenses</w:t>
            </w:r>
          </w:p>
        </w:tc>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46,195</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260" w:type="dxa"/>
            <w:vAlign w:val="bottom"/>
            <w:vMerge w:val="restart"/>
          </w:tcPr>
          <w:p>
            <w:pPr>
              <w:jc w:val="right"/>
              <w:ind w:right="157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6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6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-1096645</wp:posOffset>
            </wp:positionV>
            <wp:extent cx="768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Senior Debt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Debt as of March 31, 2024 and December 31, 2023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6"/>
                <w:szCs w:val="16"/>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5"/>
        </w:trPr>
        <w:tc>
          <w:tcPr>
            <w:tcW w:w="794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Outstanding borrowings under Credit Facility (defined below)</w:t>
            </w:r>
          </w:p>
        </w:tc>
        <w:tc>
          <w:tcPr>
            <w:tcW w:w="16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Term loan payable in quarterly principal installments of $550 through September</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2023, $2,232 through September 2025 and $2,977 thereafter with balance due upon</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maturity in December 2026.</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loan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110,191</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112,424</w:t>
            </w:r>
          </w:p>
        </w:tc>
        <w:tc>
          <w:tcPr>
            <w:tcW w:w="100" w:type="dxa"/>
            <w:vAlign w:val="bottom"/>
          </w:tcPr>
          <w:p>
            <w:pPr>
              <w:spacing w:after="0"/>
              <w:rPr>
                <w:sz w:val="20"/>
                <w:szCs w:val="20"/>
                <w:color w:val="auto"/>
              </w:rPr>
            </w:pPr>
          </w:p>
        </w:tc>
      </w:tr>
      <w:tr>
        <w:trPr>
          <w:trHeight w:val="247"/>
        </w:trPr>
        <w:tc>
          <w:tcPr>
            <w:tcW w:w="7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18,100</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outstanding borrowings under the Credit Facility</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128,291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129,724</w:t>
            </w:r>
          </w:p>
        </w:tc>
        <w:tc>
          <w:tcPr>
            <w:tcW w:w="100" w:type="dxa"/>
            <w:vAlign w:val="bottom"/>
          </w:tcPr>
          <w:p>
            <w:pPr>
              <w:spacing w:after="0"/>
              <w:rPr>
                <w:sz w:val="20"/>
                <w:szCs w:val="20"/>
                <w:color w:val="auto"/>
              </w:rPr>
            </w:pPr>
          </w:p>
        </w:tc>
      </w:tr>
      <w:tr>
        <w:trPr>
          <w:trHeight w:val="247"/>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borrowings under the joint venture term debt</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8,535</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100" w:type="dxa"/>
            <w:vAlign w:val="bottom"/>
            <w:shd w:val="clear" w:color="auto" w:fill="CFF0FC"/>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6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(1,176 )</w:t>
            </w:r>
          </w:p>
        </w:tc>
        <w:tc>
          <w:tcPr>
            <w:tcW w:w="12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(1,296 )</w:t>
            </w:r>
          </w:p>
        </w:tc>
      </w:tr>
      <w:tr>
        <w:trPr>
          <w:trHeight w:val="237"/>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outstanding borrowings</w:t>
            </w:r>
          </w:p>
        </w:tc>
        <w:tc>
          <w:tcPr>
            <w:tcW w:w="16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135,650</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137,283</w:t>
            </w:r>
          </w:p>
        </w:tc>
        <w:tc>
          <w:tcPr>
            <w:tcW w:w="100" w:type="dxa"/>
            <w:vAlign w:val="bottom"/>
            <w:shd w:val="clear" w:color="auto" w:fill="CFF0FC"/>
          </w:tcPr>
          <w:p>
            <w:pPr>
              <w:spacing w:after="0"/>
              <w:rPr>
                <w:sz w:val="20"/>
                <w:szCs w:val="20"/>
                <w:color w:val="auto"/>
              </w:rPr>
            </w:pPr>
          </w:p>
        </w:tc>
      </w:tr>
      <w:tr>
        <w:trPr>
          <w:trHeight w:val="243"/>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(10,580 )</w:t>
            </w:r>
          </w:p>
        </w:tc>
        <w:tc>
          <w:tcPr>
            <w:tcW w:w="12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(10,488 )</w:t>
            </w:r>
          </w:p>
        </w:tc>
      </w:tr>
      <w:tr>
        <w:trPr>
          <w:trHeight w:val="277"/>
        </w:trPr>
        <w:tc>
          <w:tcPr>
            <w:tcW w:w="7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debt, less current portion</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125,070</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126,795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-976630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440"/>
        <w:spacing w:after="0" w:line="282" w:lineRule="auto"/>
        <w:rPr>
          <w:sz w:val="20"/>
          <w:szCs w:val="20"/>
          <w:color w:val="auto"/>
        </w:rPr>
      </w:pPr>
      <w:r>
        <w:rPr>
          <w:rFonts w:ascii="Times New Roman" w:cs="Times New Roman" w:eastAsia="Times New Roman" w:hAnsi="Times New Roman"/>
          <w:sz w:val="18"/>
          <w:szCs w:val="18"/>
          <w:color w:val="auto"/>
        </w:rPr>
        <w:t>Scheduled principal payments under the Credit Facility and joint venture term debt are $7.9 million for the remainder of 2024, $11.3 million in 2025, $113.7 million in 2026, $3.9 million in 2027, and zero in 2028.</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ind w:left="520" w:right="240"/>
        <w:spacing w:after="0" w:line="258" w:lineRule="auto"/>
        <w:rPr>
          <w:sz w:val="20"/>
          <w:szCs w:val="20"/>
          <w:color w:val="auto"/>
        </w:rPr>
      </w:pPr>
      <w:r>
        <w:rPr>
          <w:rFonts w:ascii="Times New Roman" w:cs="Times New Roman" w:eastAsia="Times New Roman" w:hAnsi="Times New Roman"/>
          <w:sz w:val="18"/>
          <w:szCs w:val="18"/>
          <w:color w:val="auto"/>
        </w:rPr>
        <w:t>As of March 31, 2024 and December 31, 2023, $13.5 million and $13.3 million of letters of credit were outstanding, respectively. Total unused credit availability, in consideration of borrowing limitations, under the Company’s senior secured term loan and senior secured revolver loan with sub-facilities for letters of credit, swing-line loans and senior secured multi-currency loans (the "Credit Facility") was $108.4 million and $109.4 million at March 31, 2024 and December 31, 2023, respectively. Revolving loans may be borrowed, repaid and reborrowed until December 17, 2026, at which time all outstanding balances of the Credit Facility must be repaid.</w:t>
      </w:r>
    </w:p>
    <w:p>
      <w:pPr>
        <w:spacing w:after="0" w:line="183" w:lineRule="exact"/>
        <w:rPr>
          <w:sz w:val="20"/>
          <w:szCs w:val="20"/>
          <w:color w:val="auto"/>
        </w:rPr>
      </w:pPr>
    </w:p>
    <w:p>
      <w:pPr>
        <w:ind w:left="520" w:right="100"/>
        <w:spacing w:after="0" w:line="258" w:lineRule="auto"/>
        <w:rPr>
          <w:sz w:val="20"/>
          <w:szCs w:val="20"/>
          <w:color w:val="auto"/>
        </w:rPr>
      </w:pPr>
      <w:r>
        <w:rPr>
          <w:rFonts w:ascii="Times New Roman" w:cs="Times New Roman" w:eastAsia="Times New Roman" w:hAnsi="Times New Roman"/>
          <w:sz w:val="18"/>
          <w:szCs w:val="18"/>
          <w:color w:val="auto"/>
        </w:rPr>
        <w:t>At the Company’s option, revolving loans and the term loans accrue interest at a per annum rate based on (a) either the highest of (i) the federal funds rate plus 0.5%, or (ii) the prime lending rate of the Agent (as defined in the Credit Facility), (b) Daily Simple SOFR plus the Daily Simple SOFR Adjustment of 0.11% plus 1.0%, (c) 1.0%, plus a margin ranging from 1.75% to 3.25% depending on the Company’s Consolidated Leverage Ratio, or (d) a one/three/six-month Term SOFR Rate (as defined in the Credit Facility) plus the Term SOFR Adjustment ranging from 0.11% to 0.43% plus 1.75% to 3.25% depending on the Company’s Consolidated Leverage Ratio. Interest on swing line loans is the Base Rate.</w:t>
      </w:r>
    </w:p>
    <w:p>
      <w:pPr>
        <w:spacing w:after="0" w:line="183"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Interest on Base Rate loans is payable quarterly in arrears on the last day of each calendar quarter and at maturity. Interest on Term SOFR rate loans is payable on the last date of each applicable Interest Period (as defined in the agreement), but in no event less than once every three months and at maturity. The weighted average stated interest rate on outstanding borrowings was 8.01% and 8.29% at March 31, 2024 and December 31, 2023, respectively. The effective interest rate was 8.24% and 7.70% at March 31, 2024 and December 31, 2023, respectively.</w:t>
      </w:r>
    </w:p>
    <w:p>
      <w:pPr>
        <w:spacing w:after="0" w:line="180" w:lineRule="exact"/>
        <w:rPr>
          <w:sz w:val="20"/>
          <w:szCs w:val="20"/>
          <w:color w:val="auto"/>
        </w:rPr>
      </w:pPr>
    </w:p>
    <w:p>
      <w:pPr>
        <w:ind w:left="520" w:right="20"/>
        <w:spacing w:after="0" w:line="261" w:lineRule="auto"/>
        <w:rPr>
          <w:sz w:val="20"/>
          <w:szCs w:val="20"/>
          <w:color w:val="auto"/>
        </w:rPr>
      </w:pPr>
      <w:r>
        <w:rPr>
          <w:rFonts w:ascii="Times New Roman" w:cs="Times New Roman" w:eastAsia="Times New Roman" w:hAnsi="Times New Roman"/>
          <w:sz w:val="18"/>
          <w:szCs w:val="18"/>
          <w:color w:val="auto"/>
        </w:rPr>
        <w:t>Under the terms of the Credit Facility, the Company is required to maintain certain financial covenants, including the maintenance of a Consolidated Net Leverage Ratio (as defined in the Credit Facility). In the third quarter of 2023, the Company entered into an Elevated Ratio Period resulting in a maximum Consolidated Net Leverage Ratio of 4.00 through June 30, 2024, after which time it will decrease to 3.50 until the end of the term of the Credit Facility.</w:t>
      </w:r>
    </w:p>
    <w:p>
      <w:pPr>
        <w:spacing w:after="0" w:line="180" w:lineRule="exact"/>
        <w:rPr>
          <w:sz w:val="20"/>
          <w:szCs w:val="20"/>
          <w:color w:val="auto"/>
        </w:rPr>
      </w:pPr>
    </w:p>
    <w:p>
      <w:pPr>
        <w:jc w:val="both"/>
        <w:ind w:left="520" w:right="40"/>
        <w:spacing w:after="0" w:line="281" w:lineRule="auto"/>
        <w:rPr>
          <w:sz w:val="20"/>
          <w:szCs w:val="20"/>
          <w:color w:val="auto"/>
        </w:rPr>
      </w:pPr>
      <w:r>
        <w:rPr>
          <w:rFonts w:ascii="Times New Roman" w:cs="Times New Roman" w:eastAsia="Times New Roman" w:hAnsi="Times New Roman"/>
          <w:sz w:val="17"/>
          <w:szCs w:val="17"/>
          <w:color w:val="auto"/>
        </w:rPr>
        <w:t>The Company has granted a security interest in substantially all of its assets to secure its obligations pursuant to the Credit Facility. The Company’s obligations under the Credit Facility are guaranteed by the Company’s domestic subsidiaries and such guaranty obligations are secured by a security interest on substantially all the assets of such subsidiaries, including certain real property. The Company’s obligations under the Credit Facility may also be guaranteed by the Company’s material foreign subsidiaries to the extent no adverse tax consequences would result to the Company.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 w:name="page12"/>
    <w:bookmarkEnd w:id="11"/>
    <w:p>
      <w:pPr>
        <w:ind w:left="520" w:right="180"/>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was in compliance with all related financial and other restrictive covenants under the Credit Facility.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Joint Venture Debt</w:t>
      </w:r>
    </w:p>
    <w:p>
      <w:pPr>
        <w:spacing w:after="0" w:line="227" w:lineRule="exact"/>
        <w:rPr>
          <w:sz w:val="20"/>
          <w:szCs w:val="20"/>
          <w:color w:val="auto"/>
        </w:rPr>
      </w:pPr>
    </w:p>
    <w:p>
      <w:pPr>
        <w:ind w:left="520" w:right="80"/>
        <w:spacing w:after="0" w:line="253" w:lineRule="auto"/>
        <w:rPr>
          <w:sz w:val="20"/>
          <w:szCs w:val="20"/>
          <w:color w:val="auto"/>
        </w:rPr>
      </w:pPr>
      <w:r>
        <w:rPr>
          <w:rFonts w:ascii="Times New Roman" w:cs="Times New Roman" w:eastAsia="Times New Roman" w:hAnsi="Times New Roman"/>
          <w:sz w:val="18"/>
          <w:szCs w:val="18"/>
          <w:color w:val="auto"/>
        </w:rPr>
        <w:t>On March 7, 2022, the Effox-Flextor-Mader, Inc. joint venture ("EFM JV"), for which the Company holds 63% of the equity, entered into a loan agreement secured by the assets of the EFM JV in the aggregate principal amount of $11.0 million for the acquisition of General Rubber, LLC ("GRC"). As of March 31, 2024 and December 31, 2023, $8.5 million and $8.9 million was outstanding under the loan, respectively. Principal will be paid back to the lender monthly with the final installment due by February 27, 2027. Interest is accrued at the per annum rate based on EFM JV's choice of the 1/3/6 month Term SOFR rate plus 3.25%, with a floor rate of 3.75%. Interest is paid monthly on the last day of each month. The interest rate at March 31, 2024 and December 31, 2023 was 8.52% and 8.70%, respectively. As of March 31, 2024 and December 31, 2023, the EFM JV was in compliance with all related financial and other restrictive covenants under this loan agreement. This loan balance does not impact the Company’s borrowing capacity or the financial covenants under the Credit Facility. As of March 31, 2024, there were $16.0 million in current assets, $26.4 million in long-lived assets, and $31.4 million in total liabilities related to the EFM JV included in the Condensed Consolidated Balance Sheets. As of December 31, 2023, there were $14.5 million in current assets, $26.7 million in long-lived assets, and $12.5 million in total liabilities related to the EFM JV included in the Consolidated Balance Sheets. For the three months ended March 31, 2024 and 2023, the EFM JV accounted for $10.7 million and $9.4 million in revenue, respectively, included in the Company's results.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Foreign Debt</w:t>
      </w:r>
    </w:p>
    <w:p>
      <w:pPr>
        <w:spacing w:after="0" w:line="227" w:lineRule="exact"/>
        <w:rPr>
          <w:sz w:val="20"/>
          <w:szCs w:val="20"/>
          <w:color w:val="auto"/>
        </w:rPr>
      </w:pPr>
    </w:p>
    <w:p>
      <w:pPr>
        <w:ind w:left="520" w:right="80"/>
        <w:spacing w:after="0" w:line="254" w:lineRule="auto"/>
        <w:rPr>
          <w:sz w:val="20"/>
          <w:szCs w:val="20"/>
          <w:color w:val="auto"/>
        </w:rPr>
      </w:pPr>
      <w:r>
        <w:rPr>
          <w:rFonts w:ascii="Times New Roman" w:cs="Times New Roman" w:eastAsia="Times New Roman" w:hAnsi="Times New Roman"/>
          <w:sz w:val="18"/>
          <w:szCs w:val="18"/>
          <w:color w:val="auto"/>
        </w:rPr>
        <w:t>The Company has a number of bank guarantee facilities and bilateral lines of credit in various foreign countries currently supported by cash, letters of credit or pledged assets and collateral under the Credit Facility. In March 2023, the Company amended the Credit Facility, allowing letters of credit and bank guarantee issuances of up to $80.0 million from the bilateral lines of credit secured through pledged assets and collateral under the Credit Facility. As of March 31, 2024 and December 31, 2023, $46.8 million and $45.8 million in bank guarantees were outstanding, respectively, inclusive of $1.8 million and $1.3 million in outstanding bank guarantees as of March 31, 2024 and December 31, 2023, respectively, under a Euro-denominated bank guarantee agreement held by a subsidiary of the Company located in the Netherlands secured by local assets, as well as $2.2 million and $2.3 million in outstanding bank guarantees as of March 31, 2024 and December 31, 2023, respectively, under a Yuan-denominated bank guarantee agreements held by a subsidiary of the Company located in China secured by local assets.</w:t>
      </w:r>
    </w:p>
    <w:p>
      <w:pPr>
        <w:spacing w:after="0" w:line="188"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computational components of basic and diluted earnings per share for the three months ended March 31, 2024 and 2023 are as follows:</w:t>
      </w: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7300" w:type="dxa"/>
            <w:vAlign w:val="bottom"/>
          </w:tcPr>
          <w:p>
            <w:pPr>
              <w:spacing w:after="0"/>
              <w:rPr>
                <w:sz w:val="15"/>
                <w:szCs w:val="15"/>
                <w:color w:val="auto"/>
              </w:rPr>
            </w:pPr>
          </w:p>
        </w:tc>
        <w:tc>
          <w:tcPr>
            <w:tcW w:w="3820" w:type="dxa"/>
            <w:vAlign w:val="bottom"/>
            <w:gridSpan w:val="3"/>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87"/>
        </w:trPr>
        <w:tc>
          <w:tcPr>
            <w:tcW w:w="7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8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76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Numerator </w:t>
      </w:r>
      <w:r>
        <w:rPr>
          <w:rFonts w:ascii="Times New Roman" w:cs="Times New Roman" w:eastAsia="Times New Roman" w:hAnsi="Times New Roman"/>
          <w:sz w:val="18"/>
          <w:szCs w:val="18"/>
          <w:color w:val="auto"/>
        </w:rPr>
        <w:t>(for basic and diluted earnings per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7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680" w:type="dxa"/>
            <w:vAlign w:val="bottom"/>
            <w:shd w:val="clear" w:color="auto" w:fill="CCEC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960" w:type="dxa"/>
            <w:vAlign w:val="bottom"/>
            <w:gridSpan w:val="2"/>
            <w:shd w:val="clear" w:color="auto" w:fill="CCEC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shd w:val="clear" w:color="auto" w:fill="CCECFF"/>
          </w:tcPr>
          <w:p>
            <w:pPr>
              <w:spacing w:after="0"/>
              <w:rPr>
                <w:sz w:val="24"/>
                <w:szCs w:val="24"/>
                <w:color w:val="auto"/>
              </w:rPr>
            </w:pPr>
          </w:p>
        </w:tc>
      </w:tr>
      <w:tr>
        <w:trPr>
          <w:trHeight w:val="224"/>
        </w:trPr>
        <w:tc>
          <w:tcPr>
            <w:tcW w:w="7320" w:type="dxa"/>
            <w:vAlign w:val="bottom"/>
            <w:tcBorders>
              <w:top w:val="single" w:sz="8" w:color="CCECFF"/>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80" w:type="dxa"/>
            <w:vAlign w:val="bottom"/>
            <w:tcBorders>
              <w:top w:val="single" w:sz="8" w:color="CCECFF"/>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r>
      <w:tr>
        <w:trPr>
          <w:trHeight w:val="243"/>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680" w:type="dxa"/>
            <w:vAlign w:val="bottom"/>
            <w:shd w:val="clear" w:color="auto" w:fill="CCECFF"/>
          </w:tcPr>
          <w:p>
            <w:pPr>
              <w:spacing w:after="0"/>
              <w:rPr>
                <w:sz w:val="21"/>
                <w:szCs w:val="21"/>
                <w:color w:val="auto"/>
              </w:rPr>
            </w:pPr>
          </w:p>
        </w:tc>
        <w:tc>
          <w:tcPr>
            <w:tcW w:w="110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680" w:type="dxa"/>
            <w:vAlign w:val="bottom"/>
            <w:shd w:val="clear" w:color="auto" w:fill="CCECFF"/>
          </w:tcPr>
          <w:p>
            <w:pPr>
              <w:spacing w:after="0"/>
              <w:rPr>
                <w:sz w:val="21"/>
                <w:szCs w:val="21"/>
                <w:color w:val="auto"/>
              </w:rPr>
            </w:pPr>
          </w:p>
        </w:tc>
        <w:tc>
          <w:tcPr>
            <w:tcW w:w="10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6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34,846</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34,442</w:t>
            </w:r>
          </w:p>
        </w:tc>
        <w:tc>
          <w:tcPr>
            <w:tcW w:w="100" w:type="dxa"/>
            <w:vAlign w:val="bottom"/>
          </w:tcPr>
          <w:p>
            <w:pPr>
              <w:spacing w:after="0"/>
              <w:rPr>
                <w:sz w:val="20"/>
                <w:szCs w:val="20"/>
                <w:color w:val="auto"/>
              </w:rPr>
            </w:pPr>
          </w:p>
        </w:tc>
      </w:tr>
      <w:tr>
        <w:trPr>
          <w:trHeight w:val="246"/>
        </w:trPr>
        <w:tc>
          <w:tcPr>
            <w:tcW w:w="7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7"/>
                <w:szCs w:val="17"/>
                <w:color w:val="auto"/>
              </w:rPr>
              <w:t>Common stock equivalents arising from stock options and restricted stock awards</w:t>
            </w:r>
          </w:p>
        </w:tc>
        <w:tc>
          <w:tcPr>
            <w:tcW w:w="680" w:type="dxa"/>
            <w:vAlign w:val="bottom"/>
            <w:tcBorders>
              <w:bottom w:val="single" w:sz="8" w:color="auto"/>
            </w:tcBorders>
            <w:shd w:val="clear" w:color="auto" w:fill="CCECFF"/>
          </w:tcPr>
          <w:p>
            <w:pPr>
              <w:spacing w:after="0"/>
              <w:rPr>
                <w:sz w:val="21"/>
                <w:szCs w:val="21"/>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280" w:type="dxa"/>
            <w:vAlign w:val="bottom"/>
            <w:tcBorders>
              <w:bottom w:val="single" w:sz="8" w:color="CCECFF"/>
            </w:tcBorders>
            <w:shd w:val="clear" w:color="auto" w:fill="CCECFF"/>
          </w:tcPr>
          <w:p>
            <w:pPr>
              <w:spacing w:after="0"/>
              <w:rPr>
                <w:sz w:val="21"/>
                <w:szCs w:val="21"/>
                <w:color w:val="auto"/>
              </w:rPr>
            </w:pPr>
          </w:p>
        </w:tc>
        <w:tc>
          <w:tcPr>
            <w:tcW w:w="680" w:type="dxa"/>
            <w:vAlign w:val="bottom"/>
            <w:tcBorders>
              <w:bottom w:val="single" w:sz="8" w:color="auto"/>
            </w:tcBorders>
            <w:shd w:val="clear" w:color="auto" w:fill="CCECFF"/>
          </w:tcPr>
          <w:p>
            <w:pPr>
              <w:spacing w:after="0"/>
              <w:rPr>
                <w:sz w:val="21"/>
                <w:szCs w:val="21"/>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8"/>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6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36,177</w:t>
            </w:r>
          </w:p>
        </w:tc>
        <w:tc>
          <w:tcPr>
            <w:tcW w:w="2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35,199</w:t>
            </w:r>
          </w:p>
        </w:tc>
        <w:tc>
          <w:tcPr>
            <w:tcW w:w="10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-831215</wp:posOffset>
            </wp:positionV>
            <wp:extent cx="768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-814070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-187960</wp:posOffset>
            </wp:positionV>
            <wp:extent cx="768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right="180"/>
        <w:spacing w:after="0" w:line="266" w:lineRule="auto"/>
        <w:rPr>
          <w:sz w:val="20"/>
          <w:szCs w:val="20"/>
          <w:color w:val="auto"/>
        </w:rPr>
      </w:pPr>
      <w:r>
        <w:rPr>
          <w:rFonts w:ascii="Times New Roman" w:cs="Times New Roman" w:eastAsia="Times New Roman" w:hAnsi="Times New Roman"/>
          <w:sz w:val="18"/>
          <w:szCs w:val="18"/>
          <w:color w:val="auto"/>
        </w:rPr>
        <w:t>Options and restricted stock units included in the computation of diluted earnings per share are calculated using the treasury stock method. For the three months ended March 31, 2024 and 2023, 0.1 million and zero, respectively, of outstanding options and restricted stock units were excluded from the computation of diluted earnings per share due to their having an anti-dilutive effect.</w:t>
      </w:r>
    </w:p>
    <w:p>
      <w:pPr>
        <w:spacing w:after="0" w:line="176"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Once a restricted stock unit vests, it is included in the computation of weighted average shares outstanding for purposes of basic and diluted earnings per share.</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Common Stock Repurchase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ind w:left="520" w:right="100"/>
        <w:spacing w:after="0" w:line="256" w:lineRule="auto"/>
        <w:rPr>
          <w:sz w:val="20"/>
          <w:szCs w:val="20"/>
          <w:color w:val="auto"/>
        </w:rPr>
      </w:pPr>
      <w:r>
        <w:rPr>
          <w:rFonts w:ascii="Times New Roman" w:cs="Times New Roman" w:eastAsia="Times New Roman" w:hAnsi="Times New Roman"/>
          <w:sz w:val="18"/>
          <w:szCs w:val="18"/>
          <w:color w:val="auto"/>
        </w:rPr>
        <w:t>On May 10, 2022, the Company's Board of Directors authorized a share repurchase program under which the Company may purchase up to $20.0 million of its outstanding shares of common stock through April 30, 2025. The authorization permits the Company to repurchase shares in the open market, through accelerated share repurchases, block trades, Rule 10b5-1 trading plans or through privately negotiated transactions in accordance with applicable laws, rules and regulations. During the three months ended March 31, 2024, the Company repurchased approximately 144,000 shares under the program for a cost of $3.0 million. There were no shares repurchased under the program during the three months ended March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229" w:lineRule="exact"/>
        <w:rPr>
          <w:sz w:val="20"/>
          <w:szCs w:val="20"/>
          <w:color w:val="auto"/>
        </w:rPr>
      </w:pPr>
    </w:p>
    <w:p>
      <w:pPr>
        <w:ind w:left="520" w:right="60"/>
        <w:spacing w:after="0" w:line="261" w:lineRule="auto"/>
        <w:rPr>
          <w:sz w:val="20"/>
          <w:szCs w:val="20"/>
          <w:color w:val="auto"/>
        </w:rPr>
      </w:pPr>
      <w:r>
        <w:rPr>
          <w:rFonts w:ascii="Times New Roman" w:cs="Times New Roman" w:eastAsia="Times New Roman" w:hAnsi="Times New Roman"/>
          <w:sz w:val="18"/>
          <w:szCs w:val="18"/>
          <w:color w:val="auto"/>
        </w:rPr>
        <w:t>The Company accounts for share-based compensation in accordance with Accounting Standards Codification (“ASC”) Topic 718, “Compensation – Stock Compensation,” which requires the Company to recognize compensation expense for share-based awards, measured at the fair value of the awards at the grant date. The Company recognized $1.7 million and $0.8 million of share-based compensation related expense during the three months ended March 31, 2024 and 2023, respectively.</w:t>
      </w:r>
    </w:p>
    <w:p>
      <w:pPr>
        <w:spacing w:after="0" w:line="180" w:lineRule="exact"/>
        <w:rPr>
          <w:sz w:val="20"/>
          <w:szCs w:val="20"/>
          <w:color w:val="auto"/>
        </w:rPr>
      </w:pPr>
    </w:p>
    <w:p>
      <w:pPr>
        <w:ind w:left="520" w:right="760"/>
        <w:spacing w:after="0" w:line="312" w:lineRule="auto"/>
        <w:rPr>
          <w:sz w:val="20"/>
          <w:szCs w:val="20"/>
          <w:color w:val="auto"/>
        </w:rPr>
      </w:pPr>
      <w:r>
        <w:rPr>
          <w:rFonts w:ascii="Times New Roman" w:cs="Times New Roman" w:eastAsia="Times New Roman" w:hAnsi="Times New Roman"/>
          <w:sz w:val="17"/>
          <w:szCs w:val="17"/>
          <w:color w:val="auto"/>
        </w:rPr>
        <w:t>The Company granted approximately 284,000 and 340,000 restricted stock units during the three months ended March 31, 2024 and 2023, respectively, and approximately 25,000 and zero stock options during the three months ended March 31, 2024 and 2023, respectively.</w:t>
      </w:r>
    </w:p>
    <w:p>
      <w:pPr>
        <w:spacing w:after="0" w:line="140" w:lineRule="exact"/>
        <w:rPr>
          <w:sz w:val="20"/>
          <w:szCs w:val="20"/>
          <w:color w:val="auto"/>
        </w:rPr>
      </w:pPr>
    </w:p>
    <w:p>
      <w:pPr>
        <w:ind w:left="520" w:right="20"/>
        <w:spacing w:after="0" w:line="261" w:lineRule="auto"/>
        <w:rPr>
          <w:sz w:val="20"/>
          <w:szCs w:val="20"/>
          <w:color w:val="auto"/>
        </w:rPr>
      </w:pPr>
      <w:r>
        <w:rPr>
          <w:rFonts w:ascii="Times New Roman" w:cs="Times New Roman" w:eastAsia="Times New Roman" w:hAnsi="Times New Roman"/>
          <w:sz w:val="18"/>
          <w:szCs w:val="18"/>
          <w:color w:val="auto"/>
        </w:rPr>
        <w:t>There were 10,000 and 52,000 options exercised during the three months ended March 31, 2024 and 2023, respectively. The Company received $0.1 million and $0.6 million in cash from employees and directors exercising options during the three months ended March 31, 2024 and 2023, respectively. The intrinsic value of options exercised during the three months ended March 31, 2024 and 2023 was $0.1 million and $0.2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Pension and Employee Benefit Plans</w:t>
      </w:r>
    </w:p>
    <w:p>
      <w:pPr>
        <w:spacing w:after="0" w:line="229" w:lineRule="exact"/>
        <w:rPr>
          <w:sz w:val="20"/>
          <w:szCs w:val="20"/>
          <w:color w:val="auto"/>
        </w:rPr>
      </w:pPr>
    </w:p>
    <w:p>
      <w:pPr>
        <w:ind w:left="520" w:right="380"/>
        <w:spacing w:after="0" w:line="282" w:lineRule="auto"/>
        <w:rPr>
          <w:sz w:val="20"/>
          <w:szCs w:val="20"/>
          <w:color w:val="auto"/>
        </w:rPr>
      </w:pPr>
      <w:r>
        <w:rPr>
          <w:rFonts w:ascii="Times New Roman" w:cs="Times New Roman" w:eastAsia="Times New Roman" w:hAnsi="Times New Roman"/>
          <w:sz w:val="18"/>
          <w:szCs w:val="18"/>
          <w:color w:val="auto"/>
        </w:rPr>
        <w:t>The Company sponsors a non-contributory defined benefit pension plan for certain union employees. The plan is funded in accordance with the funding requirements of the Employee Retirement Income Security Act of 1974.</w:t>
      </w:r>
    </w:p>
    <w:p>
      <w:pPr>
        <w:spacing w:after="0" w:line="162" w:lineRule="exact"/>
        <w:rPr>
          <w:sz w:val="20"/>
          <w:szCs w:val="20"/>
          <w:color w:val="auto"/>
        </w:rPr>
      </w:pPr>
    </w:p>
    <w:p>
      <w:pPr>
        <w:ind w:left="520" w:right="500"/>
        <w:spacing w:after="0" w:line="282" w:lineRule="auto"/>
        <w:rPr>
          <w:sz w:val="20"/>
          <w:szCs w:val="20"/>
          <w:color w:val="auto"/>
        </w:rPr>
      </w:pPr>
      <w:r>
        <w:rPr>
          <w:rFonts w:ascii="Times New Roman" w:cs="Times New Roman" w:eastAsia="Times New Roman" w:hAnsi="Times New Roman"/>
          <w:sz w:val="18"/>
          <w:szCs w:val="18"/>
          <w:color w:val="auto"/>
        </w:rPr>
        <w:t>The Company presents the components of net periodic benefit cost within “Other expense, net” on the Condensed Consolidated Statements of Income.</w:t>
      </w:r>
    </w:p>
    <w:p>
      <w:pPr>
        <w:spacing w:after="0" w:line="162" w:lineRule="exact"/>
        <w:rPr>
          <w:sz w:val="20"/>
          <w:szCs w:val="20"/>
          <w:color w:val="auto"/>
        </w:rPr>
      </w:pPr>
    </w:p>
    <w:p>
      <w:pPr>
        <w:ind w:left="520" w:right="140"/>
        <w:spacing w:after="0" w:line="282" w:lineRule="auto"/>
        <w:rPr>
          <w:sz w:val="20"/>
          <w:szCs w:val="20"/>
          <w:color w:val="auto"/>
        </w:rPr>
      </w:pPr>
      <w:r>
        <w:rPr>
          <w:rFonts w:ascii="Times New Roman" w:cs="Times New Roman" w:eastAsia="Times New Roman" w:hAnsi="Times New Roman"/>
          <w:sz w:val="18"/>
          <w:szCs w:val="18"/>
          <w:color w:val="auto"/>
        </w:rPr>
        <w:t>Retirement plan expense is based on valuations performed by plan actuaries as of the beginning of each fiscal year. The components of the pension plan expense consisted of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20" w:type="dxa"/>
            <w:vAlign w:val="bottom"/>
            <w:gridSpan w:val="5"/>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87"/>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r>
      <w:tr>
        <w:trPr>
          <w:trHeight w:val="236"/>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80" w:type="dxa"/>
            <w:vAlign w:val="bottom"/>
            <w:shd w:val="clear" w:color="auto" w:fill="CFF0FC"/>
          </w:tcPr>
          <w:p>
            <w:pPr>
              <w:spacing w:after="0"/>
              <w:rPr>
                <w:sz w:val="20"/>
                <w:szCs w:val="20"/>
                <w:color w:val="auto"/>
              </w:rPr>
            </w:pPr>
          </w:p>
        </w:tc>
      </w:tr>
      <w:tr>
        <w:trPr>
          <w:trHeight w:val="23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2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(304 )</w:t>
            </w:r>
          </w:p>
        </w:tc>
        <w:tc>
          <w:tcPr>
            <w:tcW w:w="42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(285 )</w:t>
            </w:r>
          </w:p>
        </w:tc>
      </w:tr>
      <w:tr>
        <w:trPr>
          <w:trHeight w:val="247"/>
        </w:trPr>
        <w:tc>
          <w:tcPr>
            <w:tcW w:w="7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4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tcBorders>
              <w:bottom w:val="single" w:sz="8" w:color="CFF0FC"/>
            </w:tcBorders>
            <w:shd w:val="clear" w:color="auto" w:fill="CFF0FC"/>
          </w:tcPr>
          <w:p>
            <w:pPr>
              <w:spacing w:after="0"/>
              <w:rPr>
                <w:sz w:val="21"/>
                <w:szCs w:val="21"/>
                <w:color w:val="auto"/>
              </w:rPr>
            </w:pPr>
          </w:p>
        </w:tc>
      </w:tr>
      <w:tr>
        <w:trPr>
          <w:trHeight w:val="236"/>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tcPr>
          <w:p>
            <w:pPr>
              <w:spacing w:after="0"/>
              <w:rPr>
                <w:sz w:val="20"/>
                <w:szCs w:val="20"/>
                <w:color w:val="auto"/>
              </w:rPr>
            </w:pPr>
          </w:p>
        </w:tc>
      </w:tr>
      <w:tr>
        <w:trPr>
          <w:trHeight w:val="20"/>
        </w:trPr>
        <w:tc>
          <w:tcPr>
            <w:tcW w:w="7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-187960</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-187960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line="289" w:lineRule="auto"/>
        <w:rPr>
          <w:sz w:val="20"/>
          <w:szCs w:val="20"/>
          <w:color w:val="auto"/>
        </w:rPr>
      </w:pPr>
      <w:r>
        <w:rPr>
          <w:rFonts w:ascii="Times New Roman" w:cs="Times New Roman" w:eastAsia="Times New Roman" w:hAnsi="Times New Roman"/>
          <w:sz w:val="17"/>
          <w:szCs w:val="17"/>
          <w:color w:val="auto"/>
        </w:rPr>
        <w:t>The Company made no contributions to its defined benefit plan during the three months ended March 31, 2024 and 2023. For the remainder of 2024, the Company expects to make contributions of $0.6 million to fund the pension plan. The unfunded liability of the plan of $4.2 million and $4.1 million as of March 31, 2024 and December 31, 2023, respectively, is included in “Other liabilities” on the Condensed Consolidated Balance Sheets.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ind w:left="520" w:right="60"/>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various federal, state and local jurisdictions. Tax years from 2018 forward remain open for examination by Federal authorities. Tax years from 2017 forward remain open for all significant state and foreign authorities.</w:t>
      </w:r>
    </w:p>
    <w:p>
      <w:pPr>
        <w:spacing w:after="0" w:line="162"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pursuant to ASC Topic 740, “Income Taxes.” As of March 31, 2024 and December 31, 2023, the liability for uncertain tax positions totaled approximately $0.2 million, which is included in “Other liabilities” on the Condensed Consolidated Balance Sheets. The Company recognizes accrued interest related to uncertain tax positions and penalties, if any, in income tax expense within the Condensed Consolidated Statements of Income.</w:t>
      </w:r>
    </w:p>
    <w:p>
      <w:pPr>
        <w:spacing w:after="0" w:line="180" w:lineRule="exact"/>
        <w:rPr>
          <w:sz w:val="20"/>
          <w:szCs w:val="20"/>
          <w:color w:val="auto"/>
        </w:rPr>
      </w:pPr>
    </w:p>
    <w:p>
      <w:pPr>
        <w:ind w:left="520" w:right="340"/>
        <w:spacing w:after="0" w:line="282" w:lineRule="auto"/>
        <w:rPr>
          <w:sz w:val="20"/>
          <w:szCs w:val="20"/>
          <w:color w:val="auto"/>
        </w:rPr>
      </w:pPr>
      <w:r>
        <w:rPr>
          <w:rFonts w:ascii="Times New Roman" w:cs="Times New Roman" w:eastAsia="Times New Roman" w:hAnsi="Times New Roman"/>
          <w:sz w:val="18"/>
          <w:szCs w:val="18"/>
          <w:color w:val="auto"/>
        </w:rPr>
        <w:t>Certain of the Company’s undistributed earnings of our foreign subsidiaries are not permanently reinvested. Since foreign earnings have already been subject to United States income tax in 2017 as a result of the 2017 Tax Cuts and Jobs Act,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ind w:left="520"/>
        <w:spacing w:after="0" w:line="261" w:lineRule="auto"/>
        <w:rPr>
          <w:sz w:val="20"/>
          <w:szCs w:val="20"/>
          <w:color w:val="auto"/>
        </w:rPr>
      </w:pPr>
      <w:r>
        <w:rPr>
          <w:rFonts w:ascii="Times New Roman" w:cs="Times New Roman" w:eastAsia="Times New Roman" w:hAnsi="Times New Roman"/>
          <w:sz w:val="18"/>
          <w:szCs w:val="18"/>
          <w:color w:val="auto"/>
        </w:rPr>
        <w:t>Company intends to repatriate foreign-held cash as needed. The Company records deferred income tax attributable to foreign withholding taxes that would become payable should it decide to repatriate cash held in our foreign operations. As of March 31, 2024 and December 31, 2023, the Company recorded deferred income taxes of approximately $1.1 million and $0.7 million, respectively, on the undistributed earnings of its foreign subsidiaries.</w:t>
      </w:r>
    </w:p>
    <w:p>
      <w:pPr>
        <w:spacing w:after="0" w:line="180" w:lineRule="exact"/>
        <w:rPr>
          <w:sz w:val="20"/>
          <w:szCs w:val="20"/>
          <w:color w:val="auto"/>
        </w:rPr>
      </w:pPr>
    </w:p>
    <w:p>
      <w:pPr>
        <w:ind w:left="520" w:right="40"/>
        <w:spacing w:after="0" w:line="258" w:lineRule="auto"/>
        <w:rPr>
          <w:sz w:val="20"/>
          <w:szCs w:val="20"/>
          <w:color w:val="auto"/>
        </w:rPr>
      </w:pPr>
      <w:r>
        <w:rPr>
          <w:rFonts w:ascii="Times New Roman" w:cs="Times New Roman" w:eastAsia="Times New Roman" w:hAnsi="Times New Roman"/>
          <w:sz w:val="18"/>
          <w:szCs w:val="18"/>
          <w:color w:val="auto"/>
        </w:rPr>
        <w:t>Income tax expense was $0.7 million and zero million for the three months ended March 31, 2024 and 2023, respectively. The effective income tax rate for the three months ended March 31, 2024 was 24.2% compared with 0.4% for the three months ended March 31, 2023. The effective income tax rates for the three months ended March 31, 2024 and 2023 differ from the United States federal statutory rate. The Company's effective rate is affected by certain other permanent differences, including state income taxes, non-deductible incentive stock-based compensation and differences in tax rates among jurisdictions in which it operates.</w:t>
      </w:r>
    </w:p>
    <w:p>
      <w:pPr>
        <w:spacing w:after="0" w:line="183" w:lineRule="exact"/>
        <w:rPr>
          <w:sz w:val="20"/>
          <w:szCs w:val="20"/>
          <w:color w:val="auto"/>
        </w:rPr>
      </w:pPr>
    </w:p>
    <w:p>
      <w:pPr>
        <w:ind w:left="520" w:right="100"/>
        <w:spacing w:after="0" w:line="254" w:lineRule="auto"/>
        <w:rPr>
          <w:sz w:val="20"/>
          <w:szCs w:val="20"/>
          <w:color w:val="auto"/>
        </w:rPr>
      </w:pPr>
      <w:r>
        <w:rPr>
          <w:rFonts w:ascii="Times New Roman" w:cs="Times New Roman" w:eastAsia="Times New Roman" w:hAnsi="Times New Roman"/>
          <w:sz w:val="18"/>
          <w:szCs w:val="18"/>
          <w:color w:val="auto"/>
        </w:rPr>
        <w:t>The Organization for Economic Co-operation and Development/G20 Inclusive Framework on Base Erosion and Profit Shifting published the Pillar Two model rules designed to address the tax challenges arising from the digitalization of the global economy which introduces a 15% global minimum corporate tax for companies with revenues above €750 million calculated on a country-by-country basis. On February 1, 2023, the FASB indicated that it believes the minimum tax imposed under Pillar Two is an alternative minimum tax, and, accordingly, deferred tax assets and liabilities associated with the minimum tax would not be recognized or adjusted for the estimated future effects of the minimum tax but would be recognized in the period incurred. Aspects of Pillar Two legislation have been enacted in certain jurisdictions in which the Company operates effective for accounting periods commencing on or after January 1, 2024. However, based on the current revenue threshold, the Company is currently not subject to Pillar Two taxes.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Financial Instruments</w:t>
      </w:r>
    </w:p>
    <w:p>
      <w:pPr>
        <w:spacing w:after="0" w:line="229" w:lineRule="exact"/>
        <w:rPr>
          <w:sz w:val="20"/>
          <w:szCs w:val="20"/>
          <w:color w:val="auto"/>
        </w:rPr>
      </w:pPr>
    </w:p>
    <w:p>
      <w:pPr>
        <w:ind w:left="520" w:right="60"/>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primarily of investments in cash and cash equivalents, receivables and certain other assets, notes payable, foreign debt and accounts payable, which approximate fair value at March 31, 2024 and December 31, 2023, due to their short-term nature or variable, market-driven interest rates.</w:t>
      </w:r>
    </w:p>
    <w:p>
      <w:pPr>
        <w:spacing w:after="0" w:line="176" w:lineRule="exact"/>
        <w:rPr>
          <w:sz w:val="20"/>
          <w:szCs w:val="20"/>
          <w:color w:val="auto"/>
        </w:rPr>
      </w:pPr>
    </w:p>
    <w:p>
      <w:pPr>
        <w:ind w:left="520" w:right="80"/>
        <w:spacing w:after="0" w:line="266" w:lineRule="auto"/>
        <w:rPr>
          <w:sz w:val="20"/>
          <w:szCs w:val="20"/>
          <w:color w:val="auto"/>
        </w:rPr>
      </w:pPr>
      <w:r>
        <w:rPr>
          <w:rFonts w:ascii="Times New Roman" w:cs="Times New Roman" w:eastAsia="Times New Roman" w:hAnsi="Times New Roman"/>
          <w:sz w:val="18"/>
          <w:szCs w:val="18"/>
          <w:color w:val="auto"/>
        </w:rPr>
        <w:t>The fair value of the debt issued under the Credit Facility and joint venture term loan was $136.8 million and $138.6 million at March 31, 2024 and December 31, 2023, respectively. The fair value was determined considering market conditions, the Company's credit worthiness and the current terms of our debt, which is considered Level 2 on the fair value hierarchy.</w:t>
      </w:r>
    </w:p>
    <w:p>
      <w:pPr>
        <w:spacing w:after="0" w:line="176" w:lineRule="exact"/>
        <w:rPr>
          <w:sz w:val="20"/>
          <w:szCs w:val="20"/>
          <w:color w:val="auto"/>
        </w:rPr>
      </w:pPr>
    </w:p>
    <w:p>
      <w:pPr>
        <w:jc w:val="both"/>
        <w:ind w:left="520" w:right="120"/>
        <w:spacing w:after="0" w:line="266" w:lineRule="auto"/>
        <w:rPr>
          <w:sz w:val="20"/>
          <w:szCs w:val="20"/>
          <w:color w:val="auto"/>
        </w:rPr>
      </w:pPr>
      <w:r>
        <w:rPr>
          <w:rFonts w:ascii="Times New Roman" w:cs="Times New Roman" w:eastAsia="Times New Roman" w:hAnsi="Times New Roman"/>
          <w:sz w:val="18"/>
          <w:szCs w:val="18"/>
          <w:color w:val="auto"/>
        </w:rPr>
        <w:t>At March 31, 2024 and December 31, 2023, the Company had cash and cash equivalents of $46.6 million and $54.8 million, respectively, of which $35.5 million and $38.5 million, respectively, was held outside of the United States, principally in the Netherlands, United Kingdom, United Arab Emirates, and China.</w:t>
      </w:r>
    </w:p>
    <w:p>
      <w:pPr>
        <w:spacing w:after="0" w:line="172" w:lineRule="exact"/>
        <w:rPr>
          <w:sz w:val="20"/>
          <w:szCs w:val="20"/>
          <w:color w:val="auto"/>
        </w:rPr>
      </w:pPr>
    </w:p>
    <w:p>
      <w:pPr>
        <w:ind w:left="520" w:right="8300" w:hanging="512"/>
        <w:spacing w:after="0" w:line="503" w:lineRule="auto"/>
        <w:tabs>
          <w:tab w:leader="none" w:pos="371"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Asbestos cases</w:t>
      </w:r>
    </w:p>
    <w:p>
      <w:pPr>
        <w:ind w:left="520" w:right="20"/>
        <w:spacing w:after="0" w:line="253" w:lineRule="auto"/>
        <w:rPr>
          <w:sz w:val="20"/>
          <w:szCs w:val="20"/>
          <w:color w:val="auto"/>
        </w:rPr>
      </w:pPr>
      <w:r>
        <w:rPr>
          <w:rFonts w:ascii="Times New Roman" w:cs="Times New Roman" w:eastAsia="Times New Roman" w:hAnsi="Times New Roman"/>
          <w:sz w:val="18"/>
          <w:szCs w:val="18"/>
          <w:color w:val="auto"/>
        </w:rPr>
        <w:t>The Company's subsidiary, Met-Pro Technologies LLC (“Met-Pro”), beginning in 2002, has been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 payments from 2002 through March 31, 2024 for cases involving asbestos-related claims were $6.7 million which together with all legal fees other than corporate counsel expenses have substantially been paid by the Company’s insurers. The average cost per settled claim, excluding legal fees, was approximately $36,000.</w:t>
      </w:r>
    </w:p>
    <w:p>
      <w:pPr>
        <w:spacing w:after="0" w:line="192" w:lineRule="exact"/>
        <w:rPr>
          <w:sz w:val="20"/>
          <w:szCs w:val="20"/>
          <w:color w:val="auto"/>
        </w:rPr>
      </w:pPr>
    </w:p>
    <w:p>
      <w:pPr>
        <w:ind w:left="520" w:right="80"/>
        <w:spacing w:after="0" w:line="258" w:lineRule="auto"/>
        <w:rPr>
          <w:sz w:val="20"/>
          <w:szCs w:val="20"/>
          <w:color w:val="auto"/>
        </w:rPr>
      </w:pPr>
      <w:r>
        <w:rPr>
          <w:rFonts w:ascii="Times New Roman" w:cs="Times New Roman" w:eastAsia="Times New Roman" w:hAnsi="Times New Roman"/>
          <w:sz w:val="18"/>
          <w:szCs w:val="18"/>
          <w:color w:val="auto"/>
        </w:rPr>
        <w:t>Based upon the most recent information available to the Company regarding such claims, there were a total of 327 cases pending against the Company as of March 31, 2024 with Illinois, New York, Pennsylvania and West Virginia having the largest number of cases, as compared with 313 cases that were pending as of December 31, 2023. During the three months ended March 31, 2024, 47 new cases were filed against the Company, and the Company was dismissed from 26 cases and settled 7 cases. Most of the pending cases have not advanced beyond the early stages of discovery, although a number of cases are on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4" w:name="page15"/>
    <w:bookmarkEnd w:id="14"/>
    <w:p>
      <w:pPr>
        <w:ind w:left="520" w:right="40"/>
        <w:spacing w:after="0" w:line="258" w:lineRule="auto"/>
        <w:rPr>
          <w:sz w:val="20"/>
          <w:szCs w:val="20"/>
          <w:color w:val="auto"/>
        </w:rPr>
      </w:pPr>
      <w:r>
        <w:rPr>
          <w:rFonts w:ascii="Times New Roman" w:cs="Times New Roman" w:eastAsia="Times New Roman" w:hAnsi="Times New Roman"/>
          <w:sz w:val="18"/>
          <w:szCs w:val="18"/>
          <w:color w:val="auto"/>
        </w:rPr>
        <w:t>schedules leading to or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left="520" w:right="120"/>
        <w:spacing w:after="0" w:line="282" w:lineRule="auto"/>
        <w:rPr>
          <w:sz w:val="20"/>
          <w:szCs w:val="20"/>
          <w:color w:val="auto"/>
        </w:rPr>
      </w:pPr>
      <w:r>
        <w:rPr>
          <w:rFonts w:ascii="Times New Roman" w:cs="Times New Roman" w:eastAsia="Times New Roman" w:hAnsi="Times New Roman"/>
          <w:sz w:val="18"/>
          <w:szCs w:val="18"/>
          <w:color w:val="auto"/>
        </w:rPr>
        <w:t>The Company is also a party to routine contract and employment-related litigation matters, warranty claims and routine audits of state and local tax returns arising in the ordinary course of its business.</w:t>
      </w:r>
    </w:p>
    <w:p>
      <w:pPr>
        <w:spacing w:after="0" w:line="162"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The final outcome and impact of open matters, and related claims and investigations that may be brought in the future, are subject to many variables, and cannot be predicted. The Company records accruals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80" w:lineRule="exact"/>
        <w:rPr>
          <w:sz w:val="20"/>
          <w:szCs w:val="20"/>
          <w:color w:val="auto"/>
        </w:rPr>
      </w:pPr>
    </w:p>
    <w:p>
      <w:pPr>
        <w:ind w:left="520" w:right="220"/>
        <w:spacing w:after="0" w:line="282" w:lineRule="auto"/>
        <w:rPr>
          <w:sz w:val="20"/>
          <w:szCs w:val="20"/>
          <w:color w:val="auto"/>
        </w:rPr>
      </w:pPr>
      <w:r>
        <w:rPr>
          <w:rFonts w:ascii="Times New Roman" w:cs="Times New Roman" w:eastAsia="Times New Roman" w:hAnsi="Times New Roman"/>
          <w:sz w:val="18"/>
          <w:szCs w:val="18"/>
          <w:color w:val="auto"/>
        </w:rPr>
        <w:t>The Company is not aware of any pending claims or assessments, other than as described above, which may have a material adverse impact on its liquidity, financial position, results of operations, or cash flows.</w:t>
      </w:r>
    </w:p>
    <w:p>
      <w:pPr>
        <w:spacing w:after="0" w:line="158"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Kemco Systems Co., LLC</w:t>
      </w:r>
    </w:p>
    <w:p>
      <w:pPr>
        <w:spacing w:after="0" w:line="227" w:lineRule="exact"/>
        <w:rPr>
          <w:sz w:val="20"/>
          <w:szCs w:val="20"/>
          <w:color w:val="auto"/>
        </w:rPr>
      </w:pPr>
    </w:p>
    <w:p>
      <w:pPr>
        <w:ind w:left="520"/>
        <w:spacing w:after="0" w:line="253" w:lineRule="auto"/>
        <w:rPr>
          <w:sz w:val="20"/>
          <w:szCs w:val="20"/>
          <w:color w:val="auto"/>
        </w:rPr>
      </w:pPr>
      <w:r>
        <w:rPr>
          <w:rFonts w:ascii="Times New Roman" w:cs="Times New Roman" w:eastAsia="Times New Roman" w:hAnsi="Times New Roman"/>
          <w:sz w:val="18"/>
          <w:szCs w:val="18"/>
          <w:color w:val="auto"/>
        </w:rPr>
        <w:t>On August 23, 2023, the Company acquired 100% of the equity interests of Kemco for $24.0 million in cash, which was financed with a draw on the Company’s revolving credit facility. During the three months ended March 31, 2024, the Company received $0.4 million from the former owners of Kemco as a working capital adjustment, reducing the purchase price to $23.6 million. As additional consideration, the former owners of Kemco are entitled to earn-out payments up to $4.0 million based upon specified financial results through August 31, 2026. Based on projections at the acquisition date, the Company estimated the fair value of the earn-out to be $2.2 million. This fair value measurement is based on inputs not observable in the market, which is considered Level 3 on the fair value hierarchy. As of March 31, 2024, the earnout liability recorded in “Accrued expenses” and "Other liabilities", depending on the anticipated payout timing, on the Condensed Consolidated Balance Sheets is $2.7 million. Kemco designs and manufactures energy and water conservation systems and equipment for applications regarding wastewater reuse and recycle, heat recovery, water heating, and vapor energy. This acquisition advances the Company's position within the North American water and wastewater treatment market within the Engineered Systems segment. The following table summarizes the fair values of the assets acquired and liabilities assumed at the date of closing.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 (including accounts receivable of $2,328)</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 finite life</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11,610</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100" w:type="dxa"/>
            <w:vAlign w:val="bottom"/>
            <w:shd w:val="clear" w:color="auto" w:fill="CFF0FC"/>
          </w:tcPr>
          <w:p>
            <w:pPr>
              <w:spacing w:after="0"/>
              <w:rPr>
                <w:sz w:val="21"/>
                <w:szCs w:val="21"/>
                <w:color w:val="auto"/>
              </w:rPr>
            </w:pPr>
          </w:p>
        </w:tc>
      </w:tr>
      <w:tr>
        <w:trPr>
          <w:trHeight w:val="24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r>
      <w:tr>
        <w:trPr>
          <w:trHeight w:val="23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 acquired</w:t>
            </w:r>
          </w:p>
        </w:tc>
        <w:tc>
          <w:tcPr>
            <w:tcW w:w="7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33,586</w:t>
            </w:r>
          </w:p>
        </w:tc>
        <w:tc>
          <w:tcPr>
            <w:tcW w:w="100" w:type="dxa"/>
            <w:vAlign w:val="bottom"/>
            <w:shd w:val="clear" w:color="auto" w:fill="CFF0FC"/>
          </w:tcPr>
          <w:p>
            <w:pPr>
              <w:spacing w:after="0"/>
              <w:rPr>
                <w:sz w:val="20"/>
                <w:szCs w:val="20"/>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7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(6,853 )</w:t>
            </w: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 assumed</w:t>
            </w:r>
          </w:p>
        </w:tc>
        <w:tc>
          <w:tcPr>
            <w:tcW w:w="7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(404 )</w:t>
            </w:r>
          </w:p>
        </w:tc>
      </w:tr>
      <w:tr>
        <w:trPr>
          <w:trHeight w:val="237"/>
        </w:trPr>
        <w:tc>
          <w:tcPr>
            <w:tcW w:w="92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assets acquired</w:t>
            </w: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26,329</w:t>
            </w:r>
          </w:p>
        </w:tc>
        <w:tc>
          <w:tcPr>
            <w:tcW w:w="100" w:type="dxa"/>
            <w:vAlign w:val="bottom"/>
            <w:tcBorders>
              <w:top w:val="single" w:sz="8" w:color="CFF0FC"/>
            </w:tcBorders>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right="920"/>
        <w:spacing w:after="0" w:line="282" w:lineRule="auto"/>
        <w:rPr>
          <w:sz w:val="20"/>
          <w:szCs w:val="20"/>
          <w:color w:val="auto"/>
        </w:rPr>
      </w:pPr>
      <w:r>
        <w:rPr>
          <w:rFonts w:ascii="Times New Roman" w:cs="Times New Roman" w:eastAsia="Times New Roman" w:hAnsi="Times New Roman"/>
          <w:sz w:val="18"/>
          <w:szCs w:val="18"/>
          <w:color w:val="auto"/>
        </w:rPr>
        <w:t>The Company acquired technology, customer lists and tradename intangible assets valued at $1.4 million, $8.7 million and $1.5 million, respectively. These assets were determined to have useful lives of 7, 10 and 10 years, respectively.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Transcend Solutions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March 31, 2023, the Company acquired 100% of the equity interests of Transcend Solutions, LLC ("Transcend") for $22.4 million, including</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$20.0 million in cash, which was financed with a draw on the Company’s revolving credit facility, $2.4 million of deferred cash consideration,</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consisting of $0.4 million of holdback paid within one year and $2.0 million of notes payable due in equal installments over two years, of which</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$1.0 million was paid during the three months ended March 31, 2024. Transcend is a process filtration solution design and manufacturing company</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with applications in hydrocarbon and chemical processing. This acquisition improves the Company's short-cycle and long-cycle mix and expands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left="520" w:right="620"/>
        <w:spacing w:after="0" w:line="282" w:lineRule="auto"/>
        <w:rPr>
          <w:sz w:val="20"/>
          <w:szCs w:val="20"/>
          <w:color w:val="auto"/>
        </w:rPr>
      </w:pPr>
      <w:r>
        <w:rPr>
          <w:rFonts w:ascii="Times New Roman" w:cs="Times New Roman" w:eastAsia="Times New Roman" w:hAnsi="Times New Roman"/>
          <w:sz w:val="18"/>
          <w:szCs w:val="18"/>
          <w:color w:val="auto"/>
        </w:rPr>
        <w:t>reach into midstream oil and gas, liquified natural gas, hydrocarbon processing, and chemical processing applications within the Engineered Systems segment. The following table summarizes the fair values of the assets acquired and liabilities assumed at the date of closing.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 (including cash of $52 and accounts receivable of $1,493)</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 finite life</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10,839</w:t>
            </w:r>
          </w:p>
        </w:tc>
        <w:tc>
          <w:tcPr>
            <w:tcW w:w="100" w:type="dxa"/>
            <w:vAlign w:val="bottom"/>
          </w:tcPr>
          <w:p>
            <w:pPr>
              <w:spacing w:after="0"/>
              <w:rPr>
                <w:sz w:val="20"/>
                <w:szCs w:val="20"/>
                <w:color w:val="auto"/>
              </w:rPr>
            </w:pPr>
          </w:p>
        </w:tc>
      </w:tr>
      <w:tr>
        <w:trPr>
          <w:trHeight w:val="247"/>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 acquired</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23,767</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7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(1,203 )</w:t>
            </w:r>
          </w:p>
        </w:tc>
      </w:tr>
      <w:tr>
        <w:trPr>
          <w:trHeight w:val="24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7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(168 )</w:t>
            </w:r>
          </w:p>
        </w:tc>
      </w:tr>
      <w:tr>
        <w:trPr>
          <w:trHeight w:val="277"/>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assets acquired</w:t>
            </w: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Malvar Engineering Limited</w:t>
      </w:r>
    </w:p>
    <w:p>
      <w:pPr>
        <w:spacing w:after="0" w:line="227" w:lineRule="exact"/>
        <w:rPr>
          <w:sz w:val="20"/>
          <w:szCs w:val="20"/>
          <w:color w:val="auto"/>
        </w:rPr>
      </w:pPr>
    </w:p>
    <w:p>
      <w:pPr>
        <w:ind w:left="520" w:right="20"/>
        <w:spacing w:after="0" w:line="253" w:lineRule="auto"/>
        <w:rPr>
          <w:sz w:val="20"/>
          <w:szCs w:val="20"/>
          <w:color w:val="auto"/>
        </w:rPr>
      </w:pPr>
      <w:r>
        <w:rPr>
          <w:rFonts w:ascii="Times New Roman" w:cs="Times New Roman" w:eastAsia="Times New Roman" w:hAnsi="Times New Roman"/>
          <w:sz w:val="18"/>
          <w:szCs w:val="18"/>
          <w:color w:val="auto"/>
        </w:rPr>
        <w:t>On January 10, 2023, the Company acquired 100% of the equity interests of Malvar Engineering Limited, including its subsidiaries Arkanum Management Limited and Wakefield Acoustics Limited (collectively, "Wakefield"), for $4.1 million in cash, which was financed with a draw on the Company’s revolving credit facility, and $0.4 million of deferred cash consideration. As additional consideration, the former owners are entitled to earn-out payments based upon specified financial results through July 31, 2023. Based on projections at the acquisition date, the Company estimated the fair value of the earn-out to be $0.6 million. A payment of $0.6 million, representing the fully earned amount, was made in the fourth quarter of 2023. Wakefield is a producer of industrial engineered noise control solutions, including custom acoustical gen-set packages, ambient air baffles, acoustical louvres, and skid enclosures, primarily serving server farms for data centers, standby and emergency power generation, oil and gas, petrochemical, commercial construction, infrastructure, and general manufacturing industries. This acquisition advances the Company's position within the industrial silencing and noise attenuation market by adding a range of solutions and access to new geographic markets within the Engineered Systems segment. The following table summarizes the fair values of the assets acquired and liabilities assumed at the date of closing.</w:t>
      </w:r>
    </w:p>
    <w:p>
      <w:pPr>
        <w:sectPr>
          <w:pgSz w:w="11900" w:h="16838" w:orient="portrait"/>
          <w:cols w:equalWidth="0" w:num="1">
            <w:col w:w="11240"/>
          </w:cols>
          <w:pgMar w:left="320" w:top="1201" w:right="339" w:bottom="1440" w:gutter="0" w:footer="0" w:header="0"/>
        </w:sect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 (including accounts receivable of $2,467)</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 finite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income tax liability</w:t>
      </w:r>
    </w:p>
    <w:p>
      <w:pPr>
        <w:spacing w:after="0" w:line="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3,240</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635</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1,778</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5,296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11912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3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10,949</w:t>
      </w:r>
    </w:p>
    <w:p>
      <w:pPr>
        <w:spacing w:after="0" w:line="3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(4,860 )</w:t>
      </w:r>
    </w:p>
    <w:p>
      <w:pPr>
        <w:spacing w:after="0" w:line="3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(961 )</w:t>
      </w:r>
    </w:p>
    <w:p>
      <w:pPr>
        <w:spacing w:after="0" w:line="50"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11912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9126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43180</wp:posOffset>
            </wp:positionV>
            <wp:extent cx="11912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8540" w:space="720"/>
            <w:col w:w="1980"/>
          </w:cols>
          <w:pgMar w:left="320" w:top="1201" w:right="339" w:bottom="1440" w:gutter="0" w:footer="0" w:header="0"/>
          <w:type w:val="continuous"/>
        </w:sectPr>
      </w:pPr>
    </w:p>
    <w:p>
      <w:pPr>
        <w:spacing w:after="0" w:line="39" w:lineRule="exact"/>
        <w:rPr>
          <w:sz w:val="20"/>
          <w:szCs w:val="20"/>
          <w:color w:val="auto"/>
        </w:rPr>
      </w:pPr>
    </w:p>
    <w:p>
      <w:pPr>
        <w:ind w:left="520" w:right="480"/>
        <w:spacing w:after="0" w:line="282" w:lineRule="auto"/>
        <w:rPr>
          <w:sz w:val="20"/>
          <w:szCs w:val="20"/>
          <w:color w:val="auto"/>
        </w:rPr>
      </w:pPr>
      <w:r>
        <w:rPr>
          <w:rFonts w:ascii="Times New Roman" w:cs="Times New Roman" w:eastAsia="Times New Roman" w:hAnsi="Times New Roman"/>
          <w:sz w:val="18"/>
          <w:szCs w:val="18"/>
          <w:color w:val="auto"/>
        </w:rPr>
        <w:t>The Company acquired customer lists and tradename intangible assets valued at $1.5 million and $0.3 million, respectively. These assets were determined to have useful lives of 10 years.</w:t>
      </w:r>
    </w:p>
    <w:p>
      <w:pPr>
        <w:spacing w:after="0" w:line="162" w:lineRule="exact"/>
        <w:rPr>
          <w:sz w:val="20"/>
          <w:szCs w:val="20"/>
          <w:color w:val="auto"/>
        </w:rPr>
      </w:pPr>
    </w:p>
    <w:p>
      <w:pPr>
        <w:ind w:left="520" w:right="40"/>
        <w:spacing w:after="0" w:line="256" w:lineRule="auto"/>
        <w:rPr>
          <w:sz w:val="20"/>
          <w:szCs w:val="20"/>
          <w:color w:val="auto"/>
        </w:rPr>
      </w:pPr>
      <w:r>
        <w:rPr>
          <w:rFonts w:ascii="Times New Roman" w:cs="Times New Roman" w:eastAsia="Times New Roman" w:hAnsi="Times New Roman"/>
          <w:sz w:val="18"/>
          <w:szCs w:val="18"/>
          <w:color w:val="auto"/>
        </w:rPr>
        <w:t>The Company has finalized the valuation of assets acquired and liabilities assumed related to the acquisition of Wakefield and Transcend. The purchase accounting related to the Kemco acquisition is subject to final adjustment, primarily for the valuation of intangible assets pending final valuation results for such assets and tax balances for the further assessment of the acquiree’s tax positions. These preliminary estimates and assumptions could change significantly during the purchase price measurement period as the Company finalizes the valuation of assets acquired and liabilities assumed. These changes could result in material variances in the Company's future financial results, including variances in the estimated purchase price, fair values recorded and expenses associated with these items.</w:t>
      </w:r>
    </w:p>
    <w:p>
      <w:pPr>
        <w:spacing w:after="0" w:line="187" w:lineRule="exact"/>
        <w:rPr>
          <w:sz w:val="20"/>
          <w:szCs w:val="20"/>
          <w:color w:val="auto"/>
        </w:rPr>
      </w:pPr>
    </w:p>
    <w:p>
      <w:pPr>
        <w:jc w:val="both"/>
        <w:ind w:left="520" w:right="120"/>
        <w:spacing w:after="0" w:line="266" w:lineRule="auto"/>
        <w:rPr>
          <w:sz w:val="20"/>
          <w:szCs w:val="20"/>
          <w:color w:val="auto"/>
        </w:rPr>
      </w:pPr>
      <w:r>
        <w:rPr>
          <w:rFonts w:ascii="Times New Roman" w:cs="Times New Roman" w:eastAsia="Times New Roman" w:hAnsi="Times New Roman"/>
          <w:sz w:val="18"/>
          <w:szCs w:val="18"/>
          <w:color w:val="auto"/>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this acquisition is not deductible for tax purposes.</w:t>
      </w:r>
    </w:p>
    <w:p>
      <w:pPr>
        <w:spacing w:after="0" w:line="176" w:lineRule="exact"/>
        <w:rPr>
          <w:sz w:val="20"/>
          <w:szCs w:val="20"/>
          <w:color w:val="auto"/>
        </w:rPr>
      </w:pPr>
    </w:p>
    <w:p>
      <w:pPr>
        <w:ind w:left="520" w:right="500"/>
        <w:spacing w:after="0" w:line="282" w:lineRule="auto"/>
        <w:rPr>
          <w:sz w:val="20"/>
          <w:szCs w:val="20"/>
          <w:color w:val="auto"/>
        </w:rPr>
      </w:pPr>
      <w:r>
        <w:rPr>
          <w:rFonts w:ascii="Times New Roman" w:cs="Times New Roman" w:eastAsia="Times New Roman" w:hAnsi="Times New Roman"/>
          <w:sz w:val="18"/>
          <w:szCs w:val="18"/>
          <w:color w:val="auto"/>
        </w:rPr>
        <w:t>Acquisition and integration expenses on the Condensed Consolidated Statements of Income are related to acquisition activities, which include retention, legal, accounting, banking, and other expenses.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6" w:name="page17"/>
    <w:bookmarkEnd w:id="16"/>
    <w:p>
      <w:pPr>
        <w:ind w:left="520" w:right="120"/>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financial information represents the Company’s results of operations as if these acquisitions had occurred at the beginning of the fiscal year prior to the acquisition. The pro forma results have been prepared for informational purposes only and include adjustments to amortize acquired intangible assets with finite life, reflect additional interest expense on debt used to fund the acquisition, and to record the income tax consequences of the pro forma adjustments.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9"/>
                <w:szCs w:val="19"/>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126,332</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122,195</w:t>
            </w:r>
          </w:p>
        </w:tc>
        <w:tc>
          <w:tcPr>
            <w:tcW w:w="280" w:type="dxa"/>
            <w:vAlign w:val="bottom"/>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4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28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40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r>
      <w:tr>
        <w:trPr>
          <w:trHeight w:val="239"/>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tcPr>
          <w:p>
            <w:pPr>
              <w:spacing w:after="0"/>
              <w:rPr>
                <w:sz w:val="20"/>
                <w:szCs w:val="20"/>
                <w:color w:val="auto"/>
              </w:rPr>
            </w:pPr>
          </w:p>
        </w:tc>
      </w:tr>
      <w:tr>
        <w:trPr>
          <w:trHeight w:val="247"/>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ind w:left="520" w:right="240"/>
        <w:spacing w:after="0" w:line="282" w:lineRule="auto"/>
        <w:rPr>
          <w:sz w:val="20"/>
          <w:szCs w:val="20"/>
          <w:color w:val="auto"/>
        </w:rPr>
      </w:pPr>
      <w:r>
        <w:rPr>
          <w:rFonts w:ascii="Times New Roman" w:cs="Times New Roman" w:eastAsia="Times New Roman" w:hAnsi="Times New Roman"/>
          <w:sz w:val="18"/>
          <w:szCs w:val="18"/>
          <w:color w:val="auto"/>
        </w:rPr>
        <w:t>These pro forma results do not purport to be indicative of the results of operations that would have occurred had the purchase been made as of the beginning of the periods presented or of the results of operations that may occur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Business Segment Information</w:t>
      </w:r>
    </w:p>
    <w:p>
      <w:pPr>
        <w:spacing w:after="0" w:line="229" w:lineRule="exact"/>
        <w:rPr>
          <w:sz w:val="20"/>
          <w:szCs w:val="20"/>
          <w:color w:val="auto"/>
        </w:rPr>
      </w:pPr>
    </w:p>
    <w:p>
      <w:pPr>
        <w:ind w:left="520" w:right="560"/>
        <w:spacing w:after="0" w:line="266" w:lineRule="auto"/>
        <w:rPr>
          <w:sz w:val="20"/>
          <w:szCs w:val="20"/>
          <w:color w:val="auto"/>
        </w:rPr>
      </w:pPr>
      <w:r>
        <w:rPr>
          <w:rFonts w:ascii="Times New Roman" w:cs="Times New Roman" w:eastAsia="Times New Roman" w:hAnsi="Times New Roman"/>
          <w:sz w:val="18"/>
          <w:szCs w:val="18"/>
          <w:color w:val="auto"/>
        </w:rPr>
        <w:t>The Company’s operations are organized and reviewed by management along with its solutions or end markets that the segment serves and presented in two reportable segments. The results of the segments are reviewed through the “Income from operations” line on the Condensed Consolidated Statements of Income</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reportable segments are organized as groups of similar products and services, as described as follows:</w:t>
      </w:r>
    </w:p>
    <w:p>
      <w:pPr>
        <w:spacing w:after="0" w:line="225"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u w:val="single" w:color="auto"/>
          <w:color w:val="auto"/>
        </w:rPr>
        <w:t>Engineered Systems segment:</w:t>
      </w:r>
      <w:r>
        <w:rPr>
          <w:rFonts w:ascii="Times New Roman" w:cs="Times New Roman" w:eastAsia="Times New Roman" w:hAnsi="Times New Roman"/>
          <w:sz w:val="18"/>
          <w:szCs w:val="18"/>
          <w:color w:val="auto"/>
        </w:rPr>
        <w:t xml:space="preserve"> The Engineered Systems segment serves the power generation, hydrocarbon processing, water/wastewater treatment, oily water separation and treatment, marine and naval vessels, and midstream oil and gas sectors. The Company seeks to address the global demand for environmental and equipment protection solutions with its highly engineered platforms including emissions management, fluid bed cyclones, thermal acoustics, separation and filtration, and dampers and expansion joints.</w:t>
      </w:r>
    </w:p>
    <w:p>
      <w:pPr>
        <w:spacing w:after="0" w:line="180" w:lineRule="exact"/>
        <w:rPr>
          <w:sz w:val="20"/>
          <w:szCs w:val="20"/>
          <w:color w:val="auto"/>
        </w:rPr>
      </w:pPr>
    </w:p>
    <w:p>
      <w:pPr>
        <w:ind w:left="520"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t>Industrial Process Solutions segment:</w:t>
      </w:r>
      <w:r>
        <w:rPr>
          <w:rFonts w:ascii="Times New Roman" w:cs="Times New Roman" w:eastAsia="Times New Roman" w:hAnsi="Times New Roman"/>
          <w:sz w:val="18"/>
          <w:szCs w:val="18"/>
          <w:color w:val="auto"/>
        </w:rPr>
        <w:t xml:space="preserve"> The Industrial Process Solutions segment serves the broad industrial sector with solutions for air pollution 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The Company assists customers in maintaining clean and safe operations for employees, reducing energy consumption, minimizing waste for customers, and meeting regulatory standards for toxic emissions, fumes, volatile organic compounds, and odor elimination through its platforms including duct fabrication and installation, industrial air, and fluid handling.</w:t>
      </w:r>
    </w:p>
    <w:p>
      <w:pPr>
        <w:sectPr>
          <w:pgSz w:w="11900" w:h="16838" w:orient="portrait"/>
          <w:cols w:equalWidth="0" w:num="1">
            <w:col w:w="11240"/>
          </w:cols>
          <w:pgMar w:left="320" w:top="1201" w:right="339" w:bottom="1440" w:gutter="0" w:footer="0" w:header="0"/>
        </w:sectPr>
      </w:pPr>
    </w:p>
    <w:p>
      <w:pPr>
        <w:spacing w:after="0" w:line="187" w:lineRule="exact"/>
        <w:rPr>
          <w:sz w:val="20"/>
          <w:szCs w:val="20"/>
          <w:color w:val="auto"/>
        </w:rPr>
      </w:pPr>
    </w:p>
    <w:p>
      <w:pPr>
        <w:jc w:val="right"/>
        <w:ind w:right="2480"/>
        <w:spacing w:after="0"/>
        <w:rPr>
          <w:sz w:val="20"/>
          <w:szCs w:val="20"/>
          <w:color w:val="auto"/>
        </w:rPr>
      </w:pPr>
      <w:r>
        <w:rPr>
          <w:rFonts w:ascii="Times New Roman" w:cs="Times New Roman" w:eastAsia="Times New Roman" w:hAnsi="Times New Roman"/>
          <w:sz w:val="18"/>
          <w:szCs w:val="18"/>
          <w:color w:val="auto"/>
        </w:rPr>
        <w:t>The financial segment information is as follows:</w:t>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sales (less intra-, inter-segment sales)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p>
      <w:pPr>
        <w:spacing w:after="0" w:line="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 net sales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66"/>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89,349</w:t>
            </w:r>
          </w:p>
        </w:tc>
        <w:tc>
          <w:tcPr>
            <w:tcW w:w="7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74,454</w:t>
            </w:r>
          </w:p>
        </w:tc>
      </w:tr>
      <w:tr>
        <w:trPr>
          <w:trHeight w:val="250"/>
        </w:trPr>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36,983</w:t>
            </w:r>
          </w:p>
        </w:tc>
        <w:tc>
          <w:tcPr>
            <w:tcW w:w="2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38,109</w:t>
            </w:r>
          </w:p>
        </w:tc>
      </w:tr>
      <w:tr>
        <w:trPr>
          <w:trHeight w:val="239"/>
        </w:trPr>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126,332</w:t>
            </w:r>
          </w:p>
        </w:tc>
        <w:tc>
          <w:tcPr>
            <w:tcW w:w="28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112,563</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r>
      <w:tr>
        <w:trPr>
          <w:trHeight w:val="592"/>
        </w:trPr>
        <w:tc>
          <w:tcPr>
            <w:tcW w:w="4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420" w:type="dxa"/>
            <w:vAlign w:val="bottom"/>
          </w:tcPr>
          <w:p>
            <w:pPr>
              <w:spacing w:after="0"/>
              <w:rPr>
                <w:sz w:val="14"/>
                <w:szCs w:val="14"/>
                <w:color w:val="auto"/>
              </w:rPr>
            </w:pPr>
          </w:p>
        </w:tc>
        <w:tc>
          <w:tcPr>
            <w:tcW w:w="1340" w:type="dxa"/>
            <w:vAlign w:val="bottom"/>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-1156970</wp:posOffset>
            </wp:positionV>
            <wp:extent cx="713232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-848360</wp:posOffset>
            </wp:positionV>
            <wp:extent cx="7132320" cy="1631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480" w:space="720"/>
            <w:col w:w="4040"/>
          </w:cols>
          <w:pgMar w:left="320" w:top="1201"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72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64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r>
      <w:tr>
        <w:trPr>
          <w:trHeight w:val="23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280" w:type="dxa"/>
            <w:vAlign w:val="bottom"/>
          </w:tcPr>
          <w:p>
            <w:pPr>
              <w:spacing w:after="0"/>
              <w:rPr>
                <w:sz w:val="20"/>
                <w:szCs w:val="20"/>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280" w:type="dxa"/>
            <w:vAlign w:val="bottom"/>
          </w:tcPr>
          <w:p>
            <w:pPr>
              <w:spacing w:after="0"/>
              <w:rPr>
                <w:sz w:val="20"/>
                <w:szCs w:val="20"/>
                <w:color w:val="auto"/>
              </w:rPr>
            </w:pPr>
          </w:p>
        </w:tc>
      </w:tr>
      <w:tr>
        <w:trPr>
          <w:trHeight w:val="247"/>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6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280" w:type="dxa"/>
            <w:vAlign w:val="bottom"/>
            <w:shd w:val="clear" w:color="auto" w:fill="CFF0FC"/>
          </w:tcPr>
          <w:p>
            <w:pPr>
              <w:spacing w:after="0"/>
              <w:rPr>
                <w:sz w:val="21"/>
                <w:szCs w:val="21"/>
                <w:color w:val="auto"/>
              </w:rPr>
            </w:pPr>
          </w:p>
        </w:tc>
      </w:tr>
      <w:tr>
        <w:trPr>
          <w:trHeight w:val="243"/>
        </w:trPr>
        <w:tc>
          <w:tcPr>
            <w:tcW w:w="72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4"/>
                <w:szCs w:val="24"/>
                <w:color w:val="auto"/>
                <w:vertAlign w:val="superscript"/>
              </w:rPr>
              <w:t>(1)</w:t>
            </w:r>
          </w:p>
        </w:tc>
        <w:tc>
          <w:tcPr>
            <w:tcW w:w="64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(15,691 )</w:t>
            </w:r>
          </w:p>
        </w:tc>
        <w:tc>
          <w:tcPr>
            <w:tcW w:w="6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(9,890 )</w:t>
            </w:r>
          </w:p>
        </w:tc>
      </w:tr>
      <w:tr>
        <w:trPr>
          <w:trHeight w:val="276"/>
        </w:trPr>
        <w:tc>
          <w:tcPr>
            <w:tcW w:w="7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income from operations</w:t>
            </w:r>
          </w:p>
        </w:tc>
        <w:tc>
          <w:tcPr>
            <w:tcW w:w="640" w:type="dxa"/>
            <w:vAlign w:val="bottom"/>
            <w:tcBorders>
              <w:top w:val="single" w:sz="8" w:color="auto"/>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2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2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-24765</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768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 w:lineRule="exact"/>
        <w:rPr>
          <w:sz w:val="20"/>
          <w:szCs w:val="20"/>
          <w:color w:val="auto"/>
        </w:rPr>
      </w:pPr>
    </w:p>
    <w:p>
      <w:pPr>
        <w:ind w:left="760" w:hanging="752"/>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corporate compensation, professional services, information technology, and other general and administrative corporate expenses.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7" w:name="page18"/>
    <w:bookmarkEnd w:id="17"/>
    <w:tbl>
      <w:tblPr>
        <w:tblLayout w:type="fixed"/>
        <w:tblInd w:w="20" w:type="dxa"/>
        <w:tblCellMar>
          <w:top w:w="0" w:type="dxa"/>
          <w:left w:w="0" w:type="dxa"/>
          <w:bottom w:w="0" w:type="dxa"/>
          <w:right w:w="0" w:type="dxa"/>
        </w:tblCellMar>
      </w:tblPr>
      <w:tr>
        <w:trPr>
          <w:trHeight w:val="187"/>
        </w:trPr>
        <w:tc>
          <w:tcPr>
            <w:tcW w:w="7180" w:type="dxa"/>
            <w:vAlign w:val="bottom"/>
          </w:tcPr>
          <w:p>
            <w:pPr>
              <w:spacing w:after="0"/>
              <w:rPr>
                <w:sz w:val="16"/>
                <w:szCs w:val="16"/>
                <w:color w:val="auto"/>
              </w:rPr>
            </w:pPr>
          </w:p>
        </w:tc>
        <w:tc>
          <w:tcPr>
            <w:tcW w:w="3760" w:type="dxa"/>
            <w:vAlign w:val="bottom"/>
            <w:tcBorders>
              <w:bottom w:val="single" w:sz="8" w:color="auto"/>
            </w:tcBorders>
            <w:gridSpan w:val="3"/>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6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992" w:right="339" w:bottom="879"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additions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Corporate and Other</w:t>
      </w:r>
    </w:p>
    <w:p>
      <w:pPr>
        <w:spacing w:after="0" w:line="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Total property and equipment additions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7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43"/>
        </w:trPr>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50"/>
        </w:trPr>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39"/>
        </w:trPr>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28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r>
      <w:tr>
        <w:trPr>
          <w:trHeight w:val="592"/>
        </w:trPr>
        <w:tc>
          <w:tcPr>
            <w:tcW w:w="4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420" w:type="dxa"/>
            <w:vAlign w:val="bottom"/>
          </w:tcPr>
          <w:p>
            <w:pPr>
              <w:spacing w:after="0"/>
              <w:rPr>
                <w:sz w:val="14"/>
                <w:szCs w:val="14"/>
                <w:color w:val="auto"/>
              </w:rPr>
            </w:pPr>
          </w:p>
        </w:tc>
        <w:tc>
          <w:tcPr>
            <w:tcW w:w="134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-1002030</wp:posOffset>
            </wp:positionV>
            <wp:extent cx="713232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-685165</wp:posOffset>
            </wp:positionV>
            <wp:extent cx="7132320" cy="1803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480" w:space="720"/>
            <w:col w:w="4040"/>
          </w:cols>
          <w:pgMar w:left="320" w:top="992" w:right="339" w:bottom="879"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7200" w:type="dxa"/>
            <w:vAlign w:val="bottom"/>
            <w:tcBorders>
              <w:top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2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9"/>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7"/>
        </w:trPr>
        <w:tc>
          <w:tcPr>
            <w:tcW w:w="180" w:type="dxa"/>
            <w:vAlign w:val="bottom"/>
            <w:tcBorders>
              <w:bottom w:val="single" w:sz="8" w:color="CFF0FC"/>
            </w:tcBorders>
            <w:shd w:val="clear" w:color="auto" w:fill="CFF0FC"/>
          </w:tcPr>
          <w:p>
            <w:pPr>
              <w:spacing w:after="0"/>
              <w:rPr>
                <w:sz w:val="24"/>
                <w:szCs w:val="24"/>
                <w:color w:val="auto"/>
              </w:rPr>
            </w:pPr>
          </w:p>
        </w:tc>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r>
      <w:tr>
        <w:trPr>
          <w:trHeight w:val="588"/>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7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1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430,890</w:t>
            </w:r>
          </w:p>
        </w:tc>
        <w:tc>
          <w:tcPr>
            <w:tcW w:w="14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432,098</w:t>
            </w:r>
          </w:p>
        </w:tc>
        <w:tc>
          <w:tcPr>
            <w:tcW w:w="100" w:type="dxa"/>
            <w:vAlign w:val="bottom"/>
          </w:tcPr>
          <w:p>
            <w:pPr>
              <w:spacing w:after="0"/>
              <w:rPr>
                <w:sz w:val="20"/>
                <w:szCs w:val="20"/>
                <w:color w:val="auto"/>
              </w:rPr>
            </w:pPr>
          </w:p>
        </w:tc>
      </w:tr>
      <w:tr>
        <w:trPr>
          <w:trHeight w:val="247"/>
        </w:trPr>
        <w:tc>
          <w:tcPr>
            <w:tcW w:w="7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143,819</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147,740</w:t>
            </w:r>
          </w:p>
        </w:tc>
        <w:tc>
          <w:tcPr>
            <w:tcW w:w="100" w:type="dxa"/>
            <w:vAlign w:val="bottom"/>
            <w:shd w:val="clear" w:color="auto" w:fill="CFF0FC"/>
          </w:tcPr>
          <w:p>
            <w:pPr>
              <w:spacing w:after="0"/>
              <w:rPr>
                <w:sz w:val="21"/>
                <w:szCs w:val="21"/>
                <w:color w:val="auto"/>
              </w:rPr>
            </w:pPr>
          </w:p>
        </w:tc>
      </w:tr>
      <w:tr>
        <w:trPr>
          <w:trHeight w:val="243"/>
        </w:trPr>
        <w:tc>
          <w:tcPr>
            <w:tcW w:w="72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14,311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20,453</w:t>
            </w:r>
          </w:p>
        </w:tc>
        <w:tc>
          <w:tcPr>
            <w:tcW w:w="100" w:type="dxa"/>
            <w:vAlign w:val="bottom"/>
          </w:tcPr>
          <w:p>
            <w:pPr>
              <w:spacing w:after="0"/>
              <w:rPr>
                <w:sz w:val="21"/>
                <w:szCs w:val="21"/>
                <w:color w:val="auto"/>
              </w:rPr>
            </w:pPr>
          </w:p>
        </w:tc>
      </w:tr>
      <w:tr>
        <w:trPr>
          <w:trHeight w:val="272"/>
        </w:trPr>
        <w:tc>
          <w:tcPr>
            <w:tcW w:w="180" w:type="dxa"/>
            <w:vAlign w:val="bottom"/>
            <w:shd w:val="clear" w:color="auto" w:fill="CFF0FC"/>
          </w:tcPr>
          <w:p>
            <w:pPr>
              <w:spacing w:after="0"/>
              <w:rPr>
                <w:sz w:val="23"/>
                <w:szCs w:val="23"/>
                <w:color w:val="auto"/>
              </w:rPr>
            </w:pPr>
          </w:p>
        </w:tc>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identifiable assets</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589,020</w:t>
            </w:r>
          </w:p>
        </w:tc>
        <w:tc>
          <w:tcPr>
            <w:tcW w:w="140" w:type="dxa"/>
            <w:vAlign w:val="bottom"/>
            <w:shd w:val="clear" w:color="auto" w:fill="CFF0FC"/>
          </w:tcPr>
          <w:p>
            <w:pPr>
              <w:spacing w:after="0"/>
              <w:rPr>
                <w:sz w:val="23"/>
                <w:szCs w:val="23"/>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600,291</w:t>
            </w:r>
          </w:p>
        </w:tc>
        <w:tc>
          <w:tcPr>
            <w:tcW w:w="100" w:type="dxa"/>
            <w:vAlign w:val="bottom"/>
            <w:shd w:val="clear" w:color="auto" w:fill="CFF0FC"/>
          </w:tcPr>
          <w:p>
            <w:pPr>
              <w:spacing w:after="0"/>
              <w:rPr>
                <w:sz w:val="23"/>
                <w:szCs w:val="23"/>
                <w:color w:val="auto"/>
              </w:rPr>
            </w:pPr>
          </w:p>
        </w:tc>
      </w:tr>
      <w:tr>
        <w:trPr>
          <w:trHeight w:val="204"/>
        </w:trPr>
        <w:tc>
          <w:tcPr>
            <w:tcW w:w="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w w:val="97"/>
              </w:rPr>
              <w:t>(2)</w:t>
            </w:r>
          </w:p>
        </w:tc>
        <w:tc>
          <w:tcPr>
            <w:tcW w:w="7020" w:type="dxa"/>
            <w:vAlign w:val="bottom"/>
            <w:tcBorders>
              <w:top w:val="single" w:sz="8" w:color="CFF0FC"/>
            </w:tcBorders>
          </w:tcPr>
          <w:p>
            <w:pPr>
              <w:ind w:left="580"/>
              <w:spacing w:after="0"/>
              <w:rPr>
                <w:sz w:val="20"/>
                <w:szCs w:val="20"/>
                <w:color w:val="auto"/>
              </w:rPr>
            </w:pPr>
            <w:r>
              <w:rPr>
                <w:rFonts w:ascii="Times New Roman" w:cs="Times New Roman" w:eastAsia="Times New Roman" w:hAnsi="Times New Roman"/>
                <w:sz w:val="14"/>
                <w:szCs w:val="14"/>
                <w:color w:val="auto"/>
              </w:rPr>
              <w:t>Corporate and Other assets consist primarily of cash and income tax related assets.</w:t>
            </w:r>
          </w:p>
        </w:tc>
        <w:tc>
          <w:tcPr>
            <w:tcW w:w="1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483"/>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7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142,304</w:t>
            </w:r>
          </w:p>
        </w:tc>
        <w:tc>
          <w:tcPr>
            <w:tcW w:w="14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142,229</w:t>
            </w:r>
          </w:p>
        </w:tc>
        <w:tc>
          <w:tcPr>
            <w:tcW w:w="100" w:type="dxa"/>
            <w:vAlign w:val="bottom"/>
          </w:tcPr>
          <w:p>
            <w:pPr>
              <w:spacing w:after="0"/>
              <w:rPr>
                <w:sz w:val="20"/>
                <w:szCs w:val="20"/>
                <w:color w:val="auto"/>
              </w:rPr>
            </w:pPr>
          </w:p>
        </w:tc>
      </w:tr>
      <w:tr>
        <w:trPr>
          <w:trHeight w:val="243"/>
        </w:trPr>
        <w:tc>
          <w:tcPr>
            <w:tcW w:w="72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69,175</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69,097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180" w:type="dxa"/>
            <w:vAlign w:val="bottom"/>
          </w:tcPr>
          <w:p>
            <w:pPr>
              <w:spacing w:after="0"/>
              <w:rPr>
                <w:sz w:val="20"/>
                <w:szCs w:val="20"/>
                <w:color w:val="auto"/>
              </w:rPr>
            </w:pPr>
          </w:p>
        </w:tc>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goodwill</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211,479</w:t>
            </w:r>
          </w:p>
        </w:tc>
        <w:tc>
          <w:tcPr>
            <w:tcW w:w="14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211,326</w:t>
            </w:r>
          </w:p>
        </w:tc>
        <w:tc>
          <w:tcPr>
            <w:tcW w:w="10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-2331085</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-2313940</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-2331085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-2313940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-1130935</wp:posOffset>
            </wp:positionV>
            <wp:extent cx="768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-1113790</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-187960</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Intra-segment and Inter-segment Revenues</w:t>
      </w:r>
    </w:p>
    <w:p>
      <w:pPr>
        <w:spacing w:after="0" w:line="119" w:lineRule="exact"/>
        <w:rPr>
          <w:sz w:val="20"/>
          <w:szCs w:val="20"/>
          <w:color w:val="auto"/>
        </w:rPr>
      </w:pPr>
    </w:p>
    <w:p>
      <w:pPr>
        <w:ind w:left="520" w:right="280"/>
        <w:spacing w:after="0" w:line="282" w:lineRule="auto"/>
        <w:rPr>
          <w:sz w:val="20"/>
          <w:szCs w:val="20"/>
          <w:color w:val="auto"/>
        </w:rPr>
      </w:pPr>
      <w:r>
        <w:rPr>
          <w:rFonts w:ascii="Times New Roman" w:cs="Times New Roman" w:eastAsia="Times New Roman" w:hAnsi="Times New Roman"/>
          <w:sz w:val="18"/>
          <w:szCs w:val="18"/>
          <w:color w:val="auto"/>
        </w:rPr>
        <w:t>The Company has multiple divisions that sell to each other within segments (intra-segment sales) and between segments (inter-segment sales),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8"/>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Less Inter-Segment Sales</w:t>
            </w: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Sales to</w:t>
            </w:r>
          </w:p>
        </w:tc>
        <w:tc>
          <w:tcPr>
            <w:tcW w:w="0" w:type="dxa"/>
            <w:vAlign w:val="bottom"/>
          </w:tcPr>
          <w:p>
            <w:pPr>
              <w:spacing w:after="0"/>
              <w:rPr>
                <w:sz w:val="1"/>
                <w:szCs w:val="1"/>
                <w:color w:val="auto"/>
              </w:rPr>
            </w:pPr>
          </w:p>
        </w:tc>
      </w:tr>
      <w:tr>
        <w:trPr>
          <w:trHeight w:val="158"/>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1140" w:type="dxa"/>
            <w:vAlign w:val="bottom"/>
            <w:gridSpan w:val="2"/>
          </w:tcPr>
          <w:p>
            <w:pPr>
              <w:jc w:val="center"/>
              <w:ind w:right="460"/>
              <w:spacing w:after="0" w:line="158" w:lineRule="exact"/>
              <w:rPr>
                <w:sz w:val="20"/>
                <w:szCs w:val="20"/>
                <w:color w:val="auto"/>
              </w:rPr>
            </w:pPr>
            <w:r>
              <w:rPr>
                <w:rFonts w:ascii="Times New Roman" w:cs="Times New Roman" w:eastAsia="Times New Roman" w:hAnsi="Times New Roman"/>
                <w:sz w:val="14"/>
                <w:szCs w:val="14"/>
                <w:b w:val="1"/>
                <w:bCs w:val="1"/>
                <w:color w:val="auto"/>
              </w:rPr>
              <w:t>Intra-</w:t>
            </w:r>
          </w:p>
        </w:tc>
        <w:tc>
          <w:tcPr>
            <w:tcW w:w="140" w:type="dxa"/>
            <w:vAlign w:val="bottom"/>
          </w:tcPr>
          <w:p>
            <w:pPr>
              <w:spacing w:after="0"/>
              <w:rPr>
                <w:sz w:val="13"/>
                <w:szCs w:val="13"/>
                <w:color w:val="auto"/>
              </w:rPr>
            </w:pPr>
          </w:p>
        </w:tc>
        <w:tc>
          <w:tcPr>
            <w:tcW w:w="112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Engineered</w:t>
            </w:r>
          </w:p>
        </w:tc>
        <w:tc>
          <w:tcPr>
            <w:tcW w:w="1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Process</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Outside</w:t>
            </w:r>
          </w:p>
        </w:tc>
        <w:tc>
          <w:tcPr>
            <w:tcW w:w="0" w:type="dxa"/>
            <w:vAlign w:val="bottom"/>
          </w:tcPr>
          <w:p>
            <w:pPr>
              <w:spacing w:after="0"/>
              <w:rPr>
                <w:sz w:val="1"/>
                <w:szCs w:val="1"/>
                <w:color w:val="auto"/>
              </w:rPr>
            </w:pPr>
          </w:p>
        </w:tc>
      </w:tr>
      <w:tr>
        <w:trPr>
          <w:trHeight w:val="187"/>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80" w:type="dxa"/>
            <w:vAlign w:val="bottom"/>
          </w:tcPr>
          <w:p>
            <w:pPr>
              <w:spacing w:after="0"/>
              <w:rPr>
                <w:sz w:val="16"/>
                <w:szCs w:val="16"/>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0" w:type="dxa"/>
            <w:vAlign w:val="bottom"/>
          </w:tcPr>
          <w:p>
            <w:pPr>
              <w:spacing w:after="0"/>
              <w:rPr>
                <w:sz w:val="1"/>
                <w:szCs w:val="1"/>
                <w:color w:val="auto"/>
              </w:rPr>
            </w:pPr>
          </w:p>
        </w:tc>
      </w:tr>
      <w:tr>
        <w:trPr>
          <w:trHeight w:val="237"/>
        </w:trPr>
        <w:tc>
          <w:tcPr>
            <w:tcW w:w="49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92,518</w:t>
            </w:r>
          </w:p>
        </w:tc>
        <w:tc>
          <w:tcPr>
            <w:tcW w:w="240" w:type="dxa"/>
            <w:vAlign w:val="bottom"/>
          </w:tcPr>
          <w:p>
            <w:pPr>
              <w:spacing w:after="0"/>
              <w:rPr>
                <w:sz w:val="20"/>
                <w:szCs w:val="20"/>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(3,082 )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24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39,579</w:t>
            </w:r>
          </w:p>
        </w:tc>
        <w:tc>
          <w:tcPr>
            <w:tcW w:w="24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(2,535 )</w:t>
            </w: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(61 )</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132,097</w:t>
            </w:r>
          </w:p>
        </w:tc>
        <w:tc>
          <w:tcPr>
            <w:tcW w:w="240" w:type="dxa"/>
            <w:vAlign w:val="bottom"/>
          </w:tcPr>
          <w:p>
            <w:pPr>
              <w:spacing w:after="0"/>
              <w:rPr>
                <w:sz w:val="20"/>
                <w:szCs w:val="20"/>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(5,617 )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4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8"/>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Less Inter-Segment Sales</w:t>
            </w: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Sales to</w:t>
            </w:r>
          </w:p>
        </w:tc>
        <w:tc>
          <w:tcPr>
            <w:tcW w:w="0" w:type="dxa"/>
            <w:vAlign w:val="bottom"/>
          </w:tcPr>
          <w:p>
            <w:pPr>
              <w:spacing w:after="0"/>
              <w:rPr>
                <w:sz w:val="1"/>
                <w:szCs w:val="1"/>
                <w:color w:val="auto"/>
              </w:rPr>
            </w:pPr>
          </w:p>
        </w:tc>
      </w:tr>
      <w:tr>
        <w:trPr>
          <w:trHeight w:val="158"/>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1140" w:type="dxa"/>
            <w:vAlign w:val="bottom"/>
            <w:gridSpan w:val="2"/>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Intra-</w:t>
            </w:r>
          </w:p>
        </w:tc>
        <w:tc>
          <w:tcPr>
            <w:tcW w:w="140" w:type="dxa"/>
            <w:vAlign w:val="bottom"/>
          </w:tcPr>
          <w:p>
            <w:pPr>
              <w:spacing w:after="0"/>
              <w:rPr>
                <w:sz w:val="13"/>
                <w:szCs w:val="13"/>
                <w:color w:val="auto"/>
              </w:rPr>
            </w:pPr>
          </w:p>
        </w:tc>
        <w:tc>
          <w:tcPr>
            <w:tcW w:w="112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Engineered</w:t>
            </w:r>
          </w:p>
        </w:tc>
        <w:tc>
          <w:tcPr>
            <w:tcW w:w="1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Process</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Outside</w:t>
            </w:r>
          </w:p>
        </w:tc>
        <w:tc>
          <w:tcPr>
            <w:tcW w:w="0" w:type="dxa"/>
            <w:vAlign w:val="bottom"/>
          </w:tcPr>
          <w:p>
            <w:pPr>
              <w:spacing w:after="0"/>
              <w:rPr>
                <w:sz w:val="1"/>
                <w:szCs w:val="1"/>
                <w:color w:val="auto"/>
              </w:rPr>
            </w:pPr>
          </w:p>
        </w:tc>
      </w:tr>
      <w:tr>
        <w:trPr>
          <w:trHeight w:val="187"/>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80" w:type="dxa"/>
            <w:vAlign w:val="bottom"/>
          </w:tcPr>
          <w:p>
            <w:pPr>
              <w:spacing w:after="0"/>
              <w:rPr>
                <w:sz w:val="16"/>
                <w:szCs w:val="16"/>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6"/>
                <w:szCs w:val="16"/>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0" w:type="dxa"/>
            <w:vAlign w:val="bottom"/>
          </w:tcPr>
          <w:p>
            <w:pPr>
              <w:spacing w:after="0"/>
              <w:rPr>
                <w:sz w:val="1"/>
                <w:szCs w:val="1"/>
                <w:color w:val="auto"/>
              </w:rPr>
            </w:pPr>
          </w:p>
        </w:tc>
      </w:tr>
      <w:tr>
        <w:trPr>
          <w:trHeight w:val="236"/>
        </w:trPr>
        <w:tc>
          <w:tcPr>
            <w:tcW w:w="49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76,089</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24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39,042</w:t>
            </w:r>
          </w:p>
        </w:tc>
        <w:tc>
          <w:tcPr>
            <w:tcW w:w="24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(835 )</w:t>
            </w: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(98 )</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115,131</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(2,373 )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4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-2613660</wp:posOffset>
            </wp:positionV>
            <wp:extent cx="774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-2613660</wp:posOffset>
            </wp:positionV>
            <wp:extent cx="77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-2613660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-2613660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-1122045</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-1122045</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-1122045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-1122045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2" w:right="339" w:bottom="879" w:gutter="0" w:footer="0" w:header="0"/>
          <w:type w:val="continuous"/>
        </w:sectPr>
      </w:pPr>
    </w:p>
    <w:bookmarkStart w:id="18" w:name="page19"/>
    <w:bookmarkEnd w:id="18"/>
    <w:p>
      <w:pPr>
        <w:jc w:val="center"/>
        <w:ind w:left="340" w:right="2480"/>
        <w:spacing w:after="0" w:line="266" w:lineRule="auto"/>
        <w:rPr>
          <w:sz w:val="20"/>
          <w:szCs w:val="20"/>
          <w:color w:val="auto"/>
        </w:rPr>
      </w:pPr>
      <w:r>
        <w:rPr>
          <w:rFonts w:ascii="Times New Roman" w:cs="Times New Roman" w:eastAsia="Times New Roman" w:hAnsi="Times New Roman"/>
          <w:sz w:val="18"/>
          <w:szCs w:val="18"/>
          <w:u w:val="single" w:color="auto"/>
          <w:color w:val="auto"/>
        </w:rPr>
        <w:t>CECO ENVIRONMENTAL CORP. AND SUBSIDIARIES MANAGEMENT’S DISCUSSION AND ANALYSIS OF FINANCIAL CONDITION AND RESULTS OF OPERATIONS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Statements of Income for the three months ended March 31, 2024 and 2023 reflect the consolidated operations of the Company and its subsidiaries.</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CECO Environmental Corp. (“CECO,” “we,” “us,” or the “Company”) is a leading environmentally focused, diversified industrial company, serving the broad landscape of industrial air, industrial water and energy transition markets globally providing innovative technology and application expertise. CECO helps companies grow their business with safe, clean, and more efficient solutions that help protect people, the environment and industrial equipment. CECO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Pressures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senior management team monitors and manages the Company’s ability to operate effectively as the result of market pressures. In particular, we are currently experiencing shortages of raw materials and inflationary pressures for certain materials and labor. We have secured raw materials from existing and alternate suppliers and have taken other mitigating actions to mitigate supply disruptions; however, we cannot guarantee that we will be able to continue to do so in the future. If we are unable to continue to mitigate the effects of these supply disruptions, our business, results and financial condition could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Use of Non-GAAP Financial Measures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are prepared in accordance with accounting principles generally accepted in the United States of America (“GAAP”). These GAAP financial statements include certain charges the Company believes are not indicative of its core ongoing operational performance.</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a result, the Company provides financial information in this Management’s Discussion and Analysis that was not prepared in accordance with GAAP and should not be considered as an alternative to the information prepared in accordance with GAAP. The Company provides this non-GAAP financial information because the Company’s management utilizes it to evaluate its ongoing financial performance and the Company believes it provides greater transparency to investors as supplemental information to its GAAP results.</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has provided the non-GAAP financial measures of non-GAAP operating income and non-GAAP operating margin as a result of items that the Company believes are not indicative of its ongoing operations. These include transactions associated with the Company’s acquisitions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income associated with acquisitions. While the Company cannot predict the exact timing or amounts of such charges, it does expect to treat the financial impact of these transactions as special items in its future presentation of non-GAAP results.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Condensed Consolidated Statements of Income for the three months ended March 31, 2024 and 2023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20" w:type="dxa"/>
            <w:vAlign w:val="bottom"/>
            <w:gridSpan w:val="5"/>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6"/>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 except ratios)</w:t>
            </w:r>
          </w:p>
        </w:tc>
        <w:tc>
          <w:tcPr>
            <w:tcW w:w="4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8"/>
                <w:szCs w:val="18"/>
                <w:color w:val="auto"/>
              </w:rPr>
            </w:pPr>
          </w:p>
        </w:tc>
      </w:tr>
      <w:tr>
        <w:trPr>
          <w:trHeight w:val="223"/>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280" w:type="dxa"/>
            <w:vAlign w:val="bottom"/>
            <w:shd w:val="clear" w:color="auto" w:fill="CFF0FC"/>
          </w:tcPr>
          <w:p>
            <w:pPr>
              <w:spacing w:after="0"/>
              <w:rPr>
                <w:sz w:val="19"/>
                <w:szCs w:val="19"/>
                <w:color w:val="auto"/>
              </w:rPr>
            </w:pP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2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280" w:type="dxa"/>
            <w:vAlign w:val="bottom"/>
          </w:tcPr>
          <w:p>
            <w:pPr>
              <w:spacing w:after="0"/>
              <w:rPr>
                <w:sz w:val="19"/>
                <w:szCs w:val="19"/>
                <w:color w:val="auto"/>
              </w:rPr>
            </w:pPr>
          </w:p>
        </w:tc>
      </w:tr>
      <w:tr>
        <w:trPr>
          <w:trHeight w:val="229"/>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280" w:type="dxa"/>
            <w:vAlign w:val="bottom"/>
            <w:shd w:val="clear" w:color="auto" w:fill="CFF0FC"/>
          </w:tcPr>
          <w:p>
            <w:pPr>
              <w:spacing w:after="0"/>
              <w:rPr>
                <w:sz w:val="19"/>
                <w:szCs w:val="19"/>
                <w:color w:val="auto"/>
              </w:rPr>
            </w:pPr>
          </w:p>
        </w:tc>
      </w:tr>
      <w:tr>
        <w:trPr>
          <w:trHeight w:val="221"/>
        </w:trPr>
        <w:tc>
          <w:tcPr>
            <w:tcW w:w="7200" w:type="dxa"/>
            <w:vAlign w:val="bottom"/>
          </w:tcPr>
          <w:p>
            <w:pPr>
              <w:ind w:left="200"/>
              <w:spacing w:after="0"/>
              <w:rPr>
                <w:sz w:val="20"/>
                <w:szCs w:val="20"/>
                <w:color w:val="auto"/>
              </w:rPr>
            </w:pPr>
            <w:r>
              <w:rPr>
                <w:rFonts w:ascii="Times New Roman" w:cs="Times New Roman" w:eastAsia="Times New Roman" w:hAnsi="Times New Roman"/>
                <w:sz w:val="16"/>
                <w:szCs w:val="16"/>
                <w:i w:val="1"/>
                <w:iCs w:val="1"/>
                <w:color w:val="auto"/>
              </w:rPr>
              <w:t>Percent of sales</w:t>
            </w:r>
          </w:p>
        </w:tc>
        <w:tc>
          <w:tcPr>
            <w:tcW w:w="42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35.7 %</w:t>
            </w:r>
          </w:p>
        </w:tc>
        <w:tc>
          <w:tcPr>
            <w:tcW w:w="4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31.0 %</w:t>
            </w:r>
          </w:p>
        </w:tc>
      </w:tr>
      <w:tr>
        <w:trPr>
          <w:trHeight w:val="238"/>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4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80" w:type="dxa"/>
            <w:vAlign w:val="bottom"/>
            <w:shd w:val="clear" w:color="auto" w:fill="CFF0FC"/>
          </w:tcPr>
          <w:p>
            <w:pPr>
              <w:spacing w:after="0"/>
              <w:rPr>
                <w:sz w:val="20"/>
                <w:szCs w:val="20"/>
                <w:color w:val="auto"/>
              </w:rPr>
            </w:pPr>
          </w:p>
        </w:tc>
      </w:tr>
      <w:tr>
        <w:trPr>
          <w:trHeight w:val="221"/>
        </w:trPr>
        <w:tc>
          <w:tcPr>
            <w:tcW w:w="7200" w:type="dxa"/>
            <w:vAlign w:val="bottom"/>
          </w:tcPr>
          <w:p>
            <w:pPr>
              <w:ind w:left="200"/>
              <w:spacing w:after="0"/>
              <w:rPr>
                <w:sz w:val="20"/>
                <w:szCs w:val="20"/>
                <w:color w:val="auto"/>
              </w:rPr>
            </w:pPr>
            <w:r>
              <w:rPr>
                <w:rFonts w:ascii="Times New Roman" w:cs="Times New Roman" w:eastAsia="Times New Roman" w:hAnsi="Times New Roman"/>
                <w:sz w:val="16"/>
                <w:szCs w:val="16"/>
                <w:i w:val="1"/>
                <w:iCs w:val="1"/>
                <w:color w:val="auto"/>
              </w:rPr>
              <w:t>Percent of sales</w:t>
            </w:r>
          </w:p>
        </w:tc>
        <w:tc>
          <w:tcPr>
            <w:tcW w:w="42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27.6 %</w:t>
            </w:r>
          </w:p>
        </w:tc>
        <w:tc>
          <w:tcPr>
            <w:tcW w:w="4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24.2 %</w:t>
            </w:r>
          </w:p>
        </w:tc>
      </w:tr>
      <w:tr>
        <w:trPr>
          <w:trHeight w:val="238"/>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and earnout expenses</w:t>
            </w:r>
          </w:p>
        </w:tc>
        <w:tc>
          <w:tcPr>
            <w:tcW w:w="4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80" w:type="dxa"/>
            <w:vAlign w:val="bottom"/>
            <w:shd w:val="clear" w:color="auto" w:fill="CFF0FC"/>
          </w:tcPr>
          <w:p>
            <w:pPr>
              <w:spacing w:after="0"/>
              <w:rPr>
                <w:sz w:val="20"/>
                <w:szCs w:val="20"/>
                <w:color w:val="auto"/>
              </w:rPr>
            </w:pPr>
          </w:p>
        </w:tc>
      </w:tr>
      <w:tr>
        <w:trPr>
          <w:trHeight w:val="220"/>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and integration expenses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80" w:type="dxa"/>
            <w:vAlign w:val="bottom"/>
          </w:tcPr>
          <w:p>
            <w:pPr>
              <w:spacing w:after="0"/>
              <w:rPr>
                <w:sz w:val="19"/>
                <w:szCs w:val="19"/>
                <w:color w:val="auto"/>
              </w:rPr>
            </w:pPr>
          </w:p>
        </w:tc>
      </w:tr>
      <w:tr>
        <w:trPr>
          <w:trHeight w:val="233"/>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expenses</w:t>
            </w:r>
          </w:p>
        </w:tc>
        <w:tc>
          <w:tcPr>
            <w:tcW w:w="4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2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8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80" w:type="dxa"/>
            <w:vAlign w:val="bottom"/>
            <w:tcBorders>
              <w:top w:val="single" w:sz="8" w:color="CFF0FC"/>
            </w:tcBorders>
          </w:tcPr>
          <w:p>
            <w:pPr>
              <w:spacing w:after="0"/>
              <w:rPr>
                <w:sz w:val="19"/>
                <w:szCs w:val="19"/>
                <w:color w:val="auto"/>
              </w:rPr>
            </w:pPr>
          </w:p>
        </w:tc>
      </w:tr>
      <w:tr>
        <w:trPr>
          <w:trHeight w:val="239"/>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i w:val="1"/>
                <w:iCs w:val="1"/>
                <w:color w:val="auto"/>
              </w:rPr>
              <w:t>Operating margin</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6.1 %</w:t>
            </w:r>
          </w:p>
        </w:tc>
        <w:tc>
          <w:tcPr>
            <w:tcW w:w="42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4.9 %</w:t>
            </w:r>
          </w:p>
        </w:tc>
      </w:tr>
      <w:tr>
        <w:trPr>
          <w:trHeight w:val="23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(1.5 )</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(0.6 )</w:t>
            </w:r>
          </w:p>
        </w:tc>
      </w:tr>
      <w:tr>
        <w:trPr>
          <w:trHeight w:val="243"/>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(3.4 )</w:t>
            </w:r>
          </w:p>
        </w:tc>
        <w:tc>
          <w:tcPr>
            <w:tcW w:w="4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(2.4 )</w:t>
            </w:r>
          </w:p>
        </w:tc>
      </w:tr>
      <w:tr>
        <w:trPr>
          <w:trHeight w:val="237"/>
        </w:trPr>
        <w:tc>
          <w:tcPr>
            <w:tcW w:w="72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Borders>
              <w:top w:val="single" w:sz="8" w:color="CFF0FC"/>
            </w:tcBorders>
          </w:tcPr>
          <w:p>
            <w:pPr>
              <w:spacing w:after="0"/>
              <w:rPr>
                <w:sz w:val="20"/>
                <w:szCs w:val="20"/>
                <w:color w:val="auto"/>
              </w:rPr>
            </w:pPr>
          </w:p>
        </w:tc>
      </w:tr>
      <w:tr>
        <w:trPr>
          <w:trHeight w:val="243"/>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72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Borders>
              <w:top w:val="single" w:sz="8" w:color="CFF0FC"/>
            </w:tcBorders>
          </w:tcPr>
          <w:p>
            <w:pPr>
              <w:spacing w:after="0"/>
              <w:rPr>
                <w:sz w:val="20"/>
                <w:szCs w:val="20"/>
                <w:color w:val="auto"/>
              </w:rPr>
            </w:pPr>
          </w:p>
        </w:tc>
      </w:tr>
      <w:tr>
        <w:trPr>
          <w:trHeight w:val="243"/>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4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(0.6 )</w:t>
            </w:r>
          </w:p>
        </w:tc>
        <w:tc>
          <w:tcPr>
            <w:tcW w:w="4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(0.5 )</w:t>
            </w:r>
          </w:p>
        </w:tc>
      </w:tr>
      <w:tr>
        <w:trPr>
          <w:trHeight w:val="237"/>
        </w:trPr>
        <w:tc>
          <w:tcPr>
            <w:tcW w:w="72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top w:val="single" w:sz="8" w:color="CFF0FC"/>
            </w:tcBorders>
          </w:tcPr>
          <w:p>
            <w:pPr>
              <w:spacing w:after="0"/>
              <w:rPr>
                <w:sz w:val="20"/>
                <w:szCs w:val="20"/>
                <w:color w:val="auto"/>
              </w:rPr>
            </w:pPr>
          </w:p>
        </w:tc>
      </w:tr>
      <w:tr>
        <w:trPr>
          <w:trHeight w:val="20"/>
        </w:trPr>
        <w:tc>
          <w:tcPr>
            <w:tcW w:w="7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-1431290</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-1431290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-822325</wp:posOffset>
            </wp:positionV>
            <wp:extent cx="768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-822325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-504825</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-504825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-187960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-187960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To compare operating performance between the three months ended March 31, 2024 and 2023, the Company has adjusted GAAP operating income to exclude (1) amortization of intangible assets, and earnout expenses, (2) acquisition and integration expenses, which include legal, accounting, and other expenses, and (3) restructuring expenses primarily relating to severance, facility exits, and associated legal expenses.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 of GAAP operating income and GAAP operating margin to non-GAAP operating income and non-GAAP operating margin: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20" w:type="dxa"/>
            <w:vAlign w:val="bottom"/>
            <w:gridSpan w:val="5"/>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ratios)</w:t>
            </w:r>
          </w:p>
        </w:tc>
        <w:tc>
          <w:tcPr>
            <w:tcW w:w="4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r>
      <w:tr>
        <w:trPr>
          <w:trHeight w:val="237"/>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as reported in accordance with GAAP</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shd w:val="clear" w:color="auto" w:fill="CFF0FC"/>
          </w:tcPr>
          <w:p>
            <w:pPr>
              <w:spacing w:after="0"/>
              <w:rPr>
                <w:sz w:val="20"/>
                <w:szCs w:val="20"/>
                <w:color w:val="auto"/>
              </w:rPr>
            </w:pPr>
          </w:p>
        </w:tc>
      </w:tr>
      <w:tr>
        <w:trPr>
          <w:trHeight w:val="240"/>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margin in accordance with GAAP</w:t>
            </w:r>
          </w:p>
        </w:tc>
        <w:tc>
          <w:tcPr>
            <w:tcW w:w="42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6.1 %</w:t>
            </w:r>
          </w:p>
        </w:tc>
        <w:tc>
          <w:tcPr>
            <w:tcW w:w="42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4.9 %</w:t>
            </w:r>
          </w:p>
        </w:tc>
      </w:tr>
      <w:tr>
        <w:trPr>
          <w:trHeight w:val="246"/>
        </w:trPr>
        <w:tc>
          <w:tcPr>
            <w:tcW w:w="7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FF0FC"/>
          </w:tcPr>
          <w:p>
            <w:pPr>
              <w:spacing w:after="0"/>
              <w:rPr>
                <w:sz w:val="21"/>
                <w:szCs w:val="21"/>
                <w:color w:val="auto"/>
              </w:rPr>
            </w:pPr>
          </w:p>
        </w:tc>
      </w:tr>
      <w:tr>
        <w:trPr>
          <w:trHeight w:val="239"/>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spacing w:after="0"/>
              <w:rPr>
                <w:sz w:val="20"/>
                <w:szCs w:val="20"/>
                <w:color w:val="auto"/>
              </w:rPr>
            </w:pPr>
          </w:p>
        </w:tc>
      </w:tr>
      <w:tr>
        <w:trPr>
          <w:trHeight w:val="243"/>
        </w:trPr>
        <w:tc>
          <w:tcPr>
            <w:tcW w:w="7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Restructuring expenses</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2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Borders>
              <w:top w:val="single" w:sz="8" w:color="CFF0FC"/>
            </w:tcBorders>
          </w:tcPr>
          <w:p>
            <w:pPr>
              <w:spacing w:after="0"/>
              <w:rPr>
                <w:sz w:val="20"/>
                <w:szCs w:val="20"/>
                <w:color w:val="auto"/>
              </w:rPr>
            </w:pPr>
          </w:p>
        </w:tc>
      </w:tr>
      <w:tr>
        <w:trPr>
          <w:trHeight w:val="247"/>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Non-GAAP operating margin</w:t>
            </w:r>
          </w:p>
        </w:tc>
        <w:tc>
          <w:tcPr>
            <w:tcW w:w="4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8.1 %</w:t>
            </w:r>
          </w:p>
        </w:tc>
        <w:tc>
          <w:tcPr>
            <w:tcW w:w="4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6.8 %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-316230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-316230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Orders booked decreased $0.8 million, or 1.0%, to $145.3 million during the three months ended March 31, 2024 compared with $146.1 million in the three months ended March 31, 2023. The decrease is primarily attributable to a decrease of $4.3 million in our Industrial Process Solutions segment, partially offset by an increase of $3.5 million in our Engineered Systems segment. Approximately 94%, or $136.5 million, of the orders for the three months ended March 31, 2024 is attributable to organic bookings, defined as orders recorded subsequent to the twelve month period post-acquisition date.</w:t>
      </w:r>
    </w:p>
    <w:p>
      <w:pPr>
        <w:spacing w:after="0" w:line="16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March 31, 2024 increased $13.7 million, or 12.2%, to $126.3 million compared with $112.6 million for the three months ended March 31, 2023. The increase is led by an increase of $12.5 million in our separation, filtration, and industrial water technologies. Approximately 92%, or $116.4 million, of the net sales for the three months ended March 31, 2024 is attributable to organic revenue, defined as revenue recorded subsequent to the twelve month period post-acquisition date.</w:t>
      </w:r>
    </w:p>
    <w:p>
      <w:pPr>
        <w:spacing w:after="0" w:line="180" w:lineRule="exact"/>
        <w:rPr>
          <w:sz w:val="20"/>
          <w:szCs w:val="20"/>
          <w:color w:val="auto"/>
        </w:rPr>
      </w:pPr>
    </w:p>
    <w:p>
      <w:pPr>
        <w:jc w:val="both"/>
        <w:ind w:right="480"/>
        <w:spacing w:after="0" w:line="261" w:lineRule="auto"/>
        <w:rPr>
          <w:sz w:val="20"/>
          <w:szCs w:val="20"/>
          <w:color w:val="auto"/>
        </w:rPr>
      </w:pPr>
      <w:r>
        <w:rPr>
          <w:rFonts w:ascii="Times New Roman" w:cs="Times New Roman" w:eastAsia="Times New Roman" w:hAnsi="Times New Roman"/>
          <w:sz w:val="18"/>
          <w:szCs w:val="18"/>
          <w:color w:val="auto"/>
        </w:rPr>
        <w:t>Gross profit increased $10.2 million, or 29.2%, to $45.1 million in the three months ended March 31, 2024 compared with $34.9 million in the three months ended March 31, 2023. The increase in gross profit is primarily attributable to the increase in sales volume as described above, higher project margin mix and acquisitions of businesses with favorable margins. Gross profit as a percentage of sales increased to 35.7% in the three months ended March 31, 2024 compared with 31.0% in the three months ended March 31,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ind w:right="18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were $34.9 million for the three months ended March 31, 2024 compared with $27.2 million for the three months ended March 31, 2023. The increase is primarily attributable to acquisitions during the prior year, and increased headcount in order to support our growth and expand our global footprint.</w:t>
      </w:r>
    </w:p>
    <w:p>
      <w:pPr>
        <w:spacing w:after="0" w:line="17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Amortization and earnout expense was $2.2 million for the three months ended March 31, 2024 compared with $1.7 million for the three months ended March 31, 2023. The increase in expense is attributable to a $0.5 million increase in definite lived asset amortization due to increased intangible assets attributable to prior year acquisitions.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Operating income increased $2.2 million to $7.7 million for the three months ended March 31, 2024 compared with operating income of $5.5 million for the three months ended March 31, 2023. The increase in operating income is primarily attributable to the increase in net sales.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Non-GAAP operating income was $10.2 million for the three months ended March 31, 2024 compared with $7.7 million for the three months ended March 31, 2023. Non-GAAP operating income as a percentage of sales increased to 8.1% for the three months ended March 31, 2024 from 6.8% for the three months ended March 31, 2023.</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Interest expense increased to $3.4 million in the three months ended March 31, 2024 compared with interest expense of $2.4 million for the three months ended March 31, 2023. The increase in interest expense is primarily due to increased debt balances and rising interest rates.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Income tax expense was $0.7 million for the three months ended March 31, 2024 compared with income tax expense of zero for the three months ended March 31, 2023. The effective income tax rate for the three months ended March 31, 2024 was 24.2% compared with 0.4% for the three months ended March 31, 2023. The effective income tax rate for the three months ended March 31, 2024 differs from the United States federal statutory rate. Our effective tax rate is affected by certain other permanent differences, including state income taxes, non-deductible incentive stock-based compensation, and differences in tax rates among the jurisdictions in which we operate.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Company’s operations are organized and reviewed by management along its product lines or end market that the segment serves and are presented in two reportable segments. The results of the segments are reviewed through “Income from operations” on the unaudited Condensed Consolidated Statements of Income.</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7180" w:type="dxa"/>
            <w:vAlign w:val="bottom"/>
          </w:tcPr>
          <w:p>
            <w:pPr>
              <w:spacing w:after="0"/>
              <w:rPr>
                <w:sz w:val="16"/>
                <w:szCs w:val="16"/>
                <w:color w:val="auto"/>
              </w:rPr>
            </w:pPr>
          </w:p>
        </w:tc>
        <w:tc>
          <w:tcPr>
            <w:tcW w:w="3760" w:type="dxa"/>
            <w:vAlign w:val="bottom"/>
            <w:tcBorders>
              <w:bottom w:val="single" w:sz="8" w:color="auto"/>
            </w:tcBorders>
            <w:gridSpan w:val="3"/>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6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Net Sales (less intra- and inter-segment sales)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89,349</w:t>
            </w:r>
          </w:p>
        </w:tc>
        <w:tc>
          <w:tcPr>
            <w:tcW w:w="2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74,454</w:t>
            </w:r>
          </w:p>
        </w:tc>
        <w:tc>
          <w:tcPr>
            <w:tcW w:w="280" w:type="dxa"/>
            <w:vAlign w:val="bottom"/>
          </w:tcPr>
          <w:p>
            <w:pPr>
              <w:spacing w:after="0"/>
              <w:rPr>
                <w:sz w:val="20"/>
                <w:szCs w:val="20"/>
                <w:color w:val="auto"/>
              </w:rPr>
            </w:pPr>
          </w:p>
        </w:tc>
      </w:tr>
      <w:tr>
        <w:trPr>
          <w:trHeight w:val="250"/>
        </w:trPr>
        <w:tc>
          <w:tcPr>
            <w:tcW w:w="7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4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36,983</w:t>
            </w:r>
          </w:p>
        </w:tc>
        <w:tc>
          <w:tcPr>
            <w:tcW w:w="2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38,109</w:t>
            </w:r>
          </w:p>
        </w:tc>
        <w:tc>
          <w:tcPr>
            <w:tcW w:w="280" w:type="dxa"/>
            <w:vAlign w:val="bottom"/>
            <w:tcBorders>
              <w:bottom w:val="single" w:sz="8" w:color="CFF0FC"/>
            </w:tcBorders>
            <w:shd w:val="clear" w:color="auto" w:fill="CFF0FC"/>
          </w:tcPr>
          <w:p>
            <w:pPr>
              <w:spacing w:after="0"/>
              <w:rPr>
                <w:sz w:val="21"/>
                <w:szCs w:val="21"/>
                <w:color w:val="auto"/>
              </w:rPr>
            </w:pPr>
          </w:p>
        </w:tc>
      </w:tr>
      <w:tr>
        <w:trPr>
          <w:trHeight w:val="232"/>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net sales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126,332</w:t>
            </w:r>
          </w:p>
        </w:tc>
        <w:tc>
          <w:tcPr>
            <w:tcW w:w="28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112,563</w:t>
            </w:r>
          </w:p>
        </w:tc>
        <w:tc>
          <w:tcPr>
            <w:tcW w:w="280" w:type="dxa"/>
            <w:vAlign w:val="bottom"/>
          </w:tcPr>
          <w:p>
            <w:pPr>
              <w:spacing w:after="0"/>
              <w:rPr>
                <w:sz w:val="20"/>
                <w:szCs w:val="20"/>
                <w:color w:val="auto"/>
              </w:rPr>
            </w:pPr>
          </w:p>
        </w:tc>
      </w:tr>
      <w:tr>
        <w:trPr>
          <w:trHeight w:val="20"/>
        </w:trPr>
        <w:tc>
          <w:tcPr>
            <w:tcW w:w="7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592"/>
        </w:trPr>
        <w:tc>
          <w:tcPr>
            <w:tcW w:w="7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20" w:type="dxa"/>
            <w:vAlign w:val="bottom"/>
            <w:gridSpan w:val="5"/>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r>
      <w:tr>
        <w:trPr>
          <w:trHeight w:val="236"/>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4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r>
      <w:tr>
        <w:trPr>
          <w:trHeight w:val="23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2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280" w:type="dxa"/>
            <w:vAlign w:val="bottom"/>
          </w:tcPr>
          <w:p>
            <w:pPr>
              <w:spacing w:after="0"/>
              <w:rPr>
                <w:sz w:val="20"/>
                <w:szCs w:val="20"/>
                <w:color w:val="auto"/>
              </w:rPr>
            </w:pPr>
          </w:p>
        </w:tc>
      </w:tr>
      <w:tr>
        <w:trPr>
          <w:trHeight w:val="247"/>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280" w:type="dxa"/>
            <w:vAlign w:val="bottom"/>
            <w:shd w:val="clear" w:color="auto" w:fill="CFF0FC"/>
          </w:tcPr>
          <w:p>
            <w:pPr>
              <w:spacing w:after="0"/>
              <w:rPr>
                <w:sz w:val="21"/>
                <w:szCs w:val="21"/>
                <w:color w:val="auto"/>
              </w:rPr>
            </w:pPr>
          </w:p>
        </w:tc>
      </w:tr>
      <w:tr>
        <w:trPr>
          <w:trHeight w:val="243"/>
        </w:trPr>
        <w:tc>
          <w:tcPr>
            <w:tcW w:w="72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4"/>
                <w:szCs w:val="24"/>
                <w:color w:val="auto"/>
                <w:vertAlign w:val="superscript"/>
              </w:rPr>
              <w:t>(1)</w:t>
            </w:r>
          </w:p>
        </w:tc>
        <w:tc>
          <w:tcPr>
            <w:tcW w:w="42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(15,691 )</w:t>
            </w:r>
          </w:p>
        </w:tc>
        <w:tc>
          <w:tcPr>
            <w:tcW w:w="4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(9,890 )</w:t>
            </w:r>
          </w:p>
        </w:tc>
      </w:tr>
      <w:tr>
        <w:trPr>
          <w:trHeight w:val="272"/>
        </w:trPr>
        <w:tc>
          <w:tcPr>
            <w:tcW w:w="7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income from operations</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28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2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-1508125</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-1508125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-25400</wp:posOffset>
            </wp:positionV>
            <wp:extent cx="768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768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-25400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-8255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corporate compensation, professional services, information technology and other general and administrative corporate expenses.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Engineered Systems Segment</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Engineered Systems segment orders booked increased $3.5 million, or 3.6%, to $100.1 million during the three months ended March 31, 2024 compared with $96.6 million in the three months ended March 31, 2023. The increase is primarily attributable to increases of $6.7 million related to dampers and expansion joints and $5.0 million related to emissions management, partially offset by a decrease of $8.3 million related to fluid bed cyclones. Approximately 91%, or $87.8 million, of the orders for the three months ended March 31, 2024 is attributable to organic bookings, defined as orders recorded subsequent to the twelve month period post-acquisition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right="420"/>
        <w:spacing w:after="0" w:line="266" w:lineRule="auto"/>
        <w:rPr>
          <w:sz w:val="20"/>
          <w:szCs w:val="20"/>
          <w:color w:val="auto"/>
        </w:rPr>
      </w:pPr>
      <w:r>
        <w:rPr>
          <w:rFonts w:ascii="Times New Roman" w:cs="Times New Roman" w:eastAsia="Times New Roman" w:hAnsi="Times New Roman"/>
          <w:sz w:val="18"/>
          <w:szCs w:val="18"/>
          <w:color w:val="auto"/>
        </w:rPr>
        <w:t>Our Engineered Systems segment net sales increased $14.8 million to $89.3 million for the three months ended March 31, 2024 compared with $74.5 million for the three months ended March 31, 2023. The increase is led by an increase of $12.5 million in separation, filtration, and industrial water technologies. Approximately 89%, or $79.4 million, of the net sales for the three months ended March 31, 2024 is attributable to organic revenue</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Operating income for the Engineered Systems segment increased $6.5 million to $16.3 million for the three months ended March 31, 2024 compared with $9.8 million for the three months ended March 31, 2023. The operating income increase is primarily attributable to higher gross profit related to increased sales of $14.8 million, partially offset by an increase in selling and administrative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Industrial Process Solutions Segment</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Industrial Process Solutions segment orders booked decreased $4.2 million, or 8.7%, to $45.3 million during the three months ended March 31, 2024 compared with $49.5 million in the three months ended March 31, 2023. The decrease is primarily attributable to a decrease of $10.8 million related to industrial air end markets, partially offset by an increase of $7.0 million related to duct fabrication and installation.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Industrial Process Solutions segment net sales decreased $1.1 million to $37.0 million for the three months ended March 31, 2024 compared with</w:t>
      </w:r>
    </w:p>
    <w:p>
      <w:pPr>
        <w:spacing w:after="0" w:line="2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$38.1 million for the three months ended March 31, 2023. The decrease is primarily attributable to a decrease of $2.7 million related to industrial air end markets and $0.4 million related to fluid handling, partially offset by an increase of $2.5 million related to duct fabrication and installation.</w:t>
      </w:r>
    </w:p>
    <w:p>
      <w:pPr>
        <w:spacing w:after="0" w:line="1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Operating income for the Industrial Process Solutions segment increased $1.6 million to $7.1 million for the three months ended March 31, 2024 compared with $5.5 million for the three months ended March 31, 2023. The increase is primarily attributable to an increase of $2.0 million in gross profit related to decreased direct costs, primarily related to materials, partially offset by an increase in engineering and administrative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Corporate and Other Segment</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Operating expense for the Corporate and Other segment increased $5.8 million to $15.7 million for the three months ended March 31, 2024 compared with $9.9 million for the three months ended March 31, 2023. The increase is primarily attributable to investments made to support growth, and inflationary increases for wages and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Backlog (i.e., unfulfilled or remaining performance obligations) represents the sales we expect to recognize for our products and services for which control has not yet transferred to the customer. Backlog increased to $389.5 million as of March 31, 2024, from $370.9 million as of December 31, 2023. Our customers may have the right to cancel a given order. Historically, cancellations have not been common. Backlog is adjusted on a quarterly basis for adjustments in foreign currency exchange rates. Substantially all backlog is expected to be delivered within 12 to 18 months. Backlog is not defined by GAAP and our methodology for calculating backlog may not be consistent with methodologies used by other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information regarding recent accounting pronouncements, see Note 2 to the unaudited condensed consolidated financial statements within Item 1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When we undertake large jobs, our working capital objective is to make these projects self-funding. We work to achieve this by obtaining customer down payments, progress billing contracts, when possible, utilizing extended payment terms from material suppliers, and paying sub-contractors after payment from our customers, which is an industry practice. Our investment in net working capital is funded by cash flow from operations and by our revolving line of credit under our Credit Facility (as defined below).</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March 31, 2024, the Company had working capital of $75.3 million, compared with $94.0 million at December 31, 2023. The ratio of current assets to current liabilities was 1.38 to 1.00 on March 31, 2024, as compared with a ratio of 1.64 to 1.00 on December 31, 2023.</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2" w:name="page23"/>
    <w:bookmarkEnd w:id="22"/>
    <w:p>
      <w:pPr>
        <w:ind w:right="80"/>
        <w:spacing w:after="0" w:line="266" w:lineRule="auto"/>
        <w:rPr>
          <w:sz w:val="20"/>
          <w:szCs w:val="20"/>
          <w:color w:val="auto"/>
        </w:rPr>
      </w:pPr>
      <w:r>
        <w:rPr>
          <w:rFonts w:ascii="Times New Roman" w:cs="Times New Roman" w:eastAsia="Times New Roman" w:hAnsi="Times New Roman"/>
          <w:sz w:val="18"/>
          <w:szCs w:val="18"/>
          <w:color w:val="auto"/>
        </w:rPr>
        <w:t>At March 31, 2024 and December 31, 2023, cash and cash equivalents totaled $46.6 million and $54.8 million, respectively. As of March 31, 2024 and December 31, 2023, $35.5 million and $38.5 million, respectively, of our cash and cash equivalents were held by certain non-United States subsidiaries, as well as being denominated in foreign currencies.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6"/>
                <w:szCs w:val="16"/>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5"/>
        </w:trPr>
        <w:tc>
          <w:tcPr>
            <w:tcW w:w="794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Outstanding borrowings under Credit Facility (defined below)</w:t>
            </w:r>
          </w:p>
        </w:tc>
        <w:tc>
          <w:tcPr>
            <w:tcW w:w="16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Term loan payable in quarterly principal installments of $550 through September</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2023, $2,232 through September 2025 and $2,977 thereafter with balance due upon</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maturity in December 2026.</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loan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110,191</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112,424</w:t>
            </w:r>
          </w:p>
        </w:tc>
        <w:tc>
          <w:tcPr>
            <w:tcW w:w="100" w:type="dxa"/>
            <w:vAlign w:val="bottom"/>
          </w:tcPr>
          <w:p>
            <w:pPr>
              <w:spacing w:after="0"/>
              <w:rPr>
                <w:sz w:val="20"/>
                <w:szCs w:val="20"/>
                <w:color w:val="auto"/>
              </w:rPr>
            </w:pPr>
          </w:p>
        </w:tc>
      </w:tr>
      <w:tr>
        <w:trPr>
          <w:trHeight w:val="247"/>
        </w:trPr>
        <w:tc>
          <w:tcPr>
            <w:tcW w:w="7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18,100</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outstanding borrowings under the Credit Facility</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128,291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129,724</w:t>
            </w:r>
          </w:p>
        </w:tc>
        <w:tc>
          <w:tcPr>
            <w:tcW w:w="100" w:type="dxa"/>
            <w:vAlign w:val="bottom"/>
          </w:tcPr>
          <w:p>
            <w:pPr>
              <w:spacing w:after="0"/>
              <w:rPr>
                <w:sz w:val="20"/>
                <w:szCs w:val="20"/>
                <w:color w:val="auto"/>
              </w:rPr>
            </w:pPr>
          </w:p>
        </w:tc>
      </w:tr>
      <w:tr>
        <w:trPr>
          <w:trHeight w:val="247"/>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borrowings under the joint venture term debt</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8,535</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100" w:type="dxa"/>
            <w:vAlign w:val="bottom"/>
            <w:shd w:val="clear" w:color="auto" w:fill="CFF0FC"/>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6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(1,176 )</w:t>
            </w:r>
          </w:p>
        </w:tc>
        <w:tc>
          <w:tcPr>
            <w:tcW w:w="12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(1,296 )</w:t>
            </w:r>
          </w:p>
        </w:tc>
      </w:tr>
      <w:tr>
        <w:trPr>
          <w:trHeight w:val="237"/>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outstanding borrowings</w:t>
            </w:r>
          </w:p>
        </w:tc>
        <w:tc>
          <w:tcPr>
            <w:tcW w:w="16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135,650</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137,283</w:t>
            </w:r>
          </w:p>
        </w:tc>
        <w:tc>
          <w:tcPr>
            <w:tcW w:w="100" w:type="dxa"/>
            <w:vAlign w:val="bottom"/>
            <w:shd w:val="clear" w:color="auto" w:fill="CFF0FC"/>
          </w:tcPr>
          <w:p>
            <w:pPr>
              <w:spacing w:after="0"/>
              <w:rPr>
                <w:sz w:val="20"/>
                <w:szCs w:val="20"/>
                <w:color w:val="auto"/>
              </w:rPr>
            </w:pPr>
          </w:p>
        </w:tc>
      </w:tr>
      <w:tr>
        <w:trPr>
          <w:trHeight w:val="243"/>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(10,580 )</w:t>
            </w:r>
          </w:p>
        </w:tc>
        <w:tc>
          <w:tcPr>
            <w:tcW w:w="12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(10,488 )</w:t>
            </w:r>
          </w:p>
        </w:tc>
      </w:tr>
      <w:tr>
        <w:trPr>
          <w:trHeight w:val="277"/>
        </w:trPr>
        <w:tc>
          <w:tcPr>
            <w:tcW w:w="7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debt, less current portion</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125,070</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126,795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-976630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outstanding borrowings in the United States consist of a senior secured term loan and a senior secured revolver loan with sub-facilities for letters of credit, swing-line loans and multi-currency loans (collectively, the “Credit Facility”). As of March 31, 2024 and December 31, 2023, the Company was in compliance with all related financial and other restrictive covenants under the Credit Facility.</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See Note 8 to the unaudited condensed consolidated financial statements within Item 1 of this Quarterly Report on Form 10-Q for further information on the Company’s debt facilities.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unused credit availability under our existing Credit Facility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18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Facility, revolving loans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FF0FC"/>
          </w:tcPr>
          <w:p>
            <w:pPr>
              <w:spacing w:after="0"/>
              <w:rPr>
                <w:sz w:val="20"/>
                <w:szCs w:val="20"/>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Draw down</w:t>
            </w:r>
          </w:p>
        </w:tc>
        <w:tc>
          <w:tcPr>
            <w:tcW w:w="260" w:type="dxa"/>
            <w:vAlign w:val="bottom"/>
          </w:tcPr>
          <w:p>
            <w:pPr>
              <w:spacing w:after="0"/>
              <w:rPr>
                <w:sz w:val="20"/>
                <w:szCs w:val="20"/>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(18.1 )</w:t>
            </w:r>
          </w:p>
        </w:tc>
        <w:tc>
          <w:tcPr>
            <w:tcW w:w="20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(17.3 )</w:t>
            </w:r>
          </w:p>
        </w:tc>
      </w:tr>
      <w:tr>
        <w:trPr>
          <w:trHeight w:val="24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Letters of credit open</w:t>
            </w:r>
          </w:p>
        </w:tc>
        <w:tc>
          <w:tcPr>
            <w:tcW w:w="26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(13.5 )</w:t>
            </w: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(13.3 )</w:t>
            </w:r>
          </w:p>
        </w:tc>
      </w:tr>
      <w:tr>
        <w:trPr>
          <w:trHeight w:val="237"/>
        </w:trPr>
        <w:tc>
          <w:tcPr>
            <w:tcW w:w="7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unused credit availability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8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Borders>
              <w:top w:val="single" w:sz="8" w:color="CFF0FC"/>
            </w:tcBorders>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 available based on borrowing limitations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30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Overview of Cash Flows and Liquidity</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3"/>
        </w:trPr>
        <w:tc>
          <w:tcPr>
            <w:tcW w:w="7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6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top w:val="single" w:sz="8" w:color="auto"/>
              <w:bottom w:val="single" w:sz="8" w:color="auto"/>
            </w:tcBorders>
          </w:tcPr>
          <w:p>
            <w:pPr>
              <w:spacing w:after="0"/>
              <w:rPr>
                <w:sz w:val="14"/>
                <w:szCs w:val="14"/>
                <w:color w:val="auto"/>
              </w:rPr>
            </w:pPr>
          </w:p>
        </w:tc>
        <w:tc>
          <w:tcPr>
            <w:tcW w:w="152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(12,021 )</w:t>
            </w: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20"/>
                <w:szCs w:val="20"/>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(2,694 )</w:t>
            </w:r>
          </w:p>
        </w:tc>
        <w:tc>
          <w:tcPr>
            <w:tcW w:w="20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(26,655 )</w:t>
            </w: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6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(6,528 )</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34,359</w:t>
            </w:r>
          </w:p>
        </w:tc>
        <w:tc>
          <w:tcPr>
            <w:tcW w:w="100" w:type="dxa"/>
            <w:vAlign w:val="bottom"/>
            <w:shd w:val="clear" w:color="auto" w:fill="CFF0FC"/>
          </w:tcPr>
          <w:p>
            <w:pPr>
              <w:spacing w:after="0"/>
              <w:rPr>
                <w:sz w:val="21"/>
                <w:szCs w:val="21"/>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Pr>
          <w:p>
            <w:pPr>
              <w:spacing w:after="0"/>
              <w:rPr>
                <w:sz w:val="20"/>
                <w:szCs w:val="20"/>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(422 )</w:t>
            </w:r>
          </w:p>
        </w:tc>
        <w:tc>
          <w:tcPr>
            <w:tcW w:w="20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(64 )</w:t>
            </w:r>
          </w:p>
        </w:tc>
      </w:tr>
      <w:tr>
        <w:trPr>
          <w:trHeight w:val="20"/>
        </w:trPr>
        <w:tc>
          <w:tcPr>
            <w:tcW w:w="7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(8,420 )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(4,381 )</w:t>
            </w:r>
          </w:p>
        </w:tc>
      </w:tr>
      <w:tr>
        <w:trPr>
          <w:trHeight w:val="20"/>
        </w:trPr>
        <w:tc>
          <w:tcPr>
            <w:tcW w:w="73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-1687830</wp:posOffset>
            </wp:positionV>
            <wp:extent cx="768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-1344930</wp:posOffset>
            </wp:positionV>
            <wp:extent cx="768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-1327785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768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768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$1.2 million of cash was provided by operating activities compared with $12.0 million used in operations in the prior year period, representing an improvement of $13.2 million. Cash flow from operating activities in the first three months of 2024 had a favorable impact year-over-year primarily due to timing of receipt of outstanding receivables.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net cash used in investing activities was $2.7 million compared with $26.7 million used in investing activities in the prior year period. For the three months ended March 31, 2024, the $3.1 million cash used in investing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spacing w:after="0" w:line="282" w:lineRule="auto"/>
        <w:rPr>
          <w:sz w:val="20"/>
          <w:szCs w:val="20"/>
          <w:color w:val="auto"/>
        </w:rPr>
      </w:pPr>
      <w:r>
        <w:rPr>
          <w:rFonts w:ascii="Times New Roman" w:cs="Times New Roman" w:eastAsia="Times New Roman" w:hAnsi="Times New Roman"/>
          <w:sz w:val="18"/>
          <w:szCs w:val="18"/>
          <w:color w:val="auto"/>
        </w:rPr>
        <w:t>activities was primarily the result of acquisitions of property and equipment. In the prior year period, the $26.7 million cash used in investing activities was the result of $24.1 million used for acquisitions as described in Note 15 and $2.5 million for the acquisition of property and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2024, $6.5 million was used in financing activities compared with $34.4 million provided by financing activities in the prior year period, for an increase of $27.9 million. For the three months ended March 31, 2024, the primary uses of cash for financing activities were $3.0 million to repurchase common stock, $2.6 million to repay long-term debt, $1.0 million of deferred consideration paid for acquisitions and $0.8 million on distributions to the noncontrolling interest, partially offset by $0.8 million in net borrowings. In the prior year period, the Company obtained $34.8 million for net borrowings on the Company’s revolving credit lines, primarily used to finance acquisitions, and $0.8 million in repayment on long-term debt. The Company also received $0.6 million of proceeds from the exercise of stock options.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the Company’s financial condition and results of operations are based upon the Company’s condensed consolidated financial statements. The preparation of these financial statements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revenue recognition, the valuation of trade receivables, inventories, goodwill, intangible assets, other long-lived assets, legal contingencies, guarantee obligations and assumptions used in the calculation of income taxes, assumptions used in business combination accounting and related balances, and pension and post-retirement benefits, among others. These estimates and assumptions are based on management’s best estimates and judgment. Management evaluates its estimates and assumptions on an ongoing basis using historical experience and other factors. Management monitors economic conditions and other factors and will adjust such estimates and assumptions when facts and circumstances dictate. As future events and their effects cannot be determined with precision, actual results could differ significantly from these estimates.</w:t>
      </w:r>
    </w:p>
    <w:p>
      <w:pPr>
        <w:spacing w:after="0" w:line="19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Management believes there have been no changes during the three months ended March 31, 2024 to the items that the Company disclosed as its critical accounting policies and estimates in Management’s Discussion and Analysis of Financial Condition and Results of Operations in the Company’s Annual Report on Form 10-K for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Section 27A of the Securities Act of 1933 and Section 21E of the Securities Exchange Act of 1934, both as amended, which are intended to be covered by the safe harbor for “forward-looking statements” provided by the Private Securities Litigation Reform Act of 1995. Any statements contained in this Quarterly Report on Form 10-Q,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“Item 1A. Risk Factors” of this Quarterly Report on Form 10-Q and in the Company’s Annual Report on Form 10-K for the fiscal year ended December 31, 2023, and include, but are not limited to:</w:t>
      </w:r>
    </w:p>
    <w:p>
      <w:pPr>
        <w:spacing w:after="0" w:line="194"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sensitivity of our business to economic and financial market conditions generally and economic conditions in CECO’s service areas;</w:t>
      </w:r>
    </w:p>
    <w:p>
      <w:pPr>
        <w:spacing w:after="0" w:line="117"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fixed price contracts and the risks associated therewith, including actual costs exceeding estimates and method of accounting for revenue;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growth on CECO’s infrastructure, resources and existing sales;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expand operations in both new and existing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contract delay or cancellation as a result of on-going or worsening supply chain challenges;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from faulty services or products that could result in significant professional or product liability, warranty or other claims;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4" w:name="page25"/>
    <w:bookmarkEnd w:id="24"/>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developments with respect to any litigation or investigation;</w:t>
      </w:r>
    </w:p>
    <w:p>
      <w:pPr>
        <w:spacing w:after="0" w:line="117"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timely completion or performance standards that could result in higher cost and reduced profits or, in some cases, losses on projects;</w:t>
      </w:r>
    </w:p>
    <w:p>
      <w:pPr>
        <w:spacing w:after="0" w:line="53"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fluctuations in prices for manufactured components and raw materials, including as a result of tariffs and surcharges, and rising energy costs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relating to rising raw material costs and the cost of labor;</w:t>
      </w:r>
    </w:p>
    <w:p>
      <w:pPr>
        <w:spacing w:after="0" w:line="11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amount of debt incurred in connection with our strategic transactions and our ability to repay or refinance it or incur additional debt in the future;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federal, state or local government regulations;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shares of our common stock and the amounts and timing of repurchases;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realize the expected benefits of our restructuring program</w:t>
      </w:r>
      <w:r>
        <w:rPr>
          <w:rFonts w:ascii="Times New Roman" w:cs="Times New Roman" w:eastAsia="Times New Roman" w:hAnsi="Times New Roman"/>
          <w:sz w:val="18"/>
          <w:szCs w:val="18"/>
          <w:u w:val="single" w:color="auto"/>
          <w:color w:val="auto"/>
        </w:rPr>
        <w: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conditions generally;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acquisition targets, integrate acquired businesses and realize the synergies from strategic transactions;</w:t>
      </w:r>
    </w:p>
    <w:p>
      <w:pPr>
        <w:spacing w:after="0" w:line="117"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and severity of catastrophic events, including cybersecurity threats, acts of terrorism or outbreak of war or hostilities or public health crises, as well as management’s response to any of the aforementioned factors; and</w:t>
      </w:r>
    </w:p>
    <w:p>
      <w:pPr>
        <w:spacing w:after="0" w:line="53"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our material weakness, or any other material weakness that we may identify in the future that could result in material misstatements in our financial statements.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Many of these risks are beyond management’s ability to control or predict. Should one or more of these risks or uncertainties materialize, or should any related assumptions prove incorrect, actual results may vary in material aspects from those currently anticipated. Investors are cautioned not to place undue reliance on such forward-looking statements as they speak only to our views as of the date the statement is made. Furthermore, the forward-looking statements speak only as of the date they are made. Except as required under the federal securities laws or the rules and regulations of the Securities and Exchange Commission (the “SEC”), we undertake no obligation to update or review any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carrying value of the Company’s total long-term debt and current maturities of long-term debt at March 31, 2024 was $136.8 million. Market risk was estimated as the potential decrease (increase) in future earnings and cash flows resulting from a hypothetical 10% increase (decrease) in the Company’s estimated weighted average borrowing rate at March 31, 2024. Most of the interest on the Company’s debt is indexed to SOFR market rates. The estimated annual impact of a hypothetical 10% change in the estimated weighted average borrowing rate at March 31, 2024 is $1.1 million.</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has wholly-owned subsidiaries in several countries, including in the Netherlands, Canada, the People’s Republic of China, Mexico, United Kingdom, Singapore, India, United Arab Emirates and South Korea. In the past, we have not hedged our foreign currency exposure, and fluctuations in exchange rates have not materially affected our operating results. Future changes in exchange rates may positively or negatively impact our revenues, operating expenses and earnings. Transaction gains included in “Other expense, net” line of the Condensed Consolidated Statements of Income were $0.8 million and $0.4 million for the three months ended March 31, 2024 and 2023, respectively.</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25" w:name="page26"/>
    <w:bookmarkEnd w:id="25"/>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of the Securities Exchange Act of 1934 (the “Exchange Act”)) that are designed to ensure that information required to be disclosed by the Company in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The Company’s management, with the participation of the Company’s Chief Executive Officer and Chief Financial Officer, evaluated the effectiveness of the Company’s disclosure controls and procedures as of the end of the period covered by this Quarterly Report on Form 10-Q. Based on that evaluation, our management, including our Chief Executive Officer and Chief Financial Officer, concluded that our disclosure controls and procedures were not effective as of March 31, 2024, as the result of the material weakness in our internal control over financial reporting discussed below, which is currently being remediated. Notwithstanding this material weakness, management believes that the condensed consolidated financial statements included in this report present fairly, in all material respects, the Company’s financial condition, results of operations and cash flows for each of the periods presented in this report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Weaknesses in Internal Control over Financial Reporting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previously reported, we identified a material weakness in internal control over financial reporting relating to management’s review of its revenue recognition for contracts recognized over time isolated to our Engineered Systems segment, which remains unremediated as of March 31, 2024. Specifically, management did not retain appropriate documentation supporting the review of over time revenue recognition for customer contracts within the Engineered Systems segment. This material weakness did not result in any material misstatement in our interim financial statements or disclosures, and there were no changes required to any of our previously released interim or audited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 Reconciliations</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previously reported, we identified a material weakness in internal control over financial reporting relating to management’s review of balance sheet reconciliations for certain divisions within our Engineered Systems segment, which has been remediated as of March 31, 2024. Specifically, management did not review the reconciliations prepared for balance sheet accounts for certain divisions within the Engineered Systems segment as required by Company policy. This material weakness did not result in any material misstatement in our interim financial statements or disclosures, and there were no changes required to any of our previously released interim or audited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 to Address Material Weaknesses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Management is committed to maintaining a strong internal control environment. In response to the identified material weaknesses, management, with the oversight of the Audit Committee of the Board of Directors, has taken actions toward the remediation of the material weaknesses in internal control over financial reporting, including reinforcing the importance of adherence to Company policies regarding control performance and related documentation with control owners, strengthening existing training programs for control owners, and developing monitoring activities to validate the performance of controls by control owners. As of March 31, 2024, management has reinforced policies through training sessions as well as ongoing communications, and implemented incremental monitoring activities. As of March 31, 2024, these remediation efforts are ongoing as it relates to the material weakness related to revenue recognition, and complete as it relates to the material weakness related to balance sheet reconciliations.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anticipates the actions described above and resulting improvements in controls will strengthen the Company’s processes, procedures and controls related to management’s review of over time revenue recognition and balance sheet reconciliations and will address the related material weaknesses. However, the material weakness related to revenue recognition cannot be considered remediated until the applicable control has operated for a sufficient period of time, and management has concluded, through testing, that the control is operating effectively.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Other than the material weakness described above related to revenue recognition and the ongoing remediation of such material weakness, and the remediation of the previous period material weakness related to balance sheet reconciliations, there were no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6" w:name="page27"/>
    <w:bookmarkEnd w:id="26"/>
    <w:p>
      <w:pPr>
        <w:ind w:right="60"/>
        <w:spacing w:after="0" w:line="282" w:lineRule="auto"/>
        <w:rPr>
          <w:sz w:val="20"/>
          <w:szCs w:val="20"/>
          <w:color w:val="auto"/>
        </w:rPr>
      </w:pPr>
      <w:r>
        <w:rPr>
          <w:rFonts w:ascii="Times New Roman" w:cs="Times New Roman" w:eastAsia="Times New Roman" w:hAnsi="Times New Roman"/>
          <w:sz w:val="18"/>
          <w:szCs w:val="18"/>
          <w:color w:val="auto"/>
        </w:rPr>
        <w:t>changes in the Company’s internal control over financial reporting (as defined in Rule 13a-15(f) of the Exchange Act) during the quarter ended March 31, 2024 that materially affected, or are reasonably likely to materially affect, the Company’s internal control over financial reporting.</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See Note 14 to the unaudited Condensed Consolidated Financial Statements contained in Part I, Item 1 of this Quarterly Report on Form 10-Q for information regarding legal proceedings in which the Company is involved.</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risk factors that were disclosed in “Part I – Item 1A. Risk Factors” of the Company's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our purchases of the Company's equity securities for the three months ended March 31, 2024:</w:t>
      </w:r>
    </w:p>
    <w:p>
      <w:pPr>
        <w:sectPr>
          <w:pgSz w:w="11900" w:h="16838" w:orient="portrait"/>
          <w:cols w:equalWidth="0" w:num="1">
            <w:col w:w="11240"/>
          </w:cols>
          <w:pgMar w:left="320" w:top="11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b w:val="1"/>
          <w:bCs w:val="1"/>
          <w:color w:val="auto"/>
        </w:rPr>
        <w:t>Issuer's Purchases of Equity Securities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5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380" w:type="dxa"/>
            <w:vAlign w:val="bottom"/>
            <w:tcBorders>
              <w:top w:val="single" w:sz="8" w:color="auto"/>
            </w:tcBorders>
          </w:tcPr>
          <w:p>
            <w:pPr>
              <w:jc w:val="center"/>
              <w:ind w:left="8"/>
              <w:spacing w:after="0" w:line="131"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38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38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9"/>
        </w:trPr>
        <w:tc>
          <w:tcPr>
            <w:tcW w:w="15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5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6"/>
        </w:trPr>
        <w:tc>
          <w:tcPr>
            <w:tcW w:w="154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5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3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89"/>
        </w:trPr>
        <w:tc>
          <w:tcPr>
            <w:tcW w:w="1540" w:type="dxa"/>
            <w:vAlign w:val="bottom"/>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9"/>
                <w:szCs w:val="19"/>
                <w:b w:val="1"/>
                <w:bCs w:val="1"/>
                <w:color w:val="auto"/>
                <w:vertAlign w:val="superscript"/>
              </w:rPr>
              <w:t>1</w:t>
            </w:r>
          </w:p>
        </w:tc>
        <w:tc>
          <w:tcPr>
            <w:tcW w:w="15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3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4440" w:space="720"/>
            <w:col w:w="6080"/>
          </w:cols>
          <w:pgMar w:left="320" w:top="1197"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1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1, 2024 - January 31, 2024</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960" w:type="dxa"/>
            <w:vAlign w:val="bottom"/>
            <w:gridSpan w:val="3"/>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shd w:val="clear" w:color="auto" w:fill="CFF0FC"/>
          </w:tcPr>
          <w:p>
            <w:pPr>
              <w:spacing w:after="0"/>
              <w:rPr>
                <w:sz w:val="18"/>
                <w:szCs w:val="18"/>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2024 - February 29,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9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20"/>
                <w:szCs w:val="20"/>
                <w:color w:val="auto"/>
              </w:rPr>
            </w:pPr>
          </w:p>
        </w:tc>
      </w:tr>
      <w:tr>
        <w:trPr>
          <w:trHeight w:val="247"/>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1, 2024 - March 31, 2024</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143,938</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2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143,938</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143,938</w:t>
            </w:r>
          </w:p>
        </w:tc>
        <w:tc>
          <w:tcPr>
            <w:tcW w:w="7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143,938</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-187960</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-187960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380" w:firstLine="8"/>
        <w:spacing w:after="0" w:line="282"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10, 2022, the Board of Directors authorized a $20.0 million share repurchase program as described within Note 9. The program expires on April 30, 2025.</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27"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no director or Section 16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6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Rule 13(a)/15d-14(a) Certification by Chief Executive Officer</w:t>
            </w: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4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Rule 13(a)/15d-14(a) Certification by Chief Financial Officer</w:t>
            </w:r>
          </w:p>
        </w:tc>
        <w:tc>
          <w:tcPr>
            <w:tcW w:w="40" w:type="dxa"/>
            <w:vAlign w:val="bottom"/>
            <w:tcBorders>
              <w:top w:val="single" w:sz="8" w:color="0000FF"/>
            </w:tcBorders>
          </w:tcPr>
          <w:p>
            <w:pPr>
              <w:spacing w:after="0"/>
              <w:rPr>
                <w:sz w:val="24"/>
                <w:szCs w:val="24"/>
                <w:color w:val="auto"/>
              </w:rPr>
            </w:pPr>
          </w:p>
        </w:tc>
        <w:tc>
          <w:tcPr>
            <w:tcW w:w="2220" w:type="dxa"/>
            <w:vAlign w:val="bottom"/>
            <w:gridSpan w:val="3"/>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6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(18 U.S. Section 1350)</w:t>
            </w:r>
          </w:p>
        </w:tc>
      </w:tr>
      <w:tr>
        <w:trPr>
          <w:trHeight w:val="37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5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(18 U.S. Section 1350)</w:t>
            </w:r>
          </w:p>
        </w:tc>
        <w:tc>
          <w:tcPr>
            <w:tcW w:w="40" w:type="dxa"/>
            <w:vAlign w:val="bottom"/>
            <w:tcBorders>
              <w:top w:val="single" w:sz="8" w:color="0000FF"/>
            </w:tcBorders>
          </w:tcPr>
          <w:p>
            <w:pPr>
              <w:spacing w:after="0"/>
              <w:rPr>
                <w:sz w:val="24"/>
                <w:szCs w:val="24"/>
                <w:color w:val="auto"/>
              </w:rPr>
            </w:pPr>
          </w:p>
        </w:tc>
        <w:tc>
          <w:tcPr>
            <w:tcW w:w="2120" w:type="dxa"/>
            <w:vAlign w:val="bottom"/>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6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Inline XBRL Taxonomy Extension Schema Document with Embedded Linkbase Documents</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76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26035</wp:posOffset>
            </wp:positionV>
            <wp:extent cx="31972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Kiril Kovachev</w:t>
      </w:r>
    </w:p>
    <w:p>
      <w:pPr>
        <w:spacing w:after="0" w:line="3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Chief Accounting Officer</w:t>
      </w:r>
    </w:p>
    <w:p>
      <w:pPr>
        <w:spacing w:after="0" w:line="28"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7"/>
          <w:szCs w:val="17"/>
          <w:b w:val="1"/>
          <w:bCs w:val="1"/>
          <w:color w:val="auto"/>
        </w:rPr>
        <w:t>(principal accounting officer and duly authorized officer)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2024</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Gleason, certify that:</w:t>
      </w:r>
    </w:p>
    <w:p>
      <w:pPr>
        <w:spacing w:after="0" w:line="117" w:lineRule="exact"/>
        <w:rPr>
          <w:sz w:val="20"/>
          <w:szCs w:val="20"/>
          <w:color w:val="auto"/>
        </w:rPr>
      </w:pPr>
    </w:p>
    <w:p>
      <w:pPr>
        <w:ind w:left="360" w:hanging="352"/>
        <w:spacing w:after="0"/>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CECO Environmental Corp.;</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Todd Gleason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Johansson, certify that:</w:t>
      </w:r>
    </w:p>
    <w:p>
      <w:pPr>
        <w:spacing w:after="0" w:line="117" w:lineRule="exact"/>
        <w:rPr>
          <w:sz w:val="20"/>
          <w:szCs w:val="20"/>
          <w:color w:val="auto"/>
        </w:rPr>
      </w:pPr>
    </w:p>
    <w:p>
      <w:pPr>
        <w:ind w:left="360" w:hanging="35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CECO Environmental Corp.;</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3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Peter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Peter Johansson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and Strategy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CECO Environmental Corp. (the “Company”) on Form 10-Q for the three month period ended March 31, 2024 as filed with the Securities and Exchange Commission on the date hereof (the “Report”), I, Todd Gleason, Chief Executive Officer of the Company, certify, pursuant to 18 U.S.C. § 1350, as adopted pursuant to § 906 of the Sarbanes-Oxley Act of 2002, to the best of my knowledge and belief, that:</w:t>
      </w:r>
    </w:p>
    <w:p>
      <w:pPr>
        <w:spacing w:after="0" w:line="68" w:lineRule="exact"/>
        <w:rPr>
          <w:sz w:val="20"/>
          <w:szCs w:val="20"/>
          <w:color w:val="auto"/>
        </w:rPr>
      </w:pPr>
    </w:p>
    <w:p>
      <w:pPr>
        <w:ind w:left="900" w:hanging="359"/>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Todd Gleason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CECO Environmental Corp. (the “Company”) on Form 10-Q for the three month period ended March 31, 2024 as filed with the Securities and Exchange Commission on the date hereof (the “Report”), I, Peter Johansson, Chief Financial Officer of the Company, certify, pursuant to 18 U.S.C. § 1350, as adopted pursuant to § 906 of the Sarbanes-Oxley Act of 2002, to the best of my knowledge and belief, that:</w:t>
      </w:r>
    </w:p>
    <w:p>
      <w:pPr>
        <w:spacing w:after="0" w:line="68" w:lineRule="exact"/>
        <w:rPr>
          <w:sz w:val="20"/>
          <w:szCs w:val="20"/>
          <w:color w:val="auto"/>
        </w:rPr>
      </w:pPr>
    </w:p>
    <w:p>
      <w:pPr>
        <w:ind w:left="900" w:hanging="35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Peter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Peter Johansson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and Strategy Officer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6"/>
    </w:lvl>
  </w:abstractNum>
  <w:abstractNum w:abstractNumId="7">
    <w:nsid w:val="DED7263"/>
    <w:multiLevelType w:val="hybridMultilevel"/>
    <w:lvl w:ilvl="0">
      <w:lvlJc w:val="left"/>
      <w:lvlText w:val="%1."/>
      <w:numFmt w:val="decimal"/>
      <w:start w:val="7"/>
    </w:lvl>
  </w:abstractNum>
  <w:abstractNum w:abstractNumId="8">
    <w:nsid w:val="7FDCC233"/>
    <w:multiLevelType w:val="hybridMultilevel"/>
    <w:lvl w:ilvl="0">
      <w:lvlJc w:val="left"/>
      <w:lvlText w:val="%1."/>
      <w:numFmt w:val="decimal"/>
      <w:start w:val="9"/>
    </w:lvl>
  </w:abstractNum>
  <w:abstractNum w:abstractNumId="9">
    <w:nsid w:val="1BEFD79F"/>
    <w:multiLevelType w:val="hybridMultilevel"/>
    <w:lvl w:ilvl="0">
      <w:lvlJc w:val="left"/>
      <w:lvlText w:val="%1."/>
      <w:numFmt w:val="decimal"/>
      <w:start w:val="14"/>
    </w:lvl>
  </w:abstractNum>
  <w:abstractNum w:abstractNumId="10">
    <w:nsid w:val="41A7C4C9"/>
    <w:multiLevelType w:val="hybridMultilevel"/>
    <w:lvl w:ilvl="0">
      <w:lvlJc w:val="left"/>
      <w:lvlText w:val="%1."/>
      <w:numFmt w:val="decimal"/>
      <w:start w:val="15"/>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2024-04-30T06:09:23Z</dcterms:created>
  <dcterms:modified xsi:type="dcterms:W3CDTF">2024-04-30T06:09:23Z</dcterms:modified>
</cp:coreProperties>
</file>