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00"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206" w:right="8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9" w:lineRule="exact"/>
        <w:rPr>
          <w:sz w:val="24"/>
          <w:szCs w:val="24"/>
          <w:color w:val="auto"/>
        </w:rPr>
      </w:pPr>
    </w:p>
    <w:p>
      <w:pPr>
        <w:sectPr>
          <w:pgSz w:w="11900" w:h="16838" w:orient="portrait"/>
          <w:cols w:equalWidth="0" w:num="3">
            <w:col w:w="4620" w:space="720"/>
            <w:col w:w="2920" w:space="720"/>
            <w:col w:w="1760"/>
          </w:cols>
          <w:pgMar w:left="320" w:top="206" w:right="839" w:bottom="1440" w:gutter="0" w:footer="0" w:header="0"/>
          <w:type w:val="continuous"/>
        </w:sectPr>
      </w:pPr>
    </w:p>
    <w:p>
      <w:pPr>
        <w:ind w:left="84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b w:val="1"/>
          <w:bCs w:val="1"/>
          <w:color w:val="auto"/>
        </w:rPr>
        <w:t>(Commission</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40"/>
          </w:cols>
          <w:pgMar w:left="320" w:top="206" w:right="839" w:bottom="1440" w:gutter="0" w:footer="0" w:header="0"/>
          <w:type w:val="continuous"/>
        </w:sectPr>
      </w:pPr>
    </w:p>
    <w:p>
      <w:pPr>
        <w:spacing w:after="0" w:line="4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14651 North Dallas Parkway</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75254</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(Address of principal executive offices) (Zip Code)</w:t>
      </w:r>
    </w:p>
    <w:p>
      <w:pPr>
        <w:sectPr>
          <w:pgSz w:w="11900" w:h="16838" w:orient="portrait"/>
          <w:cols w:equalWidth="0" w:num="1">
            <w:col w:w="10740"/>
          </w:cols>
          <w:pgMar w:left="320" w:top="206" w:right="839" w:bottom="1440" w:gutter="0" w:footer="0" w:header="0"/>
          <w:type w:val="continuous"/>
        </w:sectPr>
      </w:pPr>
    </w:p>
    <w:p>
      <w:pPr>
        <w:spacing w:after="0" w:line="2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Paul Gohr</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(214) 357-6181</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1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206"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Section 1.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filing this Form SD pursuant to Rule 13p-1 under the Securities Exchange Act of 1934 for the reporting period from January 1, 2022 to December 31, 2022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7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w:t>
      </w:r>
      <w:r>
        <w:rPr>
          <w:rFonts w:ascii="Arial" w:cs="Arial" w:eastAsia="Arial" w:hAnsi="Arial"/>
          <w:sz w:val="16"/>
          <w:szCs w:val="16"/>
          <w:b w:val="1"/>
          <w:bCs w:val="1"/>
          <w:color w:val="auto"/>
        </w:rPr>
        <w:t>conflict minerals</w:t>
      </w:r>
      <w:r>
        <w:rPr>
          <w:rFonts w:ascii="Arial" w:cs="Arial" w:eastAsia="Arial" w:hAnsi="Arial"/>
          <w:sz w:val="16"/>
          <w:szCs w:val="16"/>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spacing w:after="0" w:line="2" w:lineRule="exact"/>
        <w:rPr>
          <w:sz w:val="20"/>
          <w:szCs w:val="20"/>
          <w:color w:val="auto"/>
        </w:rPr>
      </w:pPr>
    </w:p>
    <w:p>
      <w:pPr>
        <w:jc w:val="both"/>
        <w:ind w:firstLine="8"/>
        <w:spacing w:after="0" w:line="255" w:lineRule="auto"/>
        <w:tabs>
          <w:tab w:leader="none" w:pos="25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https://investors.cecoenviro.com/sec-filings. The content on, or accessible through, any website referred to in this Form SD is not incorporated by reference into this Form SD unless expressly noted.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 is filed as part of this Form SD.</w:t>
      </w:r>
    </w:p>
    <w:p>
      <w:pPr>
        <w:spacing w:after="0" w:line="200" w:lineRule="exact"/>
        <w:rPr>
          <w:sz w:val="20"/>
          <w:szCs w:val="20"/>
          <w:color w:val="auto"/>
        </w:rPr>
      </w:pP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20"/>
        <w:spacing w:after="0"/>
        <w:tabs>
          <w:tab w:leader="none" w:pos="16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64" w:lineRule="exact"/>
        <w:rPr>
          <w:sz w:val="20"/>
          <w:szCs w:val="20"/>
          <w:color w:val="auto"/>
        </w:rPr>
      </w:pPr>
    </w:p>
    <w:p>
      <w:pPr>
        <w:ind w:left="400"/>
        <w:spacing w:after="0"/>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FF"/>
        </w:rPr>
        <w:t>Conflict Minerals Report of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-10160</wp:posOffset>
            </wp:positionV>
            <wp:extent cx="2599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By:   /s/ Paul M. Gohr</w:t>
            </w:r>
          </w:p>
        </w:tc>
        <w:tc>
          <w:tcPr>
            <w:tcW w:w="194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May 24, 2023</w:t>
            </w:r>
          </w:p>
        </w:tc>
        <w:tc>
          <w:tcPr>
            <w:tcW w:w="20" w:type="dxa"/>
            <w:vAlign w:val="bottom"/>
          </w:tcPr>
          <w:p>
            <w:pPr>
              <w:spacing w:after="0"/>
              <w:rPr>
                <w:sz w:val="20"/>
                <w:szCs w:val="20"/>
                <w:color w:val="auto"/>
              </w:rPr>
            </w:pPr>
          </w:p>
        </w:tc>
      </w:tr>
      <w:tr>
        <w:trPr>
          <w:trHeight w:val="249"/>
        </w:trPr>
        <w:tc>
          <w:tcPr>
            <w:tcW w:w="500" w:type="dxa"/>
            <w:vAlign w:val="bottom"/>
          </w:tcPr>
          <w:p>
            <w:pPr>
              <w:spacing w:after="0"/>
              <w:rPr>
                <w:sz w:val="21"/>
                <w:szCs w:val="21"/>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M. Gohr</w:t>
            </w:r>
          </w:p>
        </w:tc>
        <w:tc>
          <w:tcPr>
            <w:tcW w:w="1940" w:type="dxa"/>
            <w:vAlign w:val="bottom"/>
          </w:tcPr>
          <w:p>
            <w:pPr>
              <w:spacing w:after="0"/>
              <w:rPr>
                <w:sz w:val="21"/>
                <w:szCs w:val="21"/>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19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76"/>
        </w:trPr>
        <w:tc>
          <w:tcPr>
            <w:tcW w:w="5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2022 to December 31, 2022</w:t>
      </w:r>
    </w:p>
    <w:p>
      <w:pPr>
        <w:spacing w:after="0" w:line="18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 has been prepared pursuant to Rule 13p-1 and Form SD promulgated under the Securities Exchange Act of 1934 for the reporting period from January 1, 2022 to December 31, 2022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5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Arial" w:cs="Arial" w:eastAsia="Arial" w:hAnsi="Arial"/>
          <w:sz w:val="17"/>
          <w:szCs w:val="17"/>
          <w:b w:val="1"/>
          <w:bCs w:val="1"/>
          <w:i w:val="1"/>
          <w:iCs w:val="1"/>
          <w:color w:val="auto"/>
        </w:rPr>
        <w:t>conflict minerals</w:t>
      </w:r>
      <w:r>
        <w:rPr>
          <w:rFonts w:ascii="Arial" w:cs="Arial" w:eastAsia="Arial" w:hAnsi="Arial"/>
          <w:sz w:val="17"/>
          <w:szCs w:val="17"/>
          <w:color w:val="auto"/>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37" w:lineRule="exact"/>
        <w:rPr>
          <w:sz w:val="20"/>
          <w:szCs w:val="20"/>
          <w:color w:val="auto"/>
        </w:rPr>
      </w:pPr>
    </w:p>
    <w:p>
      <w:pPr>
        <w:ind w:right="60" w:firstLine="749"/>
        <w:spacing w:after="0" w:line="288"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including its Annual Report on Form 10-K for the year ended December 31, 2022 and subsequent Quarterly Reports on Form 10-Q. The Company makes these statements as of the date of this disclosure and undertakes no obligation to update them unless otherwise required by law.</w:t>
      </w:r>
    </w:p>
    <w:p>
      <w:pPr>
        <w:spacing w:after="0" w:line="128"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6"/>
          <w:szCs w:val="16"/>
          <w:b w:val="1"/>
          <w:bCs w:val="1"/>
          <w:i w:val="1"/>
          <w:iCs w:val="1"/>
          <w:color w:val="auto"/>
        </w:rPr>
        <w:t>products</w:t>
      </w:r>
      <w:r>
        <w:rPr>
          <w:rFonts w:ascii="Arial" w:cs="Arial" w:eastAsia="Arial" w:hAnsi="Arial"/>
          <w:sz w:val="16"/>
          <w:szCs w:val="16"/>
          <w:color w:val="auto"/>
        </w:rPr>
        <w:t>”). As required by Form SD, the Company has conducted a good faith reasonable country of origin inquiry (“</w:t>
      </w:r>
      <w:r>
        <w:rPr>
          <w:rFonts w:ascii="Arial" w:cs="Arial" w:eastAsia="Arial" w:hAnsi="Arial"/>
          <w:sz w:val="16"/>
          <w:szCs w:val="16"/>
          <w:b w:val="1"/>
          <w:bCs w:val="1"/>
          <w:i w:val="1"/>
          <w:iCs w:val="1"/>
          <w:color w:val="auto"/>
        </w:rPr>
        <w:t>RCOI</w:t>
      </w:r>
      <w:r>
        <w:rPr>
          <w:rFonts w:ascii="Arial" w:cs="Arial" w:eastAsia="Arial" w:hAnsi="Arial"/>
          <w:sz w:val="16"/>
          <w:szCs w:val="16"/>
          <w:color w:val="auto"/>
        </w:rPr>
        <w:t>”) regarding the conflict minerals included in the products during the Reporting Period, which the Company refers to as the “</w:t>
      </w:r>
      <w:r>
        <w:rPr>
          <w:rFonts w:ascii="Arial" w:cs="Arial" w:eastAsia="Arial" w:hAnsi="Arial"/>
          <w:sz w:val="16"/>
          <w:szCs w:val="16"/>
          <w:b w:val="1"/>
          <w:bCs w:val="1"/>
          <w:i w:val="1"/>
          <w:iCs w:val="1"/>
          <w:color w:val="auto"/>
        </w:rPr>
        <w:t>Subject Minerals</w:t>
      </w:r>
      <w:r>
        <w:rPr>
          <w:rFonts w:ascii="Arial" w:cs="Arial" w:eastAsia="Arial" w:hAnsi="Arial"/>
          <w:sz w:val="16"/>
          <w:szCs w:val="16"/>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https://investors.cecoenviro.com/sec-filings. The content on, or accessible through, any website referred to in this Report is not incorporated by reference into this Report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ind w:left="1020" w:hanging="503"/>
        <w:spacing w:after="0"/>
        <w:tabs>
          <w:tab w:leader="none" w:pos="1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RCOI and Due Diligence Process.</w:t>
      </w:r>
    </w:p>
    <w:p>
      <w:pPr>
        <w:spacing w:after="0" w:line="229"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Third Edition, including the related supplements on gold, tin, tantalum and tungsten (the “</w:t>
      </w:r>
      <w:r>
        <w:rPr>
          <w:rFonts w:ascii="Arial" w:cs="Arial" w:eastAsia="Arial" w:hAnsi="Arial"/>
          <w:sz w:val="17"/>
          <w:szCs w:val="17"/>
          <w:b w:val="1"/>
          <w:bCs w:val="1"/>
          <w:i w:val="1"/>
          <w:iCs w:val="1"/>
          <w:color w:val="auto"/>
        </w:rPr>
        <w:t>OECD Guidelines</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w:t>
      </w:r>
    </w:p>
    <w:p>
      <w:pPr>
        <w:spacing w:after="0" w:line="229"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51" w:lineRule="exact"/>
        <w:rPr>
          <w:sz w:val="20"/>
          <w:szCs w:val="20"/>
          <w:color w:val="auto"/>
        </w:rPr>
      </w:pPr>
    </w:p>
    <w:p>
      <w:pPr>
        <w:ind w:right="280" w:firstLine="749"/>
        <w:spacing w:after="0" w:line="273" w:lineRule="auto"/>
        <w:rPr>
          <w:sz w:val="20"/>
          <w:szCs w:val="20"/>
          <w:color w:val="auto"/>
        </w:rPr>
      </w:pPr>
      <w:r>
        <w:rPr>
          <w:rFonts w:ascii="Arial" w:cs="Arial" w:eastAsia="Arial" w:hAnsi="Arial"/>
          <w:sz w:val="17"/>
          <w:szCs w:val="17"/>
          <w:color w:val="auto"/>
        </w:rPr>
        <w:t>The Company worked to identify direct suppliers that it believed potentially provided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during the Reporting Period. The Company then included additional questions regarding conflict minerals in its Supplier Questionnaire on Conflict Minerals, which the Company refers to as the “</w:t>
      </w:r>
      <w:r>
        <w:rPr>
          <w:rFonts w:ascii="Arial" w:cs="Arial" w:eastAsia="Arial" w:hAnsi="Arial"/>
          <w:sz w:val="17"/>
          <w:szCs w:val="17"/>
          <w:b w:val="1"/>
          <w:bCs w:val="1"/>
          <w:i w:val="1"/>
          <w:iCs w:val="1"/>
          <w:color w:val="auto"/>
        </w:rPr>
        <w:t>Supplier Questionnaire</w:t>
      </w:r>
      <w:r>
        <w:rPr>
          <w:rFonts w:ascii="Arial" w:cs="Arial" w:eastAsia="Arial" w:hAnsi="Arial"/>
          <w:sz w:val="17"/>
          <w:szCs w:val="17"/>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3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 operates as a leading global provider of engineered technologies focused on critical solutions in the engineered systems and industrial process solutions segments. The Company, with respect to the Reporting Period, reasonably determined that both of its segments’ product groups contained Subject Minerals.</w:t>
      </w:r>
    </w:p>
    <w:p>
      <w:pPr>
        <w:spacing w:after="0" w:line="143" w:lineRule="exact"/>
        <w:rPr>
          <w:sz w:val="20"/>
          <w:szCs w:val="20"/>
          <w:color w:val="auto"/>
        </w:rPr>
      </w:pPr>
    </w:p>
    <w:p>
      <w:pPr>
        <w:ind w:right="180" w:firstLine="749"/>
        <w:spacing w:after="0" w:line="271" w:lineRule="auto"/>
        <w:rPr>
          <w:sz w:val="20"/>
          <w:szCs w:val="20"/>
          <w:color w:val="auto"/>
        </w:rPr>
      </w:pPr>
      <w:r>
        <w:rPr>
          <w:rFonts w:ascii="Arial" w:cs="Arial" w:eastAsia="Arial" w:hAnsi="Arial"/>
          <w:sz w:val="17"/>
          <w:szCs w:val="17"/>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Arial" w:cs="Arial" w:eastAsia="Arial" w:hAnsi="Arial"/>
          <w:sz w:val="17"/>
          <w:szCs w:val="17"/>
          <w:i w:val="1"/>
          <w:iCs w:val="1"/>
          <w:color w:val="auto"/>
        </w:rPr>
        <w:t>e.g.</w:t>
      </w:r>
      <w:r>
        <w:rPr>
          <w:rFonts w:ascii="Arial" w:cs="Arial" w:eastAsia="Arial" w:hAnsi="Arial"/>
          <w:sz w:val="17"/>
          <w:szCs w:val="17"/>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51"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In general, the Company obtained completed Supplier Questionnaires or similar representations from Covered Suppliers. Such representations included, from certain Covered Suppliers, the Responsible Minerals Initiative (“RMI”) Conflict Minerals Reporting Template, indicating the facility at which the Subject Minerals were processed.</w:t>
      </w:r>
    </w:p>
    <w:p>
      <w:pPr>
        <w:spacing w:after="0" w:line="143"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ind w:right="20"/>
        <w:spacing w:after="0" w:line="254" w:lineRule="auto"/>
        <w:rPr>
          <w:sz w:val="20"/>
          <w:szCs w:val="20"/>
          <w:color w:val="auto"/>
        </w:rPr>
      </w:pPr>
      <w:r>
        <w:rPr>
          <w:rFonts w:ascii="Arial" w:cs="Arial" w:eastAsia="Arial" w:hAnsi="Arial"/>
          <w:sz w:val="18"/>
          <w:szCs w:val="18"/>
          <w:color w:val="auto"/>
        </w:rPr>
        <w:t>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due diligence process is based on the OECD Guidelines. Due diligence measures undertaken by the Company during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included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225"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The Company has established an internal team to manage conflict minerals engagement with its suppliers. During the Reporting Period, the Company held meetings with legal advisors, the Company’s executive management,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Measures Taken to Strengthen Engagement with Suppliers.</w:t>
      </w:r>
    </w:p>
    <w:p>
      <w:pPr>
        <w:spacing w:after="0" w:line="225" w:lineRule="exact"/>
        <w:rPr>
          <w:sz w:val="20"/>
          <w:szCs w:val="20"/>
          <w:color w:val="auto"/>
        </w:rPr>
      </w:pPr>
    </w:p>
    <w:p>
      <w:pPr>
        <w:ind w:right="200" w:firstLine="749"/>
        <w:spacing w:after="0" w:line="279" w:lineRule="auto"/>
        <w:rPr>
          <w:sz w:val="20"/>
          <w:szCs w:val="20"/>
          <w:color w:val="auto"/>
        </w:rPr>
      </w:pPr>
      <w:r>
        <w:rPr>
          <w:rFonts w:ascii="Arial" w:cs="Arial" w:eastAsia="Arial" w:hAnsi="Arial"/>
          <w:sz w:val="17"/>
          <w:szCs w:val="17"/>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Conflict Minerals Policy.</w:t>
      </w:r>
    </w:p>
    <w:p>
      <w:pPr>
        <w:spacing w:after="0" w:line="225"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https://investors.cecoenviro.com/conflict-minerals-policy.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225" w:lineRule="exact"/>
        <w:rPr>
          <w:sz w:val="20"/>
          <w:szCs w:val="20"/>
          <w:color w:val="auto"/>
        </w:rPr>
      </w:pPr>
    </w:p>
    <w:p>
      <w:pPr>
        <w:ind w:right="520" w:firstLine="749"/>
        <w:spacing w:after="0" w:line="308" w:lineRule="auto"/>
        <w:rPr>
          <w:sz w:val="20"/>
          <w:szCs w:val="20"/>
          <w:color w:val="auto"/>
        </w:rPr>
      </w:pPr>
      <w:r>
        <w:rPr>
          <w:rFonts w:ascii="Arial" w:cs="Arial" w:eastAsia="Arial" w:hAnsi="Arial"/>
          <w:sz w:val="17"/>
          <w:szCs w:val="17"/>
          <w:color w:val="auto"/>
        </w:rPr>
        <w:t>As discussed above, the Company continues to assess its supply chain risks and work with its suppliers in developing greater supply chain transparency. This includes surveying various procurement and supply chain personnel for Conflict Mineral policy compliance.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right="20"/>
        <w:spacing w:after="0" w:line="255" w:lineRule="auto"/>
        <w:rPr>
          <w:sz w:val="20"/>
          <w:szCs w:val="20"/>
          <w:color w:val="auto"/>
        </w:rPr>
      </w:pPr>
      <w:r>
        <w:rPr>
          <w:rFonts w:ascii="Arial" w:cs="Arial" w:eastAsia="Arial" w:hAnsi="Arial"/>
          <w:sz w:val="18"/>
          <w:szCs w:val="18"/>
          <w:color w:val="auto"/>
        </w:rPr>
        <w:t>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22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225" w:lineRule="exact"/>
        <w:rPr>
          <w:sz w:val="20"/>
          <w:szCs w:val="20"/>
          <w:color w:val="auto"/>
        </w:rPr>
      </w:pPr>
    </w:p>
    <w:p>
      <w:pPr>
        <w:ind w:right="1000" w:firstLine="749"/>
        <w:spacing w:after="0" w:line="277" w:lineRule="auto"/>
        <w:rPr>
          <w:sz w:val="20"/>
          <w:szCs w:val="20"/>
          <w:color w:val="auto"/>
        </w:rPr>
      </w:pPr>
      <w:r>
        <w:rPr>
          <w:rFonts w:ascii="Arial" w:cs="Arial" w:eastAsia="Arial" w:hAnsi="Arial"/>
          <w:sz w:val="18"/>
          <w:szCs w:val="18"/>
          <w:color w:val="auto"/>
        </w:rPr>
        <w:t>The Form SD and this Report are publicly available at https://investors.cecoenviro.com/sec-filings and meet the OECD Guidelines’ recommendation to report annually on supply chain due diligence.</w:t>
      </w:r>
    </w:p>
    <w:p>
      <w:pPr>
        <w:spacing w:after="0" w:line="166" w:lineRule="exact"/>
        <w:rPr>
          <w:sz w:val="20"/>
          <w:szCs w:val="20"/>
          <w:color w:val="auto"/>
        </w:rPr>
      </w:pPr>
    </w:p>
    <w:p>
      <w:pPr>
        <w:ind w:left="960" w:hanging="443"/>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29"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53" w:lineRule="exact"/>
        <w:rPr>
          <w:sz w:val="20"/>
          <w:szCs w:val="20"/>
          <w:color w:val="auto"/>
        </w:rPr>
      </w:pPr>
    </w:p>
    <w:p>
      <w:pPr>
        <w:ind w:left="920" w:hanging="403"/>
        <w:spacing w:after="0"/>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Due Diligence and Risk Mitigation.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22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has established a supplier code of conduct to prohibit suppliers from supplying the Company with certain conflict minerals originating in the Covered Countries.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 expects to continue to improve its supply chain due diligence efforts. Such measures may include, but are not limited to:</w:t>
      </w:r>
    </w:p>
    <w:p>
      <w:pPr>
        <w:spacing w:after="0" w:line="198"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response rate for the RCOI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ind w:left="378" w:hanging="378"/>
        <w:spacing w:after="0"/>
        <w:tabs>
          <w:tab w:leader="none" w:pos="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surveying various internal procurement and supply chain personnel for Conflict Mineral policy compliance;</w:t>
      </w:r>
    </w:p>
    <w:p>
      <w:pPr>
        <w:spacing w:after="0" w:line="184" w:lineRule="exact"/>
        <w:rPr>
          <w:rFonts w:ascii="Arial" w:cs="Arial" w:eastAsia="Arial" w:hAnsi="Arial"/>
          <w:sz w:val="18"/>
          <w:szCs w:val="18"/>
          <w:color w:val="auto"/>
        </w:rPr>
      </w:pPr>
    </w:p>
    <w:p>
      <w:pPr>
        <w:ind w:left="378" w:right="60" w:hanging="378"/>
        <w:spacing w:after="0" w:line="277" w:lineRule="auto"/>
        <w:tabs>
          <w:tab w:leader="none" w:pos="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compare RCOI results to information collected via independent conflict free smelter validation programs such as the RMI Responsible Mineral Assurance Process standards; and</w:t>
      </w:r>
    </w:p>
    <w:p>
      <w:pPr>
        <w:spacing w:after="0" w:line="143" w:lineRule="exact"/>
        <w:rPr>
          <w:rFonts w:ascii="Arial" w:cs="Arial" w:eastAsia="Arial" w:hAnsi="Arial"/>
          <w:sz w:val="18"/>
          <w:szCs w:val="18"/>
          <w:color w:val="auto"/>
        </w:rPr>
      </w:pPr>
    </w:p>
    <w:p>
      <w:pPr>
        <w:ind w:left="378" w:hanging="378"/>
        <w:spacing w:after="0" w:line="277" w:lineRule="auto"/>
        <w:tabs>
          <w:tab w:leader="none" w:pos="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smelters identified as a result of the RCOI process and requesting their compliance with an industry program such as the RMI Responsible Mineral Assurance Process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421640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218"/>
      </w:cols>
      <w:pgMar w:left="702" w:top="12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2023-05-24T06:48:39Z</dcterms:created>
  <dcterms:modified xsi:type="dcterms:W3CDTF">2023-05-24T06:48:39Z</dcterms:modified>
</cp:coreProperties>
</file>