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tbl>
      <w:tblPr>
        <w:tblLayout w:type="fixed"/>
        <w:tblInd w:w="500" w:type="dxa"/>
        <w:tblCellMar>
          <w:top w:w="0" w:type="dxa"/>
          <w:left w:w="0" w:type="dxa"/>
          <w:bottom w:w="0" w:type="dxa"/>
          <w:right w:w="0" w:type="dxa"/>
        </w:tblCellMar>
      </w:tblPr>
      <w:tr>
        <w:trPr>
          <w:trHeight w:val="225"/>
        </w:trPr>
        <w:tc>
          <w:tcPr>
            <w:tcW w:w="2640" w:type="dxa"/>
            <w:vAlign w:val="bottom"/>
          </w:tcPr>
          <w:p>
            <w:pPr>
              <w:jc w:val="center"/>
              <w:ind w:right="682"/>
              <w:spacing w:after="0"/>
              <w:rPr>
                <w:sz w:val="20"/>
                <w:szCs w:val="20"/>
                <w:color w:val="auto"/>
              </w:rPr>
            </w:pPr>
            <w:r>
              <w:rPr>
                <w:rFonts w:ascii="Arial" w:cs="Arial" w:eastAsia="Arial" w:hAnsi="Arial"/>
                <w:sz w:val="18"/>
                <w:szCs w:val="18"/>
                <w:b w:val="1"/>
                <w:bCs w:val="1"/>
                <w:color w:val="auto"/>
                <w:w w:val="91"/>
              </w:rPr>
              <w:t>Delaware</w:t>
            </w:r>
          </w:p>
        </w:tc>
        <w:tc>
          <w:tcPr>
            <w:tcW w:w="2460" w:type="dxa"/>
            <w:vAlign w:val="bottom"/>
          </w:tcPr>
          <w:p>
            <w:pPr>
              <w:ind w:left="760"/>
              <w:spacing w:after="0"/>
              <w:rPr>
                <w:sz w:val="20"/>
                <w:szCs w:val="20"/>
                <w:color w:val="auto"/>
              </w:rPr>
            </w:pPr>
            <w:r>
              <w:rPr>
                <w:rFonts w:ascii="Arial" w:cs="Arial" w:eastAsia="Arial" w:hAnsi="Arial"/>
                <w:sz w:val="18"/>
                <w:szCs w:val="18"/>
                <w:b w:val="1"/>
                <w:bCs w:val="1"/>
                <w:color w:val="auto"/>
              </w:rPr>
              <w:t>000-07099</w:t>
            </w:r>
          </w:p>
        </w:tc>
        <w:tc>
          <w:tcPr>
            <w:tcW w:w="2040" w:type="dxa"/>
            <w:vAlign w:val="bottom"/>
          </w:tcPr>
          <w:p>
            <w:pPr>
              <w:jc w:val="center"/>
              <w:ind w:left="822"/>
              <w:spacing w:after="0"/>
              <w:rPr>
                <w:sz w:val="20"/>
                <w:szCs w:val="20"/>
                <w:color w:val="auto"/>
              </w:rPr>
            </w:pPr>
            <w:r>
              <w:rPr>
                <w:rFonts w:ascii="Arial" w:cs="Arial" w:eastAsia="Arial" w:hAnsi="Arial"/>
                <w:sz w:val="18"/>
                <w:szCs w:val="18"/>
                <w:b w:val="1"/>
                <w:bCs w:val="1"/>
                <w:color w:val="auto"/>
                <w:w w:val="89"/>
              </w:rPr>
              <w:t>13-2566064</w:t>
            </w:r>
          </w:p>
        </w:tc>
      </w:tr>
      <w:tr>
        <w:trPr>
          <w:trHeight w:val="149"/>
        </w:trPr>
        <w:tc>
          <w:tcPr>
            <w:tcW w:w="2640" w:type="dxa"/>
            <w:vAlign w:val="bottom"/>
          </w:tcPr>
          <w:p>
            <w:pPr>
              <w:jc w:val="center"/>
              <w:ind w:right="6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46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40" w:type="dxa"/>
            <w:vAlign w:val="bottom"/>
          </w:tcPr>
          <w:p>
            <w:pPr>
              <w:jc w:val="center"/>
              <w:ind w:right="682"/>
              <w:spacing w:after="0"/>
              <w:rPr>
                <w:sz w:val="20"/>
                <w:szCs w:val="20"/>
                <w:color w:val="auto"/>
              </w:rPr>
            </w:pPr>
            <w:r>
              <w:rPr>
                <w:rFonts w:ascii="Arial" w:cs="Arial" w:eastAsia="Arial" w:hAnsi="Arial"/>
                <w:sz w:val="14"/>
                <w:szCs w:val="14"/>
                <w:b w:val="1"/>
                <w:bCs w:val="1"/>
                <w:color w:val="auto"/>
                <w:w w:val="94"/>
              </w:rPr>
              <w:t>incorporation or organization)</w:t>
            </w:r>
          </w:p>
        </w:tc>
        <w:tc>
          <w:tcPr>
            <w:tcW w:w="2460" w:type="dxa"/>
            <w:vAlign w:val="bottom"/>
          </w:tcPr>
          <w:p>
            <w:pPr>
              <w:ind w:left="74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14651 North Dallas Parkway</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Dallas, Texas 75254</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Matthew Eckl</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(214) 357-6181</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520" w:right="3120" w:hanging="512"/>
        <w:spacing w:after="0" w:line="277" w:lineRule="auto"/>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Section 1. Conflict Minerals Disclosure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06" w:right="299" w:bottom="1440" w:gutter="0" w:footer="0" w:header="0"/>
        </w:sectPr>
      </w:pPr>
    </w:p>
    <w:bookmarkStart w:id="1" w:name="page2"/>
    <w:bookmarkEnd w:id="1"/>
    <w:p>
      <w:pPr>
        <w:ind w:right="420" w:firstLine="751"/>
        <w:spacing w:after="0" w:line="308" w:lineRule="auto"/>
        <w:rPr>
          <w:sz w:val="20"/>
          <w:szCs w:val="20"/>
          <w:color w:val="auto"/>
        </w:rPr>
      </w:pPr>
      <w:r>
        <w:rPr>
          <w:rFonts w:ascii="Arial" w:cs="Arial" w:eastAsia="Arial" w:hAnsi="Arial"/>
          <w:sz w:val="17"/>
          <w:szCs w:val="17"/>
          <w:color w:val="auto"/>
        </w:rPr>
        <w:t>CECO Environmental Corp. (including its consolidated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filing this Form SD pursuant to Rule 13p-1 under the Securities Exchange Act of 1934 for the reporting period from January 1, 2018 to December 31, 2018 (the “</w:t>
      </w:r>
      <w:r>
        <w:rPr>
          <w:rFonts w:ascii="Arial" w:cs="Arial" w:eastAsia="Arial" w:hAnsi="Arial"/>
          <w:sz w:val="17"/>
          <w:szCs w:val="17"/>
          <w:b w:val="1"/>
          <w:bCs w:val="1"/>
          <w:i w:val="1"/>
          <w:iCs w:val="1"/>
          <w:color w:val="auto"/>
        </w:rPr>
        <w:t>Reporting Period</w:t>
      </w:r>
      <w:r>
        <w:rPr>
          <w:rFonts w:ascii="Arial" w:cs="Arial" w:eastAsia="Arial" w:hAnsi="Arial"/>
          <w:sz w:val="17"/>
          <w:szCs w:val="17"/>
          <w:color w:val="auto"/>
        </w:rPr>
        <w:t>”).</w:t>
      </w:r>
    </w:p>
    <w:p>
      <w:pPr>
        <w:spacing w:after="0" w:line="160" w:lineRule="exact"/>
        <w:rPr>
          <w:sz w:val="20"/>
          <w:szCs w:val="20"/>
          <w:color w:val="auto"/>
        </w:rPr>
      </w:pPr>
    </w:p>
    <w:p>
      <w:pPr>
        <w:ind w:firstLine="751"/>
        <w:spacing w:after="0" w:line="288" w:lineRule="auto"/>
        <w:rPr>
          <w:sz w:val="20"/>
          <w:szCs w:val="20"/>
          <w:color w:val="auto"/>
        </w:rPr>
      </w:pPr>
      <w:r>
        <w:rPr>
          <w:rFonts w:ascii="Arial" w:cs="Arial" w:eastAsia="Arial" w:hAnsi="Arial"/>
          <w:sz w:val="16"/>
          <w:szCs w:val="16"/>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6"/>
          <w:szCs w:val="16"/>
          <w:b w:val="1"/>
          <w:bCs w:val="1"/>
          <w:i w:val="1"/>
          <w:iCs w:val="1"/>
          <w:color w:val="auto"/>
        </w:rPr>
        <w:t>conflict minerals</w:t>
      </w:r>
      <w:r>
        <w:rPr>
          <w:rFonts w:ascii="Arial" w:cs="Arial" w:eastAsia="Arial" w:hAnsi="Arial"/>
          <w:sz w:val="16"/>
          <w:szCs w:val="16"/>
          <w:color w:val="auto"/>
        </w:rPr>
        <w:t>” as: (i)(a) columbite-tantalite (or coltan, the metal ore from which tantalum is extracted), (b) cassiterite (the metal ore from which tin is extracted), (c) gold and</w:t>
      </w:r>
    </w:p>
    <w:p>
      <w:pPr>
        <w:ind w:right="20" w:firstLine="8"/>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w:t>
      </w:r>
    </w:p>
    <w:p>
      <w:pPr>
        <w:spacing w:after="0" w:line="217" w:lineRule="exact"/>
        <w:rPr>
          <w:sz w:val="20"/>
          <w:szCs w:val="20"/>
          <w:color w:val="auto"/>
        </w:rPr>
      </w:pPr>
    </w:p>
    <w:p>
      <w:pPr>
        <w:ind w:right="160" w:firstLine="751"/>
        <w:spacing w:after="0" w:line="270" w:lineRule="auto"/>
        <w:rPr>
          <w:sz w:val="20"/>
          <w:szCs w:val="20"/>
          <w:color w:val="auto"/>
        </w:rPr>
      </w:pPr>
      <w:r>
        <w:rPr>
          <w:rFonts w:ascii="Arial" w:cs="Arial" w:eastAsia="Arial" w:hAnsi="Arial"/>
          <w:sz w:val="17"/>
          <w:szCs w:val="17"/>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its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its additional due diligence regarding the sources of such Subject Minerals, are contained in the Company’s Conflict Minerals Report, a copy of which is filed as Exhibit 1.01 to this Form SD, and is publicly available at http://www.cecoenviro.com/sec-filings. The content on, or accessible through, any website referred to in this Form SD is not incorporated by reference into this Form SD unless expressly noted.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specified in Section 2 of Form SD, the Company is hereby filing its Conflict Minerals Report as Exhibit 1.01 to this Form SD.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exhibit is filed as part of this Form SD.</w:t>
      </w: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291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122"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Conflict Minerals Report of CECO Environmental Corp.</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By: /s/ Matthew Eckl</w:t>
            </w:r>
          </w:p>
        </w:tc>
        <w:tc>
          <w:tcPr>
            <w:tcW w:w="138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May 28, 2019</w:t>
            </w:r>
          </w:p>
        </w:tc>
      </w:tr>
      <w:tr>
        <w:trPr>
          <w:trHeight w:val="209"/>
        </w:trPr>
        <w:tc>
          <w:tcPr>
            <w:tcW w:w="360" w:type="dxa"/>
            <w:vAlign w:val="bottom"/>
          </w:tcPr>
          <w:p>
            <w:pPr>
              <w:spacing w:after="0"/>
              <w:rPr>
                <w:sz w:val="18"/>
                <w:szCs w:val="18"/>
                <w:color w:val="auto"/>
              </w:rPr>
            </w:pPr>
          </w:p>
        </w:tc>
        <w:tc>
          <w:tcPr>
            <w:tcW w:w="3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Eckl</w:t>
            </w:r>
          </w:p>
        </w:tc>
        <w:tc>
          <w:tcPr>
            <w:tcW w:w="1380" w:type="dxa"/>
            <w:vAlign w:val="bottom"/>
          </w:tcPr>
          <w:p>
            <w:pPr>
              <w:spacing w:after="0"/>
              <w:rPr>
                <w:sz w:val="18"/>
                <w:szCs w:val="18"/>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r>
      <w:tr>
        <w:trPr>
          <w:trHeight w:val="230"/>
        </w:trPr>
        <w:tc>
          <w:tcPr>
            <w:tcW w:w="36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80" w:type="dxa"/>
            <w:vAlign w:val="bottom"/>
          </w:tcPr>
          <w:p>
            <w:pPr>
              <w:spacing w:after="0"/>
              <w:rPr>
                <w:sz w:val="20"/>
                <w:szCs w:val="20"/>
                <w:color w:val="auto"/>
              </w:rPr>
            </w:pPr>
          </w:p>
        </w:tc>
        <w:tc>
          <w:tcPr>
            <w:tcW w:w="3320" w:type="dxa"/>
            <w:vAlign w:val="bottom"/>
          </w:tcPr>
          <w:p>
            <w:pPr>
              <w:spacing w:after="0"/>
              <w:rPr>
                <w:sz w:val="20"/>
                <w:szCs w:val="20"/>
                <w:color w:val="auto"/>
              </w:rPr>
            </w:pPr>
          </w:p>
        </w:tc>
      </w:tr>
    </w:tbl>
    <w:p>
      <w:pPr>
        <w:sectPr>
          <w:pgSz w:w="11900" w:h="16838" w:orient="portrait"/>
          <w:cols w:equalWidth="0" w:num="1">
            <w:col w:w="11400"/>
          </w:cols>
          <w:pgMar w:left="240" w:top="233" w:right="259" w:bottom="1440" w:gutter="0" w:footer="0" w:header="0"/>
        </w:sectPr>
      </w:pPr>
    </w:p>
    <w:bookmarkStart w:id="2" w:name="page3"/>
    <w:bookmarkEnd w:id="2"/>
    <w:p>
      <w:pPr>
        <w:ind w:left="9900"/>
        <w:spacing w:after="0"/>
        <w:rPr>
          <w:sz w:val="20"/>
          <w:szCs w:val="20"/>
          <w:color w:val="auto"/>
        </w:rPr>
      </w:pPr>
      <w:r>
        <w:rPr>
          <w:rFonts w:ascii="Arial" w:cs="Arial" w:eastAsia="Arial" w:hAnsi="Arial"/>
          <w:sz w:val="18"/>
          <w:szCs w:val="18"/>
          <w:color w:val="auto"/>
        </w:rPr>
        <w:t>Exhibit 1.01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CECO Environmental Corp.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reporting period from January 1, 2018 to December 31, 2018</w:t>
      </w:r>
    </w:p>
    <w:p>
      <w:pPr>
        <w:spacing w:after="0" w:line="211" w:lineRule="exact"/>
        <w:rPr>
          <w:sz w:val="20"/>
          <w:szCs w:val="20"/>
          <w:color w:val="auto"/>
        </w:rPr>
      </w:pPr>
    </w:p>
    <w:p>
      <w:pPr>
        <w:ind w:right="320" w:firstLine="650"/>
        <w:spacing w:after="0" w:line="264"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CECO Environmental Corp.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been prepared pursuant to Rule 13p-1 and Form SD promulgated under the Securities Exchange Act of 1934 for the reporting period from January 1, 2018 to December 31, 2018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81" w:lineRule="exact"/>
        <w:rPr>
          <w:sz w:val="20"/>
          <w:szCs w:val="20"/>
          <w:color w:val="auto"/>
        </w:rPr>
      </w:pPr>
    </w:p>
    <w:p>
      <w:pPr>
        <w:ind w:right="20" w:firstLine="650"/>
        <w:spacing w:after="0" w:line="288" w:lineRule="auto"/>
        <w:rPr>
          <w:sz w:val="20"/>
          <w:szCs w:val="20"/>
          <w:color w:val="auto"/>
        </w:rPr>
      </w:pPr>
      <w:r>
        <w:rPr>
          <w:rFonts w:ascii="Arial" w:cs="Arial" w:eastAsia="Arial" w:hAnsi="Arial"/>
          <w:sz w:val="16"/>
          <w:szCs w:val="16"/>
          <w:color w:val="auto"/>
        </w:rPr>
        <w:t>Rule 13p-1, through Form SD, requires the disclosure of certain information if a company manufactures or contracts to manufacture products for which certain “conflict minerals” (as defined later) are necessary to the functionality or production of such products. Form SD defines “</w:t>
      </w:r>
      <w:r>
        <w:rPr>
          <w:rFonts w:ascii="Arial" w:cs="Arial" w:eastAsia="Arial" w:hAnsi="Arial"/>
          <w:sz w:val="16"/>
          <w:szCs w:val="16"/>
          <w:b w:val="1"/>
          <w:bCs w:val="1"/>
          <w:i w:val="1"/>
          <w:iCs w:val="1"/>
          <w:color w:val="auto"/>
        </w:rPr>
        <w:t>conflict minerals</w:t>
      </w:r>
      <w:r>
        <w:rPr>
          <w:rFonts w:ascii="Arial" w:cs="Arial" w:eastAsia="Arial" w:hAnsi="Arial"/>
          <w:sz w:val="16"/>
          <w:szCs w:val="16"/>
          <w:color w:val="auto"/>
        </w:rPr>
        <w:t>” as: (i)(a) columbite-tantalite (or coltan, the metal ore from which tantalum is extracted), (b) cassiterite (the metal ore from which tin is extracted), (c) gold and</w:t>
      </w:r>
    </w:p>
    <w:p>
      <w:pPr>
        <w:ind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w:t>
      </w:r>
    </w:p>
    <w:p>
      <w:pPr>
        <w:spacing w:after="0" w:line="190" w:lineRule="exact"/>
        <w:rPr>
          <w:sz w:val="20"/>
          <w:szCs w:val="20"/>
          <w:color w:val="auto"/>
        </w:rPr>
      </w:pPr>
    </w:p>
    <w:p>
      <w:pPr>
        <w:ind w:right="40" w:firstLine="650"/>
        <w:spacing w:after="0" w:line="269" w:lineRule="auto"/>
        <w:rPr>
          <w:sz w:val="20"/>
          <w:szCs w:val="20"/>
          <w:color w:val="auto"/>
        </w:rPr>
      </w:pPr>
      <w:r>
        <w:rPr>
          <w:rFonts w:ascii="Arial" w:cs="Arial" w:eastAsia="Arial" w:hAnsi="Arial"/>
          <w:sz w:val="17"/>
          <w:szCs w:val="17"/>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 For additional cautionary statements regarding other risk factors that could have an effect on the future performance of the Company, see the Company’s other filings with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i w:val="1"/>
          <w:iCs w:val="1"/>
          <w:color w:val="auto"/>
        </w:rPr>
        <w:t>”), including its Annual Report on Form 10-K for the year ended December 31, 2018 and subsequent Quarterly Reports on Form 10-Q. The Company makes these statements as of the date of this disclosure, and undertakes no obligation to update them unless otherwise required by law.</w:t>
      </w:r>
    </w:p>
    <w:p>
      <w:pPr>
        <w:spacing w:after="0" w:line="183" w:lineRule="exact"/>
        <w:rPr>
          <w:sz w:val="20"/>
          <w:szCs w:val="20"/>
          <w:color w:val="auto"/>
        </w:rPr>
      </w:pPr>
    </w:p>
    <w:p>
      <w:pPr>
        <w:ind w:right="80" w:firstLine="650"/>
        <w:spacing w:after="0" w:line="271" w:lineRule="auto"/>
        <w:rPr>
          <w:sz w:val="20"/>
          <w:szCs w:val="20"/>
          <w:color w:val="auto"/>
        </w:rPr>
      </w:pPr>
      <w:r>
        <w:rPr>
          <w:rFonts w:ascii="Arial" w:cs="Arial" w:eastAsia="Arial" w:hAnsi="Arial"/>
          <w:sz w:val="17"/>
          <w:szCs w:val="17"/>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the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www.cecoenviro.com/sec-filings. The content on, or accessible through, any website referred to in this Report is not incorporated by reference into this Report unless expressly noted.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RCOI and Due Diligence Process.</w:t>
      </w:r>
    </w:p>
    <w:p>
      <w:pPr>
        <w:spacing w:after="0" w:line="229" w:lineRule="exact"/>
        <w:rPr>
          <w:sz w:val="20"/>
          <w:szCs w:val="20"/>
          <w:color w:val="auto"/>
        </w:rPr>
      </w:pPr>
    </w:p>
    <w:p>
      <w:pPr>
        <w:ind w:right="120" w:firstLine="650"/>
        <w:spacing w:after="0" w:line="273" w:lineRule="auto"/>
        <w:rPr>
          <w:sz w:val="20"/>
          <w:szCs w:val="20"/>
          <w:color w:val="auto"/>
        </w:rPr>
      </w:pPr>
      <w:r>
        <w:rPr>
          <w:rFonts w:ascii="Arial" w:cs="Arial" w:eastAsia="Arial" w:hAnsi="Arial"/>
          <w:sz w:val="17"/>
          <w:szCs w:val="17"/>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 The Company also exercised due diligence on the source and chain of custody of the Subject Minerals. The Company’s due diligence measures have been designed to conform to the framework in the Organization for Economic Co-operation and Development Due Diligence Guidance for Responsible Supply Chain of Minerals from Conflict-Affected and High Risk Areas: Second Edition, including the related supplements on gold, tin, tantalum and tungsten (the “</w:t>
      </w:r>
      <w:r>
        <w:rPr>
          <w:rFonts w:ascii="Arial" w:cs="Arial" w:eastAsia="Arial" w:hAnsi="Arial"/>
          <w:sz w:val="17"/>
          <w:szCs w:val="17"/>
          <w:b w:val="1"/>
          <w:bCs w:val="1"/>
          <w:i w:val="1"/>
          <w:iCs w:val="1"/>
          <w:color w:val="auto"/>
        </w:rPr>
        <w:t>OECD Guidelines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RCOI</w:t>
      </w:r>
    </w:p>
    <w:p>
      <w:pPr>
        <w:spacing w:after="0" w:line="229" w:lineRule="exact"/>
        <w:rPr>
          <w:sz w:val="20"/>
          <w:szCs w:val="20"/>
          <w:color w:val="auto"/>
        </w:rPr>
      </w:pPr>
    </w:p>
    <w:p>
      <w:pPr>
        <w:ind w:right="40" w:firstLine="650"/>
        <w:spacing w:after="0" w:line="273" w:lineRule="auto"/>
        <w:rPr>
          <w:sz w:val="20"/>
          <w:szCs w:val="20"/>
          <w:color w:val="auto"/>
        </w:rPr>
      </w:pPr>
      <w:r>
        <w:rPr>
          <w:rFonts w:ascii="Arial" w:cs="Arial" w:eastAsia="Arial" w:hAnsi="Arial"/>
          <w:sz w:val="17"/>
          <w:szCs w:val="17"/>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to provide information regarding the origin of any conflict minerals that are included in its products. In accordance with the OECD Guidelines and related guidance provided by the SEC, the Company worked with its direct suppliers to identify, where possible, the smelters and/or refiners and countries of origin of the Subject Minerals.</w:t>
      </w:r>
    </w:p>
    <w:p>
      <w:pPr>
        <w:spacing w:after="0" w:line="178" w:lineRule="exact"/>
        <w:rPr>
          <w:sz w:val="20"/>
          <w:szCs w:val="20"/>
          <w:color w:val="auto"/>
        </w:rPr>
      </w:pPr>
    </w:p>
    <w:p>
      <w:pPr>
        <w:ind w:right="200" w:firstLine="650"/>
        <w:spacing w:after="0" w:line="273" w:lineRule="auto"/>
        <w:rPr>
          <w:sz w:val="20"/>
          <w:szCs w:val="20"/>
          <w:color w:val="auto"/>
        </w:rPr>
      </w:pPr>
      <w:r>
        <w:rPr>
          <w:rFonts w:ascii="Arial" w:cs="Arial" w:eastAsia="Arial" w:hAnsi="Arial"/>
          <w:sz w:val="17"/>
          <w:szCs w:val="17"/>
          <w:color w:val="auto"/>
        </w:rPr>
        <w:t>The Company worked to identify direct suppliers that it believed potentially provided materials or components containing Subject Minerals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during the Reporting Period. The Company then included additional questions regarding conflict minerals in its Supplier Questionnaire on Conflict Minerals, which the Company refers to as “</w:t>
      </w:r>
      <w:r>
        <w:rPr>
          <w:rFonts w:ascii="Arial" w:cs="Arial" w:eastAsia="Arial" w:hAnsi="Arial"/>
          <w:sz w:val="17"/>
          <w:szCs w:val="17"/>
          <w:b w:val="1"/>
          <w:bCs w:val="1"/>
          <w:i w:val="1"/>
          <w:iCs w:val="1"/>
          <w:color w:val="auto"/>
        </w:rPr>
        <w:t>Supplier Questionnaire</w:t>
      </w:r>
      <w:r>
        <w:rPr>
          <w:rFonts w:ascii="Arial" w:cs="Arial" w:eastAsia="Arial" w:hAnsi="Arial"/>
          <w:sz w:val="17"/>
          <w:szCs w:val="17"/>
          <w:color w:val="auto"/>
        </w:rPr>
        <w:t>,” to determine whether each such Covered Supplier was supplying materials or components to the Company that contained Subject Minerals and, if so, to determine the source of such Subject Minerals. The Company’s Supplier Questionnaire requires suppliers, including potential suppliers, to, among other matters, confirm the source of any conflict minerals contained in materials or components supplied to the Company during the Reporting Period.</w:t>
      </w:r>
    </w:p>
    <w:p>
      <w:pPr>
        <w:spacing w:after="0" w:line="178" w:lineRule="exact"/>
        <w:rPr>
          <w:sz w:val="20"/>
          <w:szCs w:val="20"/>
          <w:color w:val="auto"/>
        </w:rPr>
      </w:pPr>
    </w:p>
    <w:p>
      <w:pPr>
        <w:ind w:right="140" w:firstLine="650"/>
        <w:spacing w:after="0" w:line="264" w:lineRule="auto"/>
        <w:rPr>
          <w:sz w:val="20"/>
          <w:szCs w:val="20"/>
          <w:color w:val="auto"/>
        </w:rPr>
      </w:pPr>
      <w:r>
        <w:rPr>
          <w:rFonts w:ascii="Arial" w:cs="Arial" w:eastAsia="Arial" w:hAnsi="Arial"/>
          <w:sz w:val="18"/>
          <w:szCs w:val="18"/>
          <w:color w:val="auto"/>
        </w:rPr>
        <w:t>The Company, through its three business segments, operates as a leading global provider of engineered technologies focused on critical solutions in the energy, industrial, and fluid handling segments. The Company, with respect to the Reporting Period, reasonably determined that all of its segments’ product groups contain Subject Minerals.</w:t>
      </w:r>
    </w:p>
    <w:p>
      <w:pPr>
        <w:spacing w:after="0" w:line="181" w:lineRule="exact"/>
        <w:rPr>
          <w:sz w:val="20"/>
          <w:szCs w:val="20"/>
          <w:color w:val="auto"/>
        </w:rPr>
      </w:pPr>
    </w:p>
    <w:p>
      <w:pPr>
        <w:ind w:right="80" w:firstLine="650"/>
        <w:spacing w:after="0" w:line="271" w:lineRule="auto"/>
        <w:rPr>
          <w:sz w:val="20"/>
          <w:szCs w:val="20"/>
          <w:color w:val="auto"/>
        </w:rPr>
      </w:pPr>
      <w:r>
        <w:rPr>
          <w:rFonts w:ascii="Arial" w:cs="Arial" w:eastAsia="Arial" w:hAnsi="Arial"/>
          <w:sz w:val="17"/>
          <w:szCs w:val="17"/>
          <w:color w:val="auto"/>
        </w:rPr>
        <w:t>Given the size and complexity of the Company’s global supply chain, the Company focused on its largest Covered Suppliers, ranked by the amount the Company spends with each such Covered Supplier, and Covered Suppliers that had the highest probability of supplying the Company with materials or components containing Subject Minerals (</w:t>
      </w:r>
      <w:r>
        <w:rPr>
          <w:rFonts w:ascii="Arial" w:cs="Arial" w:eastAsia="Arial" w:hAnsi="Arial"/>
          <w:sz w:val="17"/>
          <w:szCs w:val="17"/>
          <w:i w:val="1"/>
          <w:iCs w:val="1"/>
          <w:color w:val="auto"/>
        </w:rPr>
        <w:t>e.g.</w:t>
      </w:r>
      <w:r>
        <w:rPr>
          <w:rFonts w:ascii="Arial" w:cs="Arial" w:eastAsia="Arial" w:hAnsi="Arial"/>
          <w:sz w:val="17"/>
          <w:szCs w:val="17"/>
          <w:color w:val="auto"/>
        </w:rPr>
        <w:t>, electronics). An escalation process was initiated with Covered Suppliers who continued to be non-responsive after the above contacts were made, or whose initial (or subsequent) response was not complete or otherwise warranted clarification or confirmation. Using a risk-based approach, the Company evaluated responses from the Covered Suppliers for plausibility, consistency, and gaps both in terms of which materials or components were stated to contain or not contain Subject Minerals, as well as the origin of those Subject Minerals. The Company engaged certain Covered Suppliers, holding discussions and reviewing the results of their internal due diligence efforts, to ensure that the Company’s inquiries regarding conflict minerals were understood and complied with.</w:t>
      </w:r>
    </w:p>
    <w:p>
      <w:pPr>
        <w:spacing w:after="0" w:line="179" w:lineRule="exact"/>
        <w:rPr>
          <w:sz w:val="20"/>
          <w:szCs w:val="20"/>
          <w:color w:val="auto"/>
        </w:rPr>
      </w:pPr>
    </w:p>
    <w:p>
      <w:pPr>
        <w:ind w:right="340" w:firstLine="650"/>
        <w:spacing w:after="0" w:line="264" w:lineRule="auto"/>
        <w:rPr>
          <w:sz w:val="20"/>
          <w:szCs w:val="20"/>
          <w:color w:val="auto"/>
        </w:rPr>
      </w:pPr>
      <w:r>
        <w:rPr>
          <w:rFonts w:ascii="Arial" w:cs="Arial" w:eastAsia="Arial" w:hAnsi="Arial"/>
          <w:sz w:val="18"/>
          <w:szCs w:val="18"/>
          <w:color w:val="auto"/>
        </w:rPr>
        <w:t>In general, the Company obtained completed Supplier Questionnaires or similar representations from Covered Suppliers. Such representations included, from certain Covered Suppliers, the Electronic Industry Citizenship Coalition (“EICC”) and Global e-Sustainability Initiative (“GeSI”) Conflict Minerals Due Diligence Template, indicating the facility at which the Subject Minerals were processed.</w:t>
      </w:r>
    </w:p>
    <w:p>
      <w:pPr>
        <w:spacing w:after="0" w:line="181" w:lineRule="exact"/>
        <w:rPr>
          <w:sz w:val="20"/>
          <w:szCs w:val="20"/>
          <w:color w:val="auto"/>
        </w:rPr>
      </w:pPr>
    </w:p>
    <w:p>
      <w:pPr>
        <w:ind w:firstLine="650"/>
        <w:spacing w:after="0" w:line="269" w:lineRule="auto"/>
        <w:rPr>
          <w:sz w:val="20"/>
          <w:szCs w:val="20"/>
          <w:color w:val="auto"/>
        </w:rPr>
      </w:pPr>
      <w:r>
        <w:rPr>
          <w:rFonts w:ascii="Arial" w:cs="Arial" w:eastAsia="Arial" w:hAnsi="Arial"/>
          <w:sz w:val="17"/>
          <w:szCs w:val="17"/>
          <w:color w:val="auto"/>
        </w:rPr>
        <w:t>Of the Covered Suppliers that completed Supplier Questionnaires or provided similar representations, a substantial majority reported that the Subject Minerals are not necessary to the functionality or production of their products supplied to the Company. In addition, of the Covered Suppliers that completed Supplier Questionnaires or provided similar representations, a minimal amount reported that the Subject Minerals are necessary to the functionality or production of their products supplied to the Company. Although the Company received completed Supplier Questionnaires or similar representations from Covered Suppliers that listed smelter or refiner names and/or countries of origin for the Subject Minerals, such Covered Suppliers were unable to accurately report which specific smelters or refiners and/or countries of origin were part of the supply chain for the Subject Minerals. For example, the majority of Covered Suppliers reported their sourcing results on a company-wide basis, rather than on a product-specific basis, or were unable to determine the smelter or refiner and/or countries of origin for the Subject Minerals. A Covered Supplier’s failure to identify a specific smelter or refiner and/or country of origin at any point in its supply chain will drive an equivalent response for the Company and, therefore, the Company is unable to report any known smelters or refiners or countries of origin for the Subject Minerals at this time. The Company’s RCOI procedures are an evolving process. See “</w:t>
      </w:r>
      <w:r>
        <w:rPr>
          <w:rFonts w:ascii="Arial" w:cs="Arial" w:eastAsia="Arial" w:hAnsi="Arial"/>
          <w:sz w:val="17"/>
          <w:szCs w:val="17"/>
          <w:i w:val="1"/>
          <w:iCs w:val="1"/>
          <w:color w:val="auto"/>
        </w:rPr>
        <w:t>Additional Due Diligence</w:t>
      </w:r>
      <w:r>
        <w:rPr>
          <w:rFonts w:ascii="Arial" w:cs="Arial" w:eastAsia="Arial" w:hAnsi="Arial"/>
          <w:sz w:val="17"/>
          <w:szCs w:val="17"/>
          <w:color w:val="auto"/>
        </w:rPr>
        <w:t xml:space="preserve"> </w:t>
      </w:r>
      <w:r>
        <w:rPr>
          <w:rFonts w:ascii="Arial" w:cs="Arial" w:eastAsia="Arial" w:hAnsi="Arial"/>
          <w:sz w:val="17"/>
          <w:szCs w:val="17"/>
          <w:i w:val="1"/>
          <w:iCs w:val="1"/>
          <w:color w:val="auto"/>
        </w:rPr>
        <w:t>and Risk Mitigation</w:t>
      </w:r>
      <w:r>
        <w:rPr>
          <w:rFonts w:ascii="Arial" w:cs="Arial" w:eastAsia="Arial" w:hAnsi="Arial"/>
          <w:sz w:val="17"/>
          <w:szCs w:val="17"/>
          <w:color w:val="auto"/>
        </w:rPr>
        <w:t>” below for additional detail.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229" w:lineRule="exact"/>
        <w:rPr>
          <w:sz w:val="20"/>
          <w:szCs w:val="20"/>
          <w:color w:val="auto"/>
        </w:rPr>
      </w:pPr>
    </w:p>
    <w:p>
      <w:pPr>
        <w:ind w:right="120" w:firstLine="650"/>
        <w:spacing w:after="0" w:line="277" w:lineRule="auto"/>
        <w:rPr>
          <w:sz w:val="20"/>
          <w:szCs w:val="20"/>
          <w:color w:val="auto"/>
        </w:rPr>
      </w:pPr>
      <w:r>
        <w:rPr>
          <w:rFonts w:ascii="Arial" w:cs="Arial" w:eastAsia="Arial" w:hAnsi="Arial"/>
          <w:sz w:val="18"/>
          <w:szCs w:val="18"/>
          <w:color w:val="auto"/>
        </w:rPr>
        <w:t>The Company’s due diligence process is based on the OECD Guidelines. Due diligence measures undertaken by the Company during the Reporting Period included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Strong Company Management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Internal Team to Support Supply Chain Due Diligence.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established an internal team to manage conflict minerals engagement with its suppliers.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right="20"/>
        <w:spacing w:after="0" w:line="297" w:lineRule="auto"/>
        <w:rPr>
          <w:sz w:val="20"/>
          <w:szCs w:val="20"/>
          <w:color w:val="auto"/>
        </w:rPr>
      </w:pPr>
      <w:r>
        <w:rPr>
          <w:rFonts w:ascii="Arial" w:cs="Arial" w:eastAsia="Arial" w:hAnsi="Arial"/>
          <w:sz w:val="16"/>
          <w:szCs w:val="16"/>
          <w:color w:val="auto"/>
        </w:rPr>
        <w:t>Reporting Period, the Company held meetings with legal advisors, the Company’s Chief Financial Officer and with senior members of the Company’s supply chain management department and environmental/health/safety department to educate the Company’s procurement and compliance personnel on the SEC’s rules regarding conflict minerals and to ensure the timely implementation of the Company’s conflict minerals programs. This center-led team of subject matter experts is responsible for working with the Company’s employees to provide training and guidance, implement reporting systems and facilitate communication between departments with respect to compliance with the SEC’s reporting requirements regarding conflict minerals.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Internal Measures Taken to Strengthen Engagement with Suppliers.</w:t>
      </w:r>
    </w:p>
    <w:p>
      <w:pPr>
        <w:spacing w:after="0" w:line="225" w:lineRule="exact"/>
        <w:rPr>
          <w:sz w:val="20"/>
          <w:szCs w:val="20"/>
          <w:color w:val="auto"/>
        </w:rPr>
      </w:pPr>
    </w:p>
    <w:p>
      <w:pPr>
        <w:ind w:right="20" w:firstLine="650"/>
        <w:spacing w:after="0" w:line="279" w:lineRule="auto"/>
        <w:rPr>
          <w:sz w:val="20"/>
          <w:szCs w:val="20"/>
          <w:color w:val="auto"/>
        </w:rPr>
      </w:pPr>
      <w:r>
        <w:rPr>
          <w:rFonts w:ascii="Arial" w:cs="Arial" w:eastAsia="Arial" w:hAnsi="Arial"/>
          <w:sz w:val="17"/>
          <w:szCs w:val="17"/>
          <w:color w:val="auto"/>
        </w:rPr>
        <w:t>The Company’s conflict minerals reporting compliance measures are managed at the division level where the supplier relationship exists. Each division is responsible for managing the conflict minerals, if any, provided by its supply base and for identifying, where possible, the supplier of such conflict minerals in the Company’s materials or components. Using the Supplier Questionnaire, the Company engages suppliers of conflict minerals, communicates its reporting obligations with respect to conflict minerals and follows up with such suppliers to ensure ongoing compliance.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Adoption of Conflict Minerals Policy.</w:t>
      </w:r>
    </w:p>
    <w:p>
      <w:pPr>
        <w:spacing w:after="0" w:line="225" w:lineRule="exact"/>
        <w:rPr>
          <w:sz w:val="20"/>
          <w:szCs w:val="20"/>
          <w:color w:val="auto"/>
        </w:rPr>
      </w:pPr>
    </w:p>
    <w:p>
      <w:pPr>
        <w:ind w:right="300" w:firstLine="650"/>
        <w:spacing w:after="0" w:line="312" w:lineRule="auto"/>
        <w:rPr>
          <w:sz w:val="20"/>
          <w:szCs w:val="20"/>
          <w:color w:val="auto"/>
        </w:rPr>
      </w:pPr>
      <w:r>
        <w:rPr>
          <w:rFonts w:ascii="Arial" w:cs="Arial" w:eastAsia="Arial" w:hAnsi="Arial"/>
          <w:sz w:val="16"/>
          <w:szCs w:val="16"/>
          <w:color w:val="auto"/>
        </w:rPr>
        <w:t>Within the Company’s supplier relationships, the Company seeks to manage its sourcing processes ethically, and to hold the Company and its suppliers to high standards of behavior. This means that the Company is committed to working with its suppliers to encourage responsible practices throughout the supply network. The Company’s conflict minerals policy is publicly available at https://investors.cecoenviro.com/conflict-minerals-policy.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Assess Risks in the Supply Chain</w:t>
      </w:r>
    </w:p>
    <w:p>
      <w:pPr>
        <w:spacing w:after="0" w:line="225" w:lineRule="exact"/>
        <w:rPr>
          <w:sz w:val="20"/>
          <w:szCs w:val="20"/>
          <w:color w:val="auto"/>
        </w:rPr>
      </w:pPr>
    </w:p>
    <w:p>
      <w:pPr>
        <w:ind w:right="760" w:firstLine="650"/>
        <w:spacing w:after="0" w:line="277" w:lineRule="auto"/>
        <w:rPr>
          <w:sz w:val="20"/>
          <w:szCs w:val="20"/>
          <w:color w:val="auto"/>
        </w:rPr>
      </w:pPr>
      <w:r>
        <w:rPr>
          <w:rFonts w:ascii="Arial" w:cs="Arial" w:eastAsia="Arial" w:hAnsi="Arial"/>
          <w:sz w:val="18"/>
          <w:szCs w:val="18"/>
          <w:color w:val="auto"/>
        </w:rPr>
        <w:t>As discussed above, the Company continues to assess its supply chain risks and work with its suppliers in developing greater supply chain transparency.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Implement a Strategy to Respond to Identified Risks</w:t>
      </w:r>
    </w:p>
    <w:p>
      <w:pPr>
        <w:spacing w:after="0" w:line="225" w:lineRule="exact"/>
        <w:rPr>
          <w:sz w:val="20"/>
          <w:szCs w:val="20"/>
          <w:color w:val="auto"/>
        </w:rPr>
      </w:pPr>
    </w:p>
    <w:p>
      <w:pPr>
        <w:ind w:right="40" w:firstLine="650"/>
        <w:spacing w:after="0" w:line="271" w:lineRule="auto"/>
        <w:rPr>
          <w:sz w:val="20"/>
          <w:szCs w:val="20"/>
          <w:color w:val="auto"/>
        </w:rPr>
      </w:pPr>
      <w:r>
        <w:rPr>
          <w:rFonts w:ascii="Arial" w:cs="Arial" w:eastAsia="Arial" w:hAnsi="Arial"/>
          <w:sz w:val="17"/>
          <w:szCs w:val="17"/>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also works to address any significant due diligence findings as they arise. For example, as noted above, the Company conducted additional due diligence for certain Covered Suppliers who provided inadequate or incomplete initial responses to the Company’s RCOI. The Company uses its Supplier Questionnaires to monitor the use of conflict minerals in its supply chain. Data from the Supplier Questionnaires is used at the corporate, group and division levels to oversee the Company’s supplier base. In addition, the questionnaires provide key metrics to decision makers to assist with the Company’s conflict minerals reporting compliance and provide meaningful comparisons regarding supply chain transparency across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 Out Independent Third-Party Audit of Smelter’s / Refiner’s Due Diligence Practices</w:t>
      </w:r>
    </w:p>
    <w:p>
      <w:pPr>
        <w:spacing w:after="0" w:line="225" w:lineRule="exact"/>
        <w:rPr>
          <w:sz w:val="20"/>
          <w:szCs w:val="20"/>
          <w:color w:val="auto"/>
        </w:rPr>
      </w:pPr>
    </w:p>
    <w:p>
      <w:pPr>
        <w:ind w:right="80" w:firstLine="650"/>
        <w:spacing w:after="0" w:line="264" w:lineRule="auto"/>
        <w:rPr>
          <w:sz w:val="20"/>
          <w:szCs w:val="20"/>
          <w:color w:val="auto"/>
        </w:rPr>
      </w:pPr>
      <w:r>
        <w:rPr>
          <w:rFonts w:ascii="Arial" w:cs="Arial" w:eastAsia="Arial" w:hAnsi="Arial"/>
          <w:sz w:val="18"/>
          <w:szCs w:val="18"/>
          <w:color w:val="auto"/>
        </w:rPr>
        <w:t>Where possible, the Company has relied on third-party assurances and certifications. For example, the Company accepts as reliable any smelter that is a member of the EICC-GeSI Conflict Free Smelter program. To the extent that other audited supplier certifications are provided to the Company, the Company may consider reliance on a case-by-case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Annually on Supply Chain Due Diligence</w:t>
      </w:r>
    </w:p>
    <w:p>
      <w:pPr>
        <w:spacing w:after="0" w:line="225" w:lineRule="exact"/>
        <w:rPr>
          <w:sz w:val="20"/>
          <w:szCs w:val="20"/>
          <w:color w:val="auto"/>
        </w:rPr>
      </w:pPr>
    </w:p>
    <w:p>
      <w:pPr>
        <w:ind w:right="100" w:firstLine="650"/>
        <w:spacing w:after="0" w:line="277" w:lineRule="auto"/>
        <w:rPr>
          <w:sz w:val="20"/>
          <w:szCs w:val="20"/>
          <w:color w:val="auto"/>
        </w:rPr>
      </w:pPr>
      <w:r>
        <w:rPr>
          <w:rFonts w:ascii="Arial" w:cs="Arial" w:eastAsia="Arial" w:hAnsi="Arial"/>
          <w:sz w:val="18"/>
          <w:szCs w:val="18"/>
          <w:color w:val="auto"/>
        </w:rPr>
        <w:t>The Form SD and this Report are publicly available at www.cecoenviro.com/sec-filings and meet the OECD recommendation to report annually on supply chain due diligence.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Diligence Results.</w:t>
      </w:r>
    </w:p>
    <w:p>
      <w:pPr>
        <w:spacing w:after="0" w:line="229" w:lineRule="exact"/>
        <w:rPr>
          <w:sz w:val="20"/>
          <w:szCs w:val="20"/>
          <w:color w:val="auto"/>
        </w:rPr>
      </w:pPr>
    </w:p>
    <w:p>
      <w:pPr>
        <w:jc w:val="both"/>
        <w:ind w:firstLine="650"/>
        <w:spacing w:after="0" w:line="302" w:lineRule="auto"/>
        <w:rPr>
          <w:sz w:val="20"/>
          <w:szCs w:val="20"/>
          <w:color w:val="auto"/>
        </w:rPr>
      </w:pPr>
      <w:r>
        <w:rPr>
          <w:rFonts w:ascii="Arial" w:cs="Arial" w:eastAsia="Arial" w:hAnsi="Arial"/>
          <w:sz w:val="16"/>
          <w:szCs w:val="16"/>
          <w:color w:val="auto"/>
        </w:rPr>
        <w:t>Based on the information obtained pursuant to the Supplier Questionnaires, RCOI and due diligence process described above, the Company does not have sufficient information, with respect to the Reporting Period, to determine the known facility/smelter or country of origin of any of the Subject Minerals. The Company expects to continue to implement and refine its conflict minerals program to improve its supply chain transparency by obtaining more accurate and more complete information from its suppliers. See “Additional Due Diligence and Risk Mitigation” below for additional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3. Additional Due Diligence and Risk Mitigation.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expects to take the following steps, among others, to improve its RCOI process and due diligence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Terms and Conditions / Supplier Code of Conduct</w:t>
      </w:r>
    </w:p>
    <w:p>
      <w:pPr>
        <w:spacing w:after="0" w:line="225" w:lineRule="exact"/>
        <w:rPr>
          <w:sz w:val="20"/>
          <w:szCs w:val="20"/>
          <w:color w:val="auto"/>
        </w:rPr>
      </w:pPr>
    </w:p>
    <w:p>
      <w:pPr>
        <w:ind w:firstLine="650"/>
        <w:spacing w:after="0" w:line="273" w:lineRule="auto"/>
        <w:rPr>
          <w:sz w:val="20"/>
          <w:szCs w:val="20"/>
          <w:color w:val="auto"/>
        </w:rPr>
      </w:pPr>
      <w:r>
        <w:rPr>
          <w:rFonts w:ascii="Arial" w:cs="Arial" w:eastAsia="Arial" w:hAnsi="Arial"/>
          <w:sz w:val="17"/>
          <w:szCs w:val="17"/>
          <w:color w:val="auto"/>
        </w:rPr>
        <w:t>The Company is continuing to strengthen its commitment to the responsible sourcing of conflict minerals through the use of specific terms and conditions in certain supply agreements and purchase orders. When engaging certain suppliers who may supply the Company with materials or components containing conflict minerals, the Company may in the future include terms and conditions in certain supply agreements and purchase orders that require, among other matters, that no materials or components supplied under such contract may contain any conflict minerals that directly or indirectly finance any armed group that has been identified as a perpetrator of human rights abuses. The Company may establish a supplier code of conduct to prohibit suppliers from supplying the Company with certain conflict minerals originating in the Covered Countries.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Improvement of Supply Chain Due Diligence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expects to continue to improve its supply chain due diligence efforts. Such measures may include, but are not limited to:</w:t>
      </w:r>
    </w:p>
    <w:p>
      <w:pPr>
        <w:spacing w:after="0" w:line="237" w:lineRule="exact"/>
        <w:rPr>
          <w:sz w:val="20"/>
          <w:szCs w:val="20"/>
          <w:color w:val="auto"/>
        </w:rPr>
      </w:pPr>
    </w:p>
    <w:p>
      <w:pPr>
        <w:ind w:left="900" w:hanging="608"/>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assessing the presence of conflict minerals in its supply chain;</w:t>
      </w:r>
    </w:p>
    <w:p>
      <w:pPr>
        <w:spacing w:after="0" w:line="265" w:lineRule="exact"/>
        <w:rPr>
          <w:rFonts w:ascii="Arial" w:cs="Arial" w:eastAsia="Arial" w:hAnsi="Arial"/>
          <w:sz w:val="18"/>
          <w:szCs w:val="18"/>
          <w:color w:val="auto"/>
        </w:rPr>
      </w:pPr>
    </w:p>
    <w:p>
      <w:pPr>
        <w:ind w:left="900" w:hanging="608"/>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265" w:lineRule="exact"/>
        <w:rPr>
          <w:rFonts w:ascii="Arial" w:cs="Arial" w:eastAsia="Arial" w:hAnsi="Arial"/>
          <w:sz w:val="18"/>
          <w:szCs w:val="18"/>
          <w:color w:val="auto"/>
        </w:rPr>
      </w:pPr>
    </w:p>
    <w:p>
      <w:pPr>
        <w:ind w:left="900" w:hanging="608"/>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the response rate for RCOI process;</w:t>
      </w:r>
    </w:p>
    <w:p>
      <w:pPr>
        <w:spacing w:after="0" w:line="265" w:lineRule="exact"/>
        <w:rPr>
          <w:rFonts w:ascii="Arial" w:cs="Arial" w:eastAsia="Arial" w:hAnsi="Arial"/>
          <w:sz w:val="18"/>
          <w:szCs w:val="18"/>
          <w:color w:val="auto"/>
        </w:rPr>
      </w:pPr>
    </w:p>
    <w:p>
      <w:pPr>
        <w:ind w:left="900" w:right="1780" w:hanging="608"/>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to compare RCOI results to information collected via independent conflict free smelter validation programs such as the EICC-GeSI Conflict Free Smelter program; and</w:t>
      </w:r>
    </w:p>
    <w:p>
      <w:pPr>
        <w:spacing w:after="0" w:line="183" w:lineRule="exact"/>
        <w:rPr>
          <w:rFonts w:ascii="Arial" w:cs="Arial" w:eastAsia="Arial" w:hAnsi="Arial"/>
          <w:sz w:val="18"/>
          <w:szCs w:val="18"/>
          <w:color w:val="auto"/>
        </w:rPr>
      </w:pPr>
    </w:p>
    <w:p>
      <w:pPr>
        <w:ind w:left="900" w:right="1620" w:hanging="608"/>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contacting smelters identified as a result of the RCOI process and request their participation in obtaining a “conflict free” designation from an industry program such as the EICC-GeSI Conflict Free Smelter program.</w:t>
      </w:r>
    </w:p>
    <w:sectPr>
      <w:pgSz w:w="11900" w:h="16838" w:orient="portrait"/>
      <w:cols w:equalWidth="0" w:num="1">
        <w:col w:w="11240"/>
      </w:cols>
      <w:pgMar w:left="2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2019-12-02T11:42:35Z</dcterms:created>
  <dcterms:modified xsi:type="dcterms:W3CDTF">2019-12-02T11:42:35Z</dcterms:modified>
</cp:coreProperties>
</file>