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3600" w:type="dxa"/>
            <w:vAlign w:val="bottom"/>
          </w:tcPr>
          <w:p>
            <w:pPr>
              <w:jc w:val="center"/>
              <w:ind w:right="186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2"/>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9"/>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4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April 30, 2024, CECO Environmental Corp. (the “Company”) issued a press release announcing its financial results for the first quarter ended March 31, 2024.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First Quarter 2024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220" w:type="dxa"/>
            <w:vAlign w:val="bottom"/>
            <w:tcBorders>
              <w:right w:val="single" w:sz="8" w:color="0000EE"/>
            </w:tcBorders>
            <w:shd w:val="clear" w:color="auto" w:fill="0000FF"/>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57"/>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April 30, 2024</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0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FIRST QUARTER 2024 RESULTS </w:t>
      </w:r>
      <w:r>
        <w:rPr>
          <w:rFonts w:ascii="Times New Roman" w:cs="Times New Roman" w:eastAsia="Times New Roman" w:hAnsi="Times New Roman"/>
          <w:sz w:val="18"/>
          <w:szCs w:val="18"/>
          <w:i w:val="1"/>
          <w:iCs w:val="1"/>
          <w:color w:val="auto"/>
        </w:rPr>
        <w:t>Reports Record First Quarter Revenue and Gross Margins, Near Record Backlog Reaffirms Full Year 2024 Guidance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DALLAS (April 30, 2024) -- CECO Environmental Corp. (Nasdaq: CECO)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first quarter results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Summary</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$145.3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$389.5 million, up 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$126.3 million, up 12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$1.5 million, down 25 percent; non-GAAP net income of $4.0 million, up 11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$0.04; non-GAAP EPS (diluted) of $0.11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$13.2 million, up 36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$(1.9) million, up $12.6 million</w:t>
      </w:r>
    </w:p>
    <w:p>
      <w:pPr>
        <w:spacing w:after="0" w:line="30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started 2024 by delivering a solid first quarter which puts us in strong position in terms of our full year outlook. The quarter was highlighted by record gross margins, which we believe demonstrates our ongoing progress driving operational excellence programs and steadily advancing and diversifying our overall portfolio. Our book-to-bill ratio of 1.2 increased our backlog to near record levels, and our sales and adjusted EBITDA were each first quarter records. Additionally, we repurchased $3 million of stock during the quarter as part of our disciplined capital allocation strategy,” said CECO Chief Executive Officer, Todd Gleason. “I continue to be pleased with our operating model which is producing high quality results balanced across our highly diversified businesses.”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quarter operating income was $7.7 million, up $2.2 million or 40 percent when compared to $5.5 million in the first quarter 2023. On an adjusted basis, non-GAAP operating income was $10.2 million, up $2.5 million or 32 percent when compared to $7.7 million in the first quarter of 2023. Net income was $1.5 million in the quarter, compared to $2.0 million in the first quarter 2023. Non-GAAP net income was $4.0 million, up $0.4 million or 11 percent when compared to $3.6 million in the first quarter 2023. Adjusted EBITDA of $13.2 million, reflecting a margin of 10.5 percent, was up 36 percent compared to $9.7 million in the first quarter 2023. Free cash flow in the quarter was $(1.9) million, up $12.6 million compared to $(14.5) million in the first quarter of 2023.</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enter the second quarter with a near record backlog, and most importantly, our largest and most balanced sales pursuit pipeline. Additionally, our pipeline contains a series of potentially record-sized energy transition opportunities that we believe we are well positioned to capture in the coming quarters. Lastly, our programmatic M&amp;A process has replenished our transaction funnel with attractive, strategic, growth businesses, which we would be able to fund with our strong balance sheet,” added Gleason.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Reaffirms 2024 Full Year Guidance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maintaining its 2024 full year revenue guidance of $590 to $610 million, up approximately 10% year over year at the midpoint, Adjusted EBITDA guidance to $67 to $70 million, up approximately 20% year over year at the midpoint, and free cash flow of 50% to 70% of Adjusted EBITDA.</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reaffirming our full year 2024 outlook – which we raised in early March. Our large sales pipeline, including the previously stated energy transition opportunities, coupled with potential additions from our continued M&amp;A process, gives us a high conviction in our outlook and additional opportunities for sustainable growth,”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first quarter 2024 financial results. Please visit the Investor Relations portion of the website (https://investors.cecoenviro.com) to listen to the call via webcast. The conference call may also be accessed by visiting https://edge.media-server.com/mmc/p/bxvjrmgc.</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https://edge.media-server.com/mmc/p/bxvjrmgc.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1406525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6"/>
                <w:szCs w:val="16"/>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46,557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allowances of $6,023 and $6,460</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116,647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38,032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211,479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589,020</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79,061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46,195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196,310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125,070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352,868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24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34,908,330 and</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34,835,293 shares issued and outstanding at March 31, 2024 and December 31, 2023,</w:t>
            </w: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251,673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4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(4,879 )</w:t>
            </w:r>
          </w:p>
        </w:tc>
        <w:tc>
          <w:tcPr>
            <w:tcW w:w="1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r>
      <w:tr>
        <w:trPr>
          <w:trHeight w:val="24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(15,620 )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36"/>
        </w:trPr>
        <w:tc>
          <w:tcPr>
            <w:tcW w:w="74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231,523</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236,152</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589,020</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450"/>
        </w:trPr>
        <w:tc>
          <w:tcPr>
            <w:tcW w:w="7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-6583045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-6583045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-5339715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-5339715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-3136900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-1610995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-1293495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-967740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-950595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8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126,332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112,563</w:t>
            </w:r>
          </w:p>
        </w:tc>
        <w:tc>
          <w:tcPr>
            <w:tcW w:w="280" w:type="dxa"/>
            <w:vAlign w:val="bottom"/>
            <w:shd w:val="clear" w:color="auto" w:fill="CFF0FC"/>
          </w:tcPr>
          <w:p>
            <w:pPr>
              <w:spacing w:after="0"/>
              <w:rPr>
                <w:sz w:val="20"/>
                <w:szCs w:val="20"/>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81,200</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77,670</w:t>
            </w:r>
          </w:p>
        </w:tc>
        <w:tc>
          <w:tcPr>
            <w:tcW w:w="280" w:type="dxa"/>
            <w:vAlign w:val="bottom"/>
          </w:tcPr>
          <w:p>
            <w:pPr>
              <w:spacing w:after="0"/>
              <w:rPr>
                <w:sz w:val="21"/>
                <w:szCs w:val="21"/>
                <w:color w:val="auto"/>
              </w:rPr>
            </w:pPr>
          </w:p>
        </w:tc>
      </w:tr>
      <w:tr>
        <w:trPr>
          <w:trHeight w:val="23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34,893</w:t>
            </w:r>
          </w:p>
        </w:tc>
        <w:tc>
          <w:tcPr>
            <w:tcW w:w="280" w:type="dxa"/>
            <w:vAlign w:val="bottom"/>
            <w:shd w:val="clear" w:color="auto" w:fill="CFF0FC"/>
          </w:tcPr>
          <w:p>
            <w:pPr>
              <w:spacing w:after="0"/>
              <w:rPr>
                <w:sz w:val="20"/>
                <w:szCs w:val="20"/>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34,908</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27,193</w:t>
            </w:r>
          </w:p>
        </w:tc>
        <w:tc>
          <w:tcPr>
            <w:tcW w:w="28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280" w:type="dxa"/>
            <w:vAlign w:val="bottom"/>
            <w:shd w:val="clear" w:color="auto" w:fill="CFF0FC"/>
          </w:tcPr>
          <w:p>
            <w:pPr>
              <w:spacing w:after="0"/>
              <w:rPr>
                <w:sz w:val="21"/>
                <w:szCs w:val="21"/>
                <w:color w:val="auto"/>
              </w:rPr>
            </w:pPr>
          </w:p>
        </w:tc>
      </w:tr>
      <w:tr>
        <w:trPr>
          <w:trHeight w:val="23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3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26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280" w:type="dxa"/>
            <w:vAlign w:val="bottom"/>
            <w:tcBorders>
              <w:top w:val="single" w:sz="8" w:color="CFF0FC"/>
            </w:tcBorders>
          </w:tcPr>
          <w:p>
            <w:pPr>
              <w:spacing w:after="0"/>
              <w:rPr>
                <w:sz w:val="20"/>
                <w:szCs w:val="20"/>
                <w:color w:val="auto"/>
              </w:rPr>
            </w:pPr>
          </w:p>
        </w:tc>
      </w:tr>
      <w:tr>
        <w:trPr>
          <w:trHeight w:val="24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(1,513 )</w:t>
            </w:r>
          </w:p>
        </w:tc>
        <w:tc>
          <w:tcPr>
            <w:tcW w:w="4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(574 )</w:t>
            </w: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(3,413 )</w:t>
            </w:r>
          </w:p>
        </w:tc>
        <w:tc>
          <w:tcPr>
            <w:tcW w:w="4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(2,408 )</w:t>
            </w:r>
          </w:p>
        </w:tc>
      </w:tr>
      <w:tr>
        <w:trPr>
          <w:trHeight w:val="23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6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80" w:type="dxa"/>
            <w:vAlign w:val="bottom"/>
            <w:shd w:val="clear" w:color="auto" w:fill="CFF0FC"/>
          </w:tcPr>
          <w:p>
            <w:pPr>
              <w:spacing w:after="0"/>
              <w:rPr>
                <w:sz w:val="20"/>
                <w:szCs w:val="20"/>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1"/>
                <w:szCs w:val="21"/>
                <w:color w:val="auto"/>
              </w:rPr>
            </w:pPr>
          </w:p>
        </w:tc>
      </w:tr>
      <w:tr>
        <w:trPr>
          <w:trHeight w:val="23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280" w:type="dxa"/>
            <w:vAlign w:val="bottom"/>
            <w:shd w:val="clear" w:color="auto" w:fill="CFF0FC"/>
          </w:tcPr>
          <w:p>
            <w:pPr>
              <w:spacing w:after="0"/>
              <w:rPr>
                <w:sz w:val="20"/>
                <w:szCs w:val="20"/>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00" w:type="dxa"/>
            <w:vAlign w:val="bottom"/>
          </w:tcPr>
          <w:p>
            <w:pPr>
              <w:spacing w:after="0"/>
              <w:rPr>
                <w:sz w:val="21"/>
                <w:szCs w:val="21"/>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(585 )</w:t>
            </w:r>
          </w:p>
        </w:tc>
        <w:tc>
          <w:tcPr>
            <w:tcW w:w="40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(491 )</w:t>
            </w:r>
          </w:p>
        </w:tc>
      </w:tr>
      <w:tr>
        <w:trPr>
          <w:trHeight w:val="237"/>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80" w:type="dxa"/>
            <w:vAlign w:val="bottom"/>
            <w:tcBorders>
              <w:bottom w:val="single" w:sz="8" w:color="CFF0FC"/>
            </w:tcBorders>
            <w:shd w:val="clear" w:color="auto" w:fill="CFF0FC"/>
          </w:tcPr>
          <w:p>
            <w:pPr>
              <w:spacing w:after="0"/>
              <w:rPr>
                <w:sz w:val="20"/>
                <w:szCs w:val="20"/>
                <w:color w:val="auto"/>
              </w:rPr>
            </w:pPr>
          </w:p>
        </w:tc>
      </w:tr>
      <w:tr>
        <w:trPr>
          <w:trHeight w:val="232"/>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7"/>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Borders>
              <w:bottom w:val="single" w:sz="8" w:color="CFF0FC"/>
            </w:tcBorders>
            <w:shd w:val="clear" w:color="auto" w:fill="CFF0FC"/>
          </w:tcPr>
          <w:p>
            <w:pPr>
              <w:spacing w:after="0"/>
              <w:rPr>
                <w:sz w:val="24"/>
                <w:szCs w:val="24"/>
                <w:color w:val="auto"/>
              </w:rPr>
            </w:pPr>
          </w:p>
        </w:tc>
      </w:tr>
      <w:tr>
        <w:trPr>
          <w:trHeight w:val="22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4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34,846,163</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34,441,905</w:t>
            </w:r>
          </w:p>
        </w:tc>
        <w:tc>
          <w:tcPr>
            <w:tcW w:w="280" w:type="dxa"/>
            <w:vAlign w:val="bottom"/>
          </w:tcPr>
          <w:p>
            <w:pPr>
              <w:spacing w:after="0"/>
              <w:rPr>
                <w:sz w:val="20"/>
                <w:szCs w:val="20"/>
                <w:color w:val="auto"/>
              </w:rPr>
            </w:pPr>
          </w:p>
        </w:tc>
      </w:tr>
      <w:tr>
        <w:trPr>
          <w:trHeight w:val="247"/>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36,177,323</w:t>
            </w:r>
          </w:p>
        </w:tc>
        <w:tc>
          <w:tcPr>
            <w:tcW w:w="2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35,198,668</w:t>
            </w:r>
          </w:p>
        </w:tc>
        <w:tc>
          <w:tcPr>
            <w:tcW w:w="280" w:type="dxa"/>
            <w:vAlign w:val="bottom"/>
            <w:shd w:val="clear" w:color="auto" w:fill="CFF0FC"/>
          </w:tcPr>
          <w:p>
            <w:pPr>
              <w:spacing w:after="0"/>
              <w:rPr>
                <w:sz w:val="21"/>
                <w:szCs w:val="21"/>
                <w:color w:val="auto"/>
              </w:rPr>
            </w:pPr>
          </w:p>
        </w:tc>
      </w:tr>
      <w:tr>
        <w:trPr>
          <w:trHeight w:val="979"/>
        </w:trPr>
        <w:tc>
          <w:tcPr>
            <w:tcW w:w="7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-2887980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-2887980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-1619250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-1619250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-1302385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-1285240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-1302385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-1285240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4"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(92 )</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(loss) on sale of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(384 )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(5,355 )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(22,786 )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7,858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(8,418 )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(4,447 )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(2,191 )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(325 )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(2,442 )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(3,358 )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16,838</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2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(5,249 )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(1,038 )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(12,021 )</w:t>
            </w: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(3,116 )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(2,513 )</w:t>
            </w:r>
          </w:p>
        </w:tc>
      </w:tr>
      <w:tr>
        <w:trPr>
          <w:trHeight w:val="23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received (paid) for acquisitions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(24,142 )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(2,694 )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(26,655 )</w:t>
            </w:r>
          </w:p>
        </w:tc>
      </w:tr>
      <w:tr>
        <w:trPr>
          <w:trHeight w:val="22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(12,600 )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(20,000 )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(2,553 )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(826 )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(229 )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(1,000 )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(804 )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(3,000 )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(6,528 )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34,359</w:t>
            </w:r>
          </w:p>
        </w:tc>
        <w:tc>
          <w:tcPr>
            <w:tcW w:w="100" w:type="dxa"/>
            <w:vAlign w:val="bottom"/>
          </w:tcPr>
          <w:p>
            <w:pPr>
              <w:spacing w:after="0"/>
              <w:rPr>
                <w:sz w:val="19"/>
                <w:szCs w:val="19"/>
                <w:color w:val="auto"/>
              </w:rPr>
            </w:pP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(422 )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(64 )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(8,420 )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(4,381 )</w:t>
            </w: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42,204</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966"/>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-3994150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-3394075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-1919605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-1610995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-1310640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-984885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-659130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-642620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80" w:type="dxa"/>
            <w:vAlign w:val="bottom"/>
            <w:gridSpan w:val="7"/>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1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20"/>
                <w:szCs w:val="20"/>
                <w:color w:val="auto"/>
              </w:rPr>
            </w:pPr>
          </w:p>
        </w:tc>
      </w:tr>
      <w:tr>
        <w:trPr>
          <w:trHeight w:val="240"/>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6.1 %</w:t>
            </w:r>
          </w:p>
        </w:tc>
        <w:tc>
          <w:tcPr>
            <w:tcW w:w="24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4.9 %</w:t>
            </w:r>
          </w:p>
        </w:tc>
      </w:tr>
      <w:tr>
        <w:trPr>
          <w:trHeight w:val="24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3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8.1 %</w:t>
            </w:r>
          </w:p>
        </w:tc>
        <w:tc>
          <w:tcPr>
            <w:tcW w:w="24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6.8 %</w:t>
            </w:r>
          </w:p>
        </w:tc>
      </w:tr>
      <w:tr>
        <w:trPr>
          <w:trHeight w:val="648"/>
        </w:trPr>
        <w:tc>
          <w:tcPr>
            <w:tcW w:w="58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8"/>
                <w:szCs w:val="18"/>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1380" w:type="dxa"/>
            <w:vAlign w:val="bottom"/>
            <w:shd w:val="clear" w:color="auto" w:fill="CFF0FC"/>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80" w:type="dxa"/>
            <w:vAlign w:val="bottom"/>
            <w:shd w:val="clear" w:color="auto" w:fill="CFF0FC"/>
          </w:tcPr>
          <w:p>
            <w:pPr>
              <w:spacing w:after="0"/>
              <w:rPr>
                <w:sz w:val="19"/>
                <w:szCs w:val="19"/>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Pr>
          <w:p>
            <w:pPr>
              <w:spacing w:after="0"/>
              <w:rPr>
                <w:sz w:val="19"/>
                <w:szCs w:val="19"/>
                <w:color w:val="auto"/>
              </w:rPr>
            </w:pP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shd w:val="clear" w:color="auto" w:fill="CFF0FC"/>
          </w:tcPr>
          <w:p>
            <w:pPr>
              <w:spacing w:after="0"/>
              <w:rPr>
                <w:sz w:val="20"/>
                <w:szCs w:val="20"/>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Restructuring expenses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(0.1 )</w:t>
            </w:r>
          </w:p>
        </w:tc>
      </w:tr>
      <w:tr>
        <w:trPr>
          <w:trHeight w:val="223"/>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(0.9 )</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(0.5 )</w:t>
            </w:r>
          </w:p>
        </w:tc>
      </w:tr>
      <w:tr>
        <w:trPr>
          <w:trHeight w:val="23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380" w:type="dxa"/>
            <w:vAlign w:val="bottom"/>
            <w:tcBorders>
              <w:top w:val="single" w:sz="8" w:color="auto"/>
            </w:tcBorders>
            <w:shd w:val="clear" w:color="auto" w:fill="CFF0FC"/>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2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80" w:type="dxa"/>
            <w:vAlign w:val="bottom"/>
            <w:shd w:val="clear" w:color="auto" w:fill="CFF0FC"/>
          </w:tcPr>
          <w:p>
            <w:pPr>
              <w:spacing w:after="0"/>
              <w:rPr>
                <w:sz w:val="19"/>
                <w:szCs w:val="19"/>
                <w:color w:val="auto"/>
              </w:rPr>
            </w:pPr>
          </w:p>
        </w:tc>
      </w:tr>
      <w:tr>
        <w:trPr>
          <w:trHeight w:val="239"/>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r>
      <w:tr>
        <w:trPr>
          <w:trHeight w:val="247"/>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13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shd w:val="clear" w:color="auto" w:fill="CFF0FC"/>
          </w:tcPr>
          <w:p>
            <w:pPr>
              <w:spacing w:after="0"/>
              <w:rPr>
                <w:sz w:val="21"/>
                <w:szCs w:val="21"/>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expense, net</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80" w:type="dxa"/>
            <w:vAlign w:val="bottom"/>
          </w:tcPr>
          <w:p>
            <w:pPr>
              <w:spacing w:after="0"/>
              <w:rPr>
                <w:sz w:val="19"/>
                <w:szCs w:val="19"/>
                <w:color w:val="auto"/>
              </w:rPr>
            </w:pP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Interest expense</w:t>
            </w: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FF0FC"/>
          </w:tcPr>
          <w:p>
            <w:pPr>
              <w:spacing w:after="0"/>
              <w:rPr>
                <w:sz w:val="20"/>
                <w:szCs w:val="20"/>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 expense</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Pr>
          <w:p>
            <w:pPr>
              <w:spacing w:after="0"/>
              <w:rPr>
                <w:sz w:val="19"/>
                <w:szCs w:val="19"/>
                <w:color w:val="auto"/>
              </w:rPr>
            </w:pPr>
          </w:p>
        </w:tc>
      </w:tr>
      <w:tr>
        <w:trPr>
          <w:trHeight w:val="248"/>
        </w:trPr>
        <w:tc>
          <w:tcPr>
            <w:tcW w:w="5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3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tcBorders>
              <w:bottom w:val="single" w:sz="8" w:color="CFF0FC"/>
            </w:tcBorders>
            <w:shd w:val="clear" w:color="auto" w:fill="CFF0FC"/>
          </w:tcPr>
          <w:p>
            <w:pPr>
              <w:spacing w:after="0"/>
              <w:rPr>
                <w:sz w:val="21"/>
                <w:szCs w:val="21"/>
                <w:color w:val="auto"/>
              </w:rPr>
            </w:pPr>
          </w:p>
        </w:tc>
      </w:tr>
      <w:tr>
        <w:trPr>
          <w:trHeight w:val="218"/>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Adjusted EBITDA</w:t>
            </w:r>
          </w:p>
        </w:tc>
        <w:tc>
          <w:tcPr>
            <w:tcW w:w="1380" w:type="dxa"/>
            <w:vAlign w:val="bottom"/>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32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280" w:type="dxa"/>
            <w:vAlign w:val="bottom"/>
          </w:tcPr>
          <w:p>
            <w:pPr>
              <w:spacing w:after="0"/>
              <w:rPr>
                <w:sz w:val="18"/>
                <w:szCs w:val="18"/>
                <w:color w:val="auto"/>
              </w:rPr>
            </w:pPr>
          </w:p>
        </w:tc>
      </w:tr>
      <w:tr>
        <w:trPr>
          <w:trHeight w:val="239"/>
        </w:trPr>
        <w:tc>
          <w:tcPr>
            <w:tcW w:w="58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shd w:val="clear" w:color="auto" w:fill="CFF0FC"/>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80" w:type="dxa"/>
            <w:vAlign w:val="bottom"/>
            <w:shd w:val="clear" w:color="auto" w:fill="CFF0FC"/>
          </w:tcPr>
          <w:p>
            <w:pPr>
              <w:spacing w:after="0"/>
              <w:rPr>
                <w:sz w:val="20"/>
                <w:szCs w:val="20"/>
                <w:color w:val="auto"/>
              </w:rPr>
            </w:pPr>
          </w:p>
        </w:tc>
      </w:tr>
      <w:tr>
        <w:trPr>
          <w:trHeight w:val="22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20" w:type="dxa"/>
            <w:vAlign w:val="bottom"/>
          </w:tcPr>
          <w:p>
            <w:pPr>
              <w:spacing w:after="0"/>
              <w:rPr>
                <w:sz w:val="19"/>
                <w:szCs w:val="19"/>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280" w:type="dxa"/>
            <w:vAlign w:val="bottom"/>
          </w:tcPr>
          <w:p>
            <w:pPr>
              <w:spacing w:after="0"/>
              <w:rPr>
                <w:sz w:val="19"/>
                <w:szCs w:val="19"/>
                <w:color w:val="auto"/>
              </w:rPr>
            </w:pPr>
          </w:p>
        </w:tc>
      </w:tr>
      <w:tr>
        <w:trPr>
          <w:trHeight w:val="239"/>
        </w:trPr>
        <w:tc>
          <w:tcPr>
            <w:tcW w:w="58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r>
      <w:tr>
        <w:trPr>
          <w:trHeight w:val="220"/>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per share:</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9"/>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Basic</w:t>
            </w:r>
          </w:p>
        </w:tc>
        <w:tc>
          <w:tcPr>
            <w:tcW w:w="1380" w:type="dxa"/>
            <w:vAlign w:val="bottom"/>
            <w:shd w:val="clear" w:color="auto" w:fill="CFF0FC"/>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80" w:type="dxa"/>
            <w:vAlign w:val="bottom"/>
            <w:shd w:val="clear" w:color="auto" w:fill="CFF0FC"/>
          </w:tcPr>
          <w:p>
            <w:pPr>
              <w:spacing w:after="0"/>
              <w:rPr>
                <w:sz w:val="20"/>
                <w:szCs w:val="20"/>
                <w:color w:val="auto"/>
              </w:rPr>
            </w:pPr>
          </w:p>
        </w:tc>
      </w:tr>
      <w:tr>
        <w:trPr>
          <w:trHeight w:val="210"/>
        </w:trPr>
        <w:tc>
          <w:tcPr>
            <w:tcW w:w="5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Diluted</w:t>
            </w:r>
          </w:p>
        </w:tc>
        <w:tc>
          <w:tcPr>
            <w:tcW w:w="1380" w:type="dxa"/>
            <w:vAlign w:val="bottom"/>
          </w:tcPr>
          <w:p>
            <w:pPr>
              <w:jc w:val="right"/>
              <w:ind w:right="121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20" w:type="dxa"/>
            <w:vAlign w:val="bottom"/>
          </w:tcPr>
          <w:p>
            <w:pPr>
              <w:spacing w:after="0"/>
              <w:rPr>
                <w:sz w:val="18"/>
                <w:szCs w:val="18"/>
                <w:color w:val="auto"/>
              </w:rPr>
            </w:pP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2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-4127500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-4127500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-1307465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-1307465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210"/>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0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r>
      <w:tr>
        <w:trPr>
          <w:trHeight w:val="22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(12.0 )</w:t>
            </w:r>
          </w:p>
        </w:tc>
      </w:tr>
      <w:tr>
        <w:trPr>
          <w:trHeight w:val="220"/>
        </w:trPr>
        <w:tc>
          <w:tcPr>
            <w:tcW w:w="5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580" w:type="dxa"/>
            <w:vAlign w:val="bottom"/>
          </w:tcPr>
          <w:p>
            <w:pPr>
              <w:spacing w:after="0"/>
              <w:rPr>
                <w:sz w:val="19"/>
                <w:szCs w:val="19"/>
                <w:color w:val="auto"/>
              </w:rPr>
            </w:pPr>
          </w:p>
        </w:tc>
        <w:tc>
          <w:tcPr>
            <w:tcW w:w="2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(3.1 )</w:t>
            </w:r>
          </w:p>
        </w:tc>
        <w:tc>
          <w:tcPr>
            <w:tcW w:w="92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(2.5 )</w:t>
            </w:r>
          </w:p>
        </w:tc>
      </w:tr>
      <w:tr>
        <w:trPr>
          <w:trHeight w:val="23"/>
        </w:trPr>
        <w:tc>
          <w:tcPr>
            <w:tcW w:w="5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58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22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(1.9 )</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(14.5 )</w:t>
            </w:r>
          </w:p>
        </w:tc>
      </w:tr>
      <w:tr>
        <w:trPr>
          <w:trHeight w:val="1195"/>
        </w:trPr>
        <w:tc>
          <w:tcPr>
            <w:tcW w:w="5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2023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identify acquisition targets, integrate acquired businesses and realize the synergies from strategic transactions; and the unpredictability and severity of catastrophic events, including cyber 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2024-04-30T06:15:35Z</dcterms:created>
  <dcterms:modified xsi:type="dcterms:W3CDTF">2024-04-30T06:15:35Z</dcterms:modified>
</cp:coreProperties>
</file>