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1,758,858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1,758,858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1,758,858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CECO Environmental Corp.</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right="67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International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125141101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1,758,858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1,758,858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1,758,858</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500"/>
        <w:spacing w:after="0" w:line="259" w:lineRule="auto"/>
        <w:rPr>
          <w:sz w:val="20"/>
          <w:szCs w:val="20"/>
          <w:color w:val="auto"/>
        </w:rPr>
      </w:pPr>
      <w:r>
        <w:rPr>
          <w:rFonts w:ascii="Times New Roman" w:cs="Times New Roman" w:eastAsia="Times New Roman" w:hAnsi="Times New Roman"/>
          <w:sz w:val="22"/>
          <w:szCs w:val="22"/>
          <w:color w:val="auto"/>
        </w:rPr>
        <w:t>"Capital International Investors." CII is deemed to be the beneficial owner of 1,758,858 shares or 5.0% of the 34,960,522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6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Jae Won Chung</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Jae Won Chung</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Vice President and Associate Counsel, Fund Business Management Group, Capital Research and Management Company</w:t>
      </w:r>
    </w:p>
    <w:sectPr>
      <w:pgSz w:w="11900" w:h="16838" w:orient="portrait"/>
      <w:cols w:equalWidth="0" w:num="1">
        <w:col w:w="9500"/>
      </w:cols>
      <w:pgMar w:left="1440" w:top="40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2024-11-13T09:33:44Z</dcterms:created>
  <dcterms:modified xsi:type="dcterms:W3CDTF">2024-11-13T09:33:44Z</dcterms:modified>
</cp:coreProperties>
</file>