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139700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600" w:type="dxa"/>
            <w:vAlign w:val="bottom"/>
          </w:tcPr>
          <w:p>
            <w:pPr>
              <w:jc w:val="center"/>
              <w:ind w:right="1883"/>
              <w:spacing w:after="0"/>
              <w:rPr>
                <w:sz w:val="20"/>
                <w:szCs w:val="20"/>
                <w:color w:val="auto"/>
              </w:rPr>
            </w:pPr>
            <w:r>
              <w:rPr>
                <w:rFonts w:ascii="Arial" w:cs="Arial" w:eastAsia="Arial" w:hAnsi="Arial"/>
                <w:sz w:val="16"/>
                <w:szCs w:val="16"/>
                <w:b w:val="1"/>
                <w:bCs w:val="1"/>
                <w:color w:val="auto"/>
                <w:w w:val="91"/>
              </w:rPr>
              <w:t>Delaware</w:t>
            </w:r>
          </w:p>
        </w:tc>
        <w:tc>
          <w:tcPr>
            <w:tcW w:w="2520" w:type="dxa"/>
            <w:vAlign w:val="bottom"/>
          </w:tcPr>
          <w:p>
            <w:pPr>
              <w:jc w:val="center"/>
              <w:ind w:right="345"/>
              <w:spacing w:after="0"/>
              <w:rPr>
                <w:sz w:val="20"/>
                <w:szCs w:val="20"/>
                <w:color w:val="auto"/>
              </w:rPr>
            </w:pPr>
            <w:r>
              <w:rPr>
                <w:rFonts w:ascii="Arial" w:cs="Arial" w:eastAsia="Arial" w:hAnsi="Arial"/>
                <w:sz w:val="16"/>
                <w:szCs w:val="16"/>
                <w:b w:val="1"/>
                <w:bCs w:val="1"/>
                <w:color w:val="auto"/>
                <w:w w:val="91"/>
              </w:rPr>
              <w:t>000-7099</w:t>
            </w:r>
          </w:p>
        </w:tc>
        <w:tc>
          <w:tcPr>
            <w:tcW w:w="2920" w:type="dxa"/>
            <w:vAlign w:val="bottom"/>
          </w:tcPr>
          <w:p>
            <w:pPr>
              <w:jc w:val="center"/>
              <w:ind w:left="1704"/>
              <w:spacing w:after="0"/>
              <w:rPr>
                <w:sz w:val="20"/>
                <w:szCs w:val="20"/>
                <w:color w:val="auto"/>
              </w:rPr>
            </w:pPr>
            <w:r>
              <w:rPr>
                <w:rFonts w:ascii="Arial" w:cs="Arial" w:eastAsia="Arial" w:hAnsi="Arial"/>
                <w:sz w:val="16"/>
                <w:szCs w:val="16"/>
                <w:b w:val="1"/>
                <w:bCs w:val="1"/>
                <w:color w:val="auto"/>
                <w:w w:val="91"/>
              </w:rPr>
              <w:t>13-2566064</w:t>
            </w:r>
          </w:p>
        </w:tc>
      </w:tr>
      <w:tr>
        <w:trPr>
          <w:trHeight w:val="159"/>
        </w:trPr>
        <w:tc>
          <w:tcPr>
            <w:tcW w:w="3600" w:type="dxa"/>
            <w:vAlign w:val="bottom"/>
          </w:tcPr>
          <w:p>
            <w:pPr>
              <w:jc w:val="center"/>
              <w:ind w:right="1883"/>
              <w:spacing w:after="0" w:line="15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365"/>
              <w:spacing w:after="0" w:line="159" w:lineRule="exact"/>
              <w:rPr>
                <w:sz w:val="20"/>
                <w:szCs w:val="20"/>
                <w:color w:val="auto"/>
              </w:rPr>
            </w:pPr>
            <w:r>
              <w:rPr>
                <w:rFonts w:ascii="Arial" w:cs="Arial" w:eastAsia="Arial" w:hAnsi="Arial"/>
                <w:sz w:val="14"/>
                <w:szCs w:val="14"/>
                <w:b w:val="1"/>
                <w:bCs w:val="1"/>
                <w:color w:val="auto"/>
                <w:w w:val="90"/>
              </w:rPr>
              <w:t>(Commission</w:t>
            </w:r>
          </w:p>
        </w:tc>
        <w:tc>
          <w:tcPr>
            <w:tcW w:w="2920" w:type="dxa"/>
            <w:vAlign w:val="bottom"/>
          </w:tcPr>
          <w:p>
            <w:pPr>
              <w:jc w:val="center"/>
              <w:ind w:left="1704"/>
              <w:spacing w:after="0" w:line="15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00" w:type="dxa"/>
            <w:vAlign w:val="bottom"/>
          </w:tcPr>
          <w:p>
            <w:pPr>
              <w:jc w:val="center"/>
              <w:ind w:right="1883"/>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jc w:val="center"/>
              <w:ind w:right="345"/>
              <w:spacing w:after="0"/>
              <w:rPr>
                <w:sz w:val="20"/>
                <w:szCs w:val="20"/>
                <w:color w:val="auto"/>
              </w:rPr>
            </w:pPr>
            <w:r>
              <w:rPr>
                <w:rFonts w:ascii="Arial" w:cs="Arial" w:eastAsia="Arial" w:hAnsi="Arial"/>
                <w:sz w:val="14"/>
                <w:szCs w:val="14"/>
                <w:b w:val="1"/>
                <w:bCs w:val="1"/>
                <w:color w:val="auto"/>
                <w:w w:val="95"/>
              </w:rPr>
              <w:t>File Number)</w:t>
            </w:r>
          </w:p>
        </w:tc>
        <w:tc>
          <w:tcPr>
            <w:tcW w:w="2920" w:type="dxa"/>
            <w:vAlign w:val="bottom"/>
          </w:tcPr>
          <w:p>
            <w:pPr>
              <w:jc w:val="center"/>
              <w:ind w:left="1704"/>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14651 North Dallas Parkway</w:t>
            </w:r>
          </w:p>
        </w:tc>
        <w:tc>
          <w:tcPr>
            <w:tcW w:w="25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Suite 500</w:t>
            </w:r>
          </w:p>
        </w:tc>
        <w:tc>
          <w:tcPr>
            <w:tcW w:w="252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6"/>
              </w:rPr>
              <w:t>Dallas, TX</w:t>
            </w:r>
          </w:p>
        </w:tc>
        <w:tc>
          <w:tcPr>
            <w:tcW w:w="2520" w:type="dxa"/>
            <w:vAlign w:val="bottom"/>
          </w:tcPr>
          <w:p>
            <w:pPr>
              <w:spacing w:after="0"/>
              <w:rPr>
                <w:sz w:val="19"/>
                <w:szCs w:val="19"/>
                <w:color w:val="auto"/>
              </w:rPr>
            </w:pPr>
          </w:p>
        </w:tc>
        <w:tc>
          <w:tcPr>
            <w:tcW w:w="2920" w:type="dxa"/>
            <w:vAlign w:val="bottom"/>
          </w:tcPr>
          <w:p>
            <w:pPr>
              <w:jc w:val="right"/>
              <w:ind w:right="1244"/>
              <w:spacing w:after="0"/>
              <w:rPr>
                <w:sz w:val="20"/>
                <w:szCs w:val="20"/>
                <w:color w:val="auto"/>
              </w:rPr>
            </w:pPr>
            <w:r>
              <w:rPr>
                <w:rFonts w:ascii="Arial" w:cs="Arial" w:eastAsia="Arial" w:hAnsi="Arial"/>
                <w:sz w:val="16"/>
                <w:szCs w:val="16"/>
                <w:b w:val="1"/>
                <w:bCs w:val="1"/>
                <w:color w:val="auto"/>
              </w:rPr>
              <w:t>75254</w:t>
            </w:r>
          </w:p>
        </w:tc>
      </w:tr>
      <w:tr>
        <w:trPr>
          <w:trHeight w:val="19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7"/>
                <w:szCs w:val="17"/>
                <w:color w:val="auto"/>
              </w:rPr>
            </w:pPr>
          </w:p>
        </w:tc>
        <w:tc>
          <w:tcPr>
            <w:tcW w:w="292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460" w:hanging="3752"/>
        <w:spacing w:after="0" w:line="487" w:lineRule="auto"/>
        <w:tabs>
          <w:tab w:leader="none" w:pos="516"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47"/>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52"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7" w:lineRule="exact"/>
        <w:rPr>
          <w:sz w:val="24"/>
          <w:szCs w:val="24"/>
          <w:color w:val="auto"/>
        </w:rPr>
      </w:pPr>
    </w:p>
    <w:p>
      <w:pPr>
        <w:ind w:right="54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8, 2023, CECO Environmental Corp. (the “Company”) issued a press release announcing its financial results for the second quarter ended June 30, 2023. A copy of the press release is furnished as Exhibit 99.1 to this report and is incorporated herein by reference.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40" w:type="dxa"/>
            <w:vAlign w:val="bottom"/>
          </w:tcPr>
          <w:p>
            <w:pPr>
              <w:spacing w:after="0"/>
              <w:rPr>
                <w:sz w:val="16"/>
                <w:szCs w:val="16"/>
                <w:color w:val="auto"/>
              </w:rPr>
            </w:pPr>
          </w:p>
        </w:tc>
        <w:tc>
          <w:tcPr>
            <w:tcW w:w="9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291"/>
        </w:trPr>
        <w:tc>
          <w:tcPr>
            <w:tcW w:w="160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0000FF"/>
              </w:rPr>
              <w:t>Press Release, CECO Environmental Reports Second Quarter 2023 Results</w:t>
            </w:r>
          </w:p>
        </w:tc>
      </w:tr>
      <w:tr>
        <w:trPr>
          <w:trHeight w:val="20"/>
        </w:trPr>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53"/>
        </w:trPr>
        <w:tc>
          <w:tcPr>
            <w:tcW w:w="16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08"/>
        </w:trPr>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Date: August 8, 2023</w:t>
            </w:r>
          </w:p>
        </w:tc>
        <w:tc>
          <w:tcPr>
            <w:tcW w:w="7140" w:type="dxa"/>
            <w:vAlign w:val="bottom"/>
            <w:gridSpan w:val="2"/>
          </w:tcPr>
          <w:p>
            <w:pPr>
              <w:ind w:left="2540"/>
              <w:spacing w:after="0"/>
              <w:rPr>
                <w:sz w:val="20"/>
                <w:szCs w:val="20"/>
                <w:color w:val="auto"/>
              </w:rPr>
            </w:pPr>
            <w:r>
              <w:rPr>
                <w:rFonts w:ascii="Arial" w:cs="Arial" w:eastAsia="Arial" w:hAnsi="Arial"/>
                <w:sz w:val="18"/>
                <w:szCs w:val="18"/>
                <w:color w:val="auto"/>
              </w:rPr>
              <w:t>CECO Environmental Corp.</w:t>
            </w:r>
          </w:p>
        </w:tc>
      </w:tr>
      <w:tr>
        <w:trPr>
          <w:trHeight w:val="493"/>
        </w:trPr>
        <w:tc>
          <w:tcPr>
            <w:tcW w:w="4100" w:type="dxa"/>
            <w:vAlign w:val="bottom"/>
          </w:tcPr>
          <w:p>
            <w:pPr>
              <w:spacing w:after="0"/>
              <w:rPr>
                <w:sz w:val="24"/>
                <w:szCs w:val="24"/>
                <w:color w:val="auto"/>
              </w:rPr>
            </w:pPr>
          </w:p>
        </w:tc>
        <w:tc>
          <w:tcPr>
            <w:tcW w:w="3140" w:type="dxa"/>
            <w:vAlign w:val="bottom"/>
          </w:tcPr>
          <w:p>
            <w:pPr>
              <w:ind w:left="254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M. Gohr</w:t>
            </w:r>
          </w:p>
        </w:tc>
      </w:tr>
      <w:tr>
        <w:trPr>
          <w:trHeight w:val="230"/>
        </w:trPr>
        <w:tc>
          <w:tcPr>
            <w:tcW w:w="4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Paul M. Gohr</w:t>
            </w:r>
          </w:p>
        </w:tc>
      </w:tr>
      <w:tr>
        <w:trPr>
          <w:trHeight w:val="242"/>
        </w:trPr>
        <w:tc>
          <w:tcPr>
            <w:tcW w:w="41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344"/>
        </w:trPr>
        <w:tc>
          <w:tcPr>
            <w:tcW w:w="4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40"/>
        <w:spacing w:after="0" w:line="266" w:lineRule="auto"/>
        <w:rPr>
          <w:sz w:val="20"/>
          <w:szCs w:val="20"/>
          <w:color w:val="auto"/>
        </w:rPr>
      </w:pPr>
      <w:r>
        <w:rPr>
          <w:rFonts w:ascii="Arial" w:cs="Arial" w:eastAsia="Arial" w:hAnsi="Arial"/>
          <w:sz w:val="18"/>
          <w:szCs w:val="18"/>
          <w:b w:val="1"/>
          <w:bCs w:val="1"/>
          <w:color w:val="auto"/>
        </w:rPr>
        <w:t xml:space="preserve">CECO ENVIRONMENTAL REPORTS SECOND QUARTER 2023 RESULTS </w:t>
      </w:r>
      <w:r>
        <w:rPr>
          <w:rFonts w:ascii="Arial" w:cs="Arial" w:eastAsia="Arial" w:hAnsi="Arial"/>
          <w:sz w:val="18"/>
          <w:szCs w:val="18"/>
          <w:i w:val="1"/>
          <w:iCs w:val="1"/>
          <w:color w:val="auto"/>
        </w:rPr>
        <w:t>Record Orders, Revenue, Backlog, Gross Profit and Adjusted EBITDA Company Raises Full Year 2023 Outlook</w:t>
      </w:r>
    </w:p>
    <w:p>
      <w:pPr>
        <w:spacing w:after="0" w:line="39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DALLAS (August 8, 2023) -- CECO Environmental Corp. (Nasdaq: CECO) ("CECO")</w:t>
      </w:r>
      <w:r>
        <w:rPr>
          <w:rFonts w:ascii="Arial" w:cs="Arial" w:eastAsia="Arial" w:hAnsi="Arial"/>
          <w:sz w:val="16"/>
          <w:szCs w:val="16"/>
          <w:color w:val="auto"/>
        </w:rPr>
        <w:t>, a leading environmentally focused, diversified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whose solutions protect people, the environment, and industrial equipment, today reported its financial results for the second quarter of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for the Quarter</w:t>
      </w:r>
      <w:r>
        <w:rPr>
          <w:rFonts w:ascii="Arial" w:cs="Arial" w:eastAsia="Arial" w:hAnsi="Arial"/>
          <w:sz w:val="24"/>
          <w:szCs w:val="24"/>
          <w:b w:val="1"/>
          <w:bCs w:val="1"/>
          <w:color w:val="auto"/>
          <w:vertAlign w:val="superscript"/>
        </w:rPr>
        <w:t>(1)</w:t>
      </w:r>
    </w:p>
    <w:p>
      <w:pPr>
        <w:spacing w:after="0" w:line="61" w:lineRule="exact"/>
        <w:rPr>
          <w:sz w:val="20"/>
          <w:szCs w:val="20"/>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Orders of $162.9 million, up 44 percent; Record backlog of $391.0 million, up 35 percent</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 of $129.2 million, up 23 percent; Net income of $3.7 million, compared to $4.4 million; Non-GAAP net income of $5.2 million, compared to $6.4 million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GAAP EPS (diluted) of $0.11, compared to $0.13; Non-GAAP EPS (diluted) of $0.15, compared to $0.18</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Gross profit of $39.8 million, up 26 percent to 30.8 percent, up 70 bps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EBITDA of $13.7 million, up 29 percent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Book-to-bill ratio of 1.26</w:t>
      </w:r>
    </w:p>
    <w:p>
      <w:pPr>
        <w:spacing w:after="0" w:line="237" w:lineRule="exact"/>
        <w:rPr>
          <w:rFonts w:ascii="Arial" w:cs="Arial" w:eastAsia="Arial" w:hAnsi="Arial"/>
          <w:sz w:val="18"/>
          <w:szCs w:val="18"/>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All comparisons are versus the comparable prior year period, unless otherwise stated.</w:t>
      </w:r>
    </w:p>
    <w:p>
      <w:pPr>
        <w:spacing w:after="0"/>
        <w:rPr>
          <w:sz w:val="20"/>
          <w:szCs w:val="20"/>
          <w:color w:val="auto"/>
        </w:rPr>
      </w:pPr>
      <w:r>
        <w:rPr>
          <w:rFonts w:ascii="Arial" w:cs="Arial" w:eastAsia="Arial" w:hAnsi="Arial"/>
          <w:sz w:val="14"/>
          <w:szCs w:val="14"/>
          <w:color w:val="auto"/>
        </w:rPr>
        <w:t>Reconciliations of GAAP (reported) to non-GAAP measures are in the attached financial tables.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quarter results continue to demonstrate the sustainable growth programs and market leadership positions we have been steadily building over the past few years, and bolsters our position as we enter the back half of the year. I am pleased that we set new records across a broad set of core financial metrics, which were driven by great execution from our entire team. Although there is still work to be done, it is especially rewarding to have generated record backlog on top of delivering the highest quarterly revenue in company history while adding a book-to-bill ratio of greater than 1.25 for the third consecutive quarter,” said CECO Chief Executive Officer, Todd Gleason.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Second quarter operating income was $8.6 million, up $2.9 million when compared to $5.7 million in the second quarter of 2022. On an adjusted basis, non-GAAP operating income was $11.4 million, up $2.7 million when compared to $8.7 million in the second quarter of 2022. Net income was $3.7 million in the quarter, down $0.7 million compared to $4.4 million in the second quarter of 2022. Non-GAAP net income was $5.2 million, down $1.2 million compared to $6.4 million in the second quarter of 2022. Adjusted EBITDA of $13.7 million was up $3.1 million compared to $10.6 million in the second quarter of 2022. Free cash flow in the quarter was $10.0 million, down $9.1 million compared to $19.1 million in the second quarter of 2022.</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23 percent revenue growth in the quarter was comprised of 16 points of organic growth and seven points from acquisitions. Additionally, we continue to steadily improve our gross profit dollars and gross margins which are up 150 basis points in the first half of 2023 when compared to the same period a year ago. Over the past few years, we have been investing in strategic growth programs and operational excellence resources to generate sustainable and higher performing financial results. We are just starting to see these strategic shifts positively impact our financials as we believe we are in the early stages of creating more sustained top-line and bottom-line growth and margin expansion,” added Gleason.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Raises Full Year 2023 Outlook</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increased its expected full year 2023 guidance to reflect revenues forecasted to be between $500 and $525 million, up at least 21 percent, at the mid-point, year over year. The Company also updated its expected full year 2023 adjusted EBITDA forecasted to be between $50 and $55 million, up approximately 25 percent, at the mid-point, year over year. The updated expected full year revenue and adjusted EBITDA guidance compares to the previous outlook, provided in May, of revenues to exceed $485 million and adjusted EBITDA to exceed $50 million.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increase our full year guidance, which reflects continued confidence in the high performance and advantageous diversity of the CECO portfolio. Our record backlog and strong sales pipeline provide strong visibility in support of sustainable future growth. Additionally, the acquisitions we have completed over the past year and a half are all performing at or above the high-growth financials associated with each transaction,” stated Gleason. “As I discussed last quarter and reiterate today, we expect 2023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another building block in our steady transformational journey to further advance our leadership in our Industrial Air, Industrial Water and Energy Transition markets which we expect to provide long-term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EARNINGS CONFERENCE CALL</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conference call is scheduled for today at 8:30 a.m. ET to discuss the second quarter 2023 financial results. Please visit the Investor Relations portion of the website (https://investors.cecoenviro.com) to listen to the call via webcast. The conference call may also be accessed by dialing 888-346-4547 (Toll-Free) within the U.S., or +1-412-317-5251 (Toll-Required) outside the U.S.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of the conference call will be available on the Company’s website for a period of one year. The replay may also be accessed by dialing 877-344-7529 (Toll-Free) within the U.S., or +1-412-317-0088 (Toll-Required) outside the U.S. and entering access code 7832794.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CECO Environmental is a leading environmentally focused, diversified industrial company, serving the broad landscape of industrial air, industrial water and energy transition markets globally by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Johansson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888-990-6670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investor.relations@onececo.com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Hooser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214-872-2710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investor.relations@onececo.com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6"/>
                <w:szCs w:val="16"/>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2022</w:t>
            </w: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45,522</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126,663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83,086</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61,905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71,016</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15,634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12,174</w:t>
            </w:r>
          </w:p>
        </w:tc>
        <w:tc>
          <w:tcPr>
            <w:tcW w:w="14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291,038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240,658</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20,828</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11,530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11,373</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199,736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183,197</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Intangible assets – finite life,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42,899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35,251</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indefinite life</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charges and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582,618</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504,721</w:t>
            </w:r>
          </w:p>
        </w:tc>
        <w:tc>
          <w:tcPr>
            <w:tcW w:w="14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debt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116,254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107,198</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32,716</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3,788</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188,220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146,700</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15,129</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137,322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107,625</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liability,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140" w:type="dxa"/>
            <w:vAlign w:val="bottom"/>
          </w:tcPr>
          <w:p>
            <w:pPr>
              <w:spacing w:after="0"/>
              <w:rPr>
                <w:sz w:val="20"/>
                <w:szCs w:val="20"/>
                <w:color w:val="auto"/>
              </w:rPr>
            </w:pPr>
          </w:p>
        </w:tc>
      </w:tr>
      <w:tr>
        <w:trPr>
          <w:trHeight w:val="237"/>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355,470</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286,573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8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$.01 par value; 100,000,000 shares authorized, 34,738,126 and</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34,381,668 shares issued and outstanding at June 30, 2023 and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December 31, 2022, respectively</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252,406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250,174</w:t>
            </w:r>
          </w:p>
        </w:tc>
        <w:tc>
          <w:tcPr>
            <w:tcW w:w="14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loss</w:t>
            </w:r>
          </w:p>
        </w:tc>
        <w:tc>
          <w:tcPr>
            <w:tcW w:w="2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(13,596 )</w:t>
            </w:r>
          </w:p>
        </w:tc>
        <w:tc>
          <w:tcPr>
            <w:tcW w:w="2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(19,298 )</w:t>
            </w: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(17,091 )</w:t>
            </w:r>
          </w:p>
        </w:tc>
        <w:tc>
          <w:tcPr>
            <w:tcW w:w="20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(17,996 )</w:t>
            </w:r>
          </w:p>
        </w:tc>
      </w:tr>
      <w:tr>
        <w:trPr>
          <w:trHeight w:val="243"/>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CECO shareholders' equity</w:t>
            </w:r>
          </w:p>
        </w:tc>
        <w:tc>
          <w:tcPr>
            <w:tcW w:w="28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222,066</w:t>
            </w:r>
          </w:p>
        </w:tc>
        <w:tc>
          <w:tcPr>
            <w:tcW w:w="3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213,224</w:t>
            </w:r>
          </w:p>
        </w:tc>
        <w:tc>
          <w:tcPr>
            <w:tcW w:w="140" w:type="dxa"/>
            <w:vAlign w:val="bottom"/>
            <w:shd w:val="clear" w:color="auto" w:fill="CFF0FC"/>
          </w:tcPr>
          <w:p>
            <w:pPr>
              <w:spacing w:after="0"/>
              <w:rPr>
                <w:sz w:val="21"/>
                <w:szCs w:val="2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20"/>
                <w:szCs w:val="20"/>
                <w:color w:val="auto"/>
              </w:rPr>
            </w:pPr>
          </w:p>
        </w:tc>
      </w:tr>
      <w:tr>
        <w:trPr>
          <w:trHeight w:val="237"/>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227,148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218,148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320" w:type="dxa"/>
            <w:vAlign w:val="bottom"/>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582,618</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504,721</w:t>
            </w:r>
          </w:p>
        </w:tc>
        <w:tc>
          <w:tcPr>
            <w:tcW w:w="14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04"/>
        </w:trPr>
        <w:tc>
          <w:tcPr>
            <w:tcW w:w="7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-6017260</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-6017260</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-4773930</wp:posOffset>
            </wp:positionV>
            <wp:extent cx="8572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-4773930</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-3505835</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-3505835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-2562225</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-2562225</wp:posOffset>
            </wp:positionV>
            <wp:extent cx="857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-719455</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-719455</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129,181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105,375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241,744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197,811</w:t>
            </w:r>
          </w:p>
        </w:tc>
        <w:tc>
          <w:tcPr>
            <w:tcW w:w="140" w:type="dxa"/>
            <w:vAlign w:val="bottom"/>
            <w:shd w:val="clear" w:color="auto" w:fill="CFF0FC"/>
          </w:tcPr>
          <w:p>
            <w:pPr>
              <w:spacing w:after="0"/>
              <w:rPr>
                <w:sz w:val="20"/>
                <w:szCs w:val="2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89,364</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73,700</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167,034</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139,708</w:t>
            </w:r>
          </w:p>
        </w:tc>
        <w:tc>
          <w:tcPr>
            <w:tcW w:w="140" w:type="dxa"/>
            <w:vAlign w:val="bottom"/>
          </w:tcPr>
          <w:p>
            <w:pPr>
              <w:spacing w:after="0"/>
              <w:rPr>
                <w:sz w:val="21"/>
                <w:szCs w:val="21"/>
                <w:color w:val="auto"/>
              </w:rPr>
            </w:pPr>
          </w:p>
        </w:tc>
      </w:tr>
      <w:tr>
        <w:trPr>
          <w:trHeight w:val="237"/>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58,103</w:t>
            </w: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22,988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55,644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41,640</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40" w:type="dxa"/>
            <w:vAlign w:val="bottom"/>
            <w:shd w:val="clear" w:color="auto" w:fill="CFF0FC"/>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Acquisition and integration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transition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1"/>
                <w:szCs w:val="21"/>
                <w:color w:val="auto"/>
              </w:rPr>
            </w:pPr>
          </w:p>
        </w:tc>
      </w:tr>
      <w:tr>
        <w:trPr>
          <w:trHeight w:val="237"/>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14,064</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(453 )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(3,750 )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(1,098 )</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(6,158 )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(1,920 )</w:t>
            </w:r>
          </w:p>
        </w:tc>
      </w:tr>
      <w:tr>
        <w:trPr>
          <w:trHeight w:val="230"/>
        </w:trPr>
        <w:tc>
          <w:tcPr>
            <w:tcW w:w="52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140" w:type="dxa"/>
            <w:vAlign w:val="bottom"/>
            <w:tcBorders>
              <w:top w:val="single" w:sz="8" w:color="CFF0FC"/>
            </w:tcBorders>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7,536</w:t>
            </w: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Net income attributable to CECO Environmental Corp.</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w:t>
            </w:r>
          </w:p>
        </w:tc>
        <w:tc>
          <w:tcPr>
            <w:tcW w:w="140" w:type="dxa"/>
            <w:vAlign w:val="bottom"/>
          </w:tcPr>
          <w:p>
            <w:pPr>
              <w:spacing w:after="0"/>
              <w:rPr>
                <w:sz w:val="20"/>
                <w:szCs w:val="20"/>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34,619,216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34,873,238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34,531,050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34,961,645</w:t>
            </w:r>
          </w:p>
        </w:tc>
        <w:tc>
          <w:tcPr>
            <w:tcW w:w="140" w:type="dxa"/>
            <w:vAlign w:val="bottom"/>
            <w:shd w:val="clear" w:color="auto" w:fill="CFF0FC"/>
          </w:tcPr>
          <w:p>
            <w:pPr>
              <w:spacing w:after="0"/>
              <w:rPr>
                <w:sz w:val="21"/>
                <w:szCs w:val="2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35,143,782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35,041,152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35,171,727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35,119,685</w:t>
            </w:r>
          </w:p>
        </w:tc>
        <w:tc>
          <w:tcPr>
            <w:tcW w:w="140" w:type="dxa"/>
            <w:vAlign w:val="bottom"/>
          </w:tcPr>
          <w:p>
            <w:pPr>
              <w:spacing w:after="0"/>
              <w:rPr>
                <w:sz w:val="20"/>
                <w:szCs w:val="20"/>
                <w:color w:val="auto"/>
              </w:rPr>
            </w:pPr>
          </w:p>
        </w:tc>
      </w:tr>
      <w:tr>
        <w:trPr>
          <w:trHeight w:val="803"/>
        </w:trPr>
        <w:tc>
          <w:tcPr>
            <w:tcW w:w="5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-2296795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-2296795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-2296795</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-2296795</wp:posOffset>
            </wp:positionV>
            <wp:extent cx="857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-1979930</wp:posOffset>
            </wp:positionV>
            <wp:extent cx="85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-1979930</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-1979930</wp:posOffset>
            </wp:positionV>
            <wp:extent cx="8572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-1979930</wp:posOffset>
            </wp:positionV>
            <wp:extent cx="857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-1662430</wp:posOffset>
            </wp:positionV>
            <wp:extent cx="857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-1662430</wp:posOffset>
            </wp:positionV>
            <wp:extent cx="857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-1662430</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-1662430</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-1002665</wp:posOffset>
            </wp:positionV>
            <wp:extent cx="303466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3466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2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6,460</w:t>
            </w:r>
          </w:p>
        </w:tc>
        <w:tc>
          <w:tcPr>
            <w:tcW w:w="32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7,536</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5,650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4,668</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foreign currency gain</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(863 )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(5 )</w:t>
            </w: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Fair value adjustment to earnout liabilities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Earnout payments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(1,007 )</w:t>
            </w: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Gain (loss) on sale of property and equipment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discount amortization</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1,967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1,792</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Bad debt (recoveries) expense</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(23 )</w:t>
            </w: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Inventory reserve expense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 net of acquisitions: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(39,181 )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(18,582 )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9,596</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(4,081 )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(3,393 )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 and other current assets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(8,319 )</w:t>
            </w: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Deferred charges and other assets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(306 )</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2,472</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expenses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3,902</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16,538</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26,005</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7,846</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payable</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(3,126 )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(2,405 )</w:t>
            </w:r>
          </w:p>
        </w:tc>
      </w:tr>
      <w:tr>
        <w:trPr>
          <w:trHeight w:val="23"/>
        </w:trPr>
        <w:tc>
          <w:tcPr>
            <w:tcW w:w="7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(611 )</w:t>
            </w: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18,691</w:t>
            </w:r>
          </w:p>
        </w:tc>
        <w:tc>
          <w:tcPr>
            <w:tcW w:w="140" w:type="dxa"/>
            <w:vAlign w:val="bottom"/>
            <w:shd w:val="clear" w:color="auto" w:fill="CFF0FC"/>
          </w:tcPr>
          <w:p>
            <w:pPr>
              <w:spacing w:after="0"/>
              <w:rPr>
                <w:sz w:val="19"/>
                <w:szCs w:val="19"/>
                <w:color w:val="auto"/>
              </w:rPr>
            </w:pPr>
          </w:p>
        </w:tc>
      </w:tr>
      <w:tr>
        <w:trPr>
          <w:trHeight w:val="220"/>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property and equipment</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(3,919 )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(1,432 )</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Net proceeds from sale of assets</w:t>
            </w:r>
          </w:p>
        </w:tc>
        <w:tc>
          <w:tcPr>
            <w:tcW w:w="4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r>
      <w:tr>
        <w:trPr>
          <w:trHeight w:val="22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paid for acquisitions</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(24,142 )</w:t>
            </w:r>
          </w:p>
        </w:tc>
        <w:tc>
          <w:tcPr>
            <w:tcW w:w="7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(37,372 )</w:t>
            </w:r>
          </w:p>
        </w:tc>
      </w:tr>
      <w:tr>
        <w:trPr>
          <w:trHeight w:val="23"/>
        </w:trPr>
        <w:tc>
          <w:tcPr>
            <w:tcW w:w="71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3"/>
        </w:trPr>
        <w:tc>
          <w:tcPr>
            <w:tcW w:w="718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(28,061 )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(38,797 )</w:t>
            </w:r>
          </w:p>
        </w:tc>
      </w:tr>
      <w:tr>
        <w:trPr>
          <w:trHeight w:val="230"/>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Borrowings on revolving credit lines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65,300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47,600</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on revolving credit lines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(33,400 )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(24,900 )</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Borrowing on long-term debt</w:t>
            </w:r>
          </w:p>
        </w:tc>
        <w:tc>
          <w:tcPr>
            <w:tcW w:w="4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11,000</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of long-term debt</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(1,652 )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(1,469 )</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Deferred financing fees paid</w:t>
            </w:r>
          </w:p>
        </w:tc>
        <w:tc>
          <w:tcPr>
            <w:tcW w:w="4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(130 )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consideration paid for acquisitions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(857 )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Payments on finance leases and financing liability</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(450 )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(293 )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1,156</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Noncontrolling interest distributions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(599 )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(900 )</w:t>
            </w:r>
          </w:p>
        </w:tc>
      </w:tr>
      <w:tr>
        <w:trPr>
          <w:trHeight w:val="23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repurchase</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(4,324 )</w:t>
            </w:r>
          </w:p>
        </w:tc>
      </w:tr>
      <w:tr>
        <w:trPr>
          <w:trHeight w:val="223"/>
        </w:trPr>
        <w:tc>
          <w:tcPr>
            <w:tcW w:w="71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29,498</w:t>
            </w: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26,655</w:t>
            </w:r>
          </w:p>
        </w:tc>
        <w:tc>
          <w:tcPr>
            <w:tcW w:w="140" w:type="dxa"/>
            <w:vAlign w:val="bottom"/>
            <w:tcBorders>
              <w:top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(3,091 )</w:t>
            </w:r>
          </w:p>
        </w:tc>
      </w:tr>
      <w:tr>
        <w:trPr>
          <w:trHeight w:val="220"/>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3,458</w:t>
            </w:r>
          </w:p>
        </w:tc>
        <w:tc>
          <w:tcPr>
            <w:tcW w:w="140" w:type="dxa"/>
            <w:vAlign w:val="bottom"/>
            <w:tcBorders>
              <w:top w:val="single" w:sz="8" w:color="CFF0FC"/>
            </w:tcBorders>
          </w:tcPr>
          <w:p>
            <w:pPr>
              <w:spacing w:after="0"/>
              <w:rPr>
                <w:sz w:val="19"/>
                <w:szCs w:val="19"/>
                <w:color w:val="auto"/>
              </w:rPr>
            </w:pPr>
          </w:p>
        </w:tc>
      </w:tr>
      <w:tr>
        <w:trPr>
          <w:trHeight w:val="23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46,585</w:t>
            </w:r>
          </w:p>
        </w:tc>
        <w:tc>
          <w:tcPr>
            <w:tcW w:w="3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31,995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48,552</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35,453</w:t>
            </w:r>
          </w:p>
        </w:tc>
        <w:tc>
          <w:tcPr>
            <w:tcW w:w="14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during the period for:</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223"/>
        </w:trPr>
        <w:tc>
          <w:tcPr>
            <w:tcW w:w="7180" w:type="dxa"/>
            <w:vAlign w:val="bottom"/>
          </w:tcPr>
          <w:p>
            <w:pPr>
              <w:ind w:left="200"/>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4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7,605</w:t>
            </w: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534"/>
        </w:trPr>
        <w:tc>
          <w:tcPr>
            <w:tcW w:w="7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-4002405</wp:posOffset>
            </wp:positionV>
            <wp:extent cx="857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-4002405</wp:posOffset>
            </wp:positionV>
            <wp:extent cx="8572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-3411220</wp:posOffset>
            </wp:positionV>
            <wp:extent cx="8572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-3411220</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-1645285</wp:posOffset>
            </wp:positionV>
            <wp:extent cx="85725"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-1645285</wp:posOffset>
            </wp:positionV>
            <wp:extent cx="8572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-1336675</wp:posOffset>
            </wp:positionV>
            <wp:extent cx="8572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-1336675</wp:posOffset>
            </wp:positionV>
            <wp:extent cx="8572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-1036320</wp:posOffset>
            </wp:positionV>
            <wp:extent cx="8572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-1036320</wp:posOffset>
            </wp:positionV>
            <wp:extent cx="8572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-710565</wp:posOffset>
            </wp:positionV>
            <wp:extent cx="8572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-710565</wp:posOffset>
            </wp:positionV>
            <wp:extent cx="8572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-385445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-367665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-367665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7"/>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ratios)</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as reported in accordance with GAAP</w:t>
            </w:r>
          </w:p>
        </w:tc>
        <w:tc>
          <w:tcPr>
            <w:tcW w:w="80" w:type="dxa"/>
            <w:vAlign w:val="bottom"/>
            <w:shd w:val="clear" w:color="auto" w:fill="CFF0FC"/>
          </w:tcPr>
          <w:p>
            <w:pPr>
              <w:spacing w:after="0"/>
              <w:rPr>
                <w:sz w:val="20"/>
                <w:szCs w:val="20"/>
                <w:color w:val="auto"/>
              </w:rPr>
            </w:pPr>
          </w:p>
        </w:tc>
        <w:tc>
          <w:tcPr>
            <w:tcW w:w="820" w:type="dxa"/>
            <w:vAlign w:val="bottom"/>
            <w:tcBorders>
              <w:top w:val="single" w:sz="8" w:color="auto"/>
              <w:left w:val="single" w:sz="8" w:color="CFF0FC"/>
            </w:tcBorders>
            <w:shd w:val="clear" w:color="auto" w:fill="CFF0FC"/>
          </w:tcPr>
          <w:p>
            <w:pPr>
              <w:jc w:val="right"/>
              <w:ind w:right="582"/>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280" w:type="dxa"/>
            <w:vAlign w:val="bottom"/>
            <w:tcBorders>
              <w:right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10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i w:val="1"/>
                <w:iCs w:val="1"/>
                <w:color w:val="auto"/>
              </w:rPr>
              <w:t>Operating margin in accordance with GAAP</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6.7 %</w:t>
            </w:r>
          </w:p>
        </w:tc>
        <w:tc>
          <w:tcPr>
            <w:tcW w:w="84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5.4 %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5.8 %</w:t>
            </w:r>
          </w:p>
        </w:tc>
        <w:tc>
          <w:tcPr>
            <w:tcW w:w="2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i w:val="1"/>
                <w:iCs w:val="1"/>
                <w:color w:val="auto"/>
              </w:rPr>
              <w:t>5.6 %</w:t>
            </w:r>
          </w:p>
        </w:tc>
        <w:tc>
          <w:tcPr>
            <w:tcW w:w="20" w:type="dxa"/>
            <w:vAlign w:val="bottom"/>
          </w:tcPr>
          <w:p>
            <w:pPr>
              <w:spacing w:after="0"/>
              <w:rPr>
                <w:sz w:val="20"/>
                <w:szCs w:val="20"/>
                <w:color w:val="auto"/>
              </w:rPr>
            </w:pPr>
          </w:p>
        </w:tc>
      </w:tr>
      <w:tr>
        <w:trPr>
          <w:trHeight w:val="249"/>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and earnout expenses</w:t>
            </w:r>
          </w:p>
        </w:tc>
        <w:tc>
          <w:tcPr>
            <w:tcW w:w="80" w:type="dxa"/>
            <w:vAlign w:val="bottom"/>
            <w:shd w:val="clear" w:color="auto" w:fill="CFF0FC"/>
          </w:tcPr>
          <w:p>
            <w:pPr>
              <w:spacing w:after="0"/>
              <w:rPr>
                <w:sz w:val="21"/>
                <w:szCs w:val="21"/>
                <w:color w:val="auto"/>
              </w:rPr>
            </w:pPr>
          </w:p>
        </w:tc>
        <w:tc>
          <w:tcPr>
            <w:tcW w:w="820" w:type="dxa"/>
            <w:vAlign w:val="bottom"/>
            <w:tcBorders>
              <w:left w:val="single" w:sz="8" w:color="CFF0FC"/>
            </w:tcBorders>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80" w:type="dxa"/>
            <w:vAlign w:val="bottom"/>
            <w:tcBorders>
              <w:right w:val="single" w:sz="8" w:color="CFF0FC"/>
            </w:tcBorders>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Acquisition and integration expenses</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Executive transition expenses</w:t>
            </w:r>
          </w:p>
        </w:tc>
        <w:tc>
          <w:tcPr>
            <w:tcW w:w="80" w:type="dxa"/>
            <w:vAlign w:val="bottom"/>
            <w:shd w:val="clear" w:color="auto" w:fill="CFF0FC"/>
          </w:tcPr>
          <w:p>
            <w:pPr>
              <w:spacing w:after="0"/>
              <w:rPr>
                <w:sz w:val="22"/>
                <w:szCs w:val="22"/>
                <w:color w:val="auto"/>
              </w:rPr>
            </w:pPr>
          </w:p>
        </w:tc>
        <w:tc>
          <w:tcPr>
            <w:tcW w:w="820" w:type="dxa"/>
            <w:vAlign w:val="bottom"/>
            <w:tcBorders>
              <w:left w:val="single" w:sz="8" w:color="CFF0FC"/>
            </w:tcBorders>
            <w:shd w:val="clear" w:color="auto" w:fill="CFF0FC"/>
          </w:tcPr>
          <w:p>
            <w:pPr>
              <w:spacing w:after="0"/>
              <w:rPr>
                <w:sz w:val="22"/>
                <w:szCs w:val="22"/>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80" w:type="dxa"/>
            <w:vAlign w:val="bottom"/>
            <w:tcBorders>
              <w:right w:val="single" w:sz="8" w:color="CFF0FC"/>
            </w:tcBorders>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6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Restructuring expenses</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operating income</w:t>
            </w:r>
          </w:p>
        </w:tc>
        <w:tc>
          <w:tcPr>
            <w:tcW w:w="80" w:type="dxa"/>
            <w:vAlign w:val="bottom"/>
            <w:shd w:val="clear" w:color="auto" w:fill="CFF0FC"/>
          </w:tcPr>
          <w:p>
            <w:pPr>
              <w:spacing w:after="0"/>
              <w:rPr>
                <w:sz w:val="21"/>
                <w:szCs w:val="21"/>
                <w:color w:val="auto"/>
              </w:rPr>
            </w:pPr>
          </w:p>
        </w:tc>
        <w:tc>
          <w:tcPr>
            <w:tcW w:w="820" w:type="dxa"/>
            <w:vAlign w:val="bottom"/>
            <w:tcBorders>
              <w:top w:val="single" w:sz="8" w:color="auto"/>
              <w:left w:val="single" w:sz="8" w:color="CFF0FC"/>
            </w:tcBorders>
            <w:shd w:val="clear" w:color="auto" w:fill="CFF0FC"/>
          </w:tcPr>
          <w:p>
            <w:pPr>
              <w:jc w:val="right"/>
              <w:ind w:right="582"/>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280" w:type="dxa"/>
            <w:vAlign w:val="bottom"/>
            <w:tcBorders>
              <w:right w:val="single" w:sz="8" w:color="CFF0FC"/>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10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8.8 %</w:t>
            </w:r>
          </w:p>
        </w:tc>
        <w:tc>
          <w:tcPr>
            <w:tcW w:w="84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8.3 %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7.9 %</w:t>
            </w:r>
          </w:p>
        </w:tc>
        <w:tc>
          <w:tcPr>
            <w:tcW w:w="2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i w:val="1"/>
                <w:iCs w:val="1"/>
                <w:color w:val="auto"/>
              </w:rPr>
              <w:t>8.3 %</w:t>
            </w:r>
          </w:p>
        </w:tc>
        <w:tc>
          <w:tcPr>
            <w:tcW w:w="20" w:type="dxa"/>
            <w:vAlign w:val="bottom"/>
          </w:tcPr>
          <w:p>
            <w:pPr>
              <w:spacing w:after="0"/>
              <w:rPr>
                <w:sz w:val="20"/>
                <w:szCs w:val="20"/>
                <w:color w:val="auto"/>
              </w:rPr>
            </w:pPr>
          </w:p>
        </w:tc>
      </w:tr>
      <w:tr>
        <w:trPr>
          <w:trHeight w:val="688"/>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gridSpan w:val="2"/>
          </w:tcPr>
          <w:p>
            <w:pPr>
              <w:spacing w:after="0"/>
              <w:rPr>
                <w:sz w:val="24"/>
                <w:szCs w:val="24"/>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data)</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as reported in accordance with GAAP</w:t>
            </w:r>
          </w:p>
        </w:tc>
        <w:tc>
          <w:tcPr>
            <w:tcW w:w="900" w:type="dxa"/>
            <w:vAlign w:val="bottom"/>
            <w:gridSpan w:val="2"/>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Amortization and earnout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Acquisition and integration expenses</w:t>
            </w:r>
          </w:p>
        </w:tc>
        <w:tc>
          <w:tcPr>
            <w:tcW w:w="80" w:type="dxa"/>
            <w:vAlign w:val="bottom"/>
            <w:shd w:val="clear" w:color="auto" w:fill="CFF0FC"/>
          </w:tcPr>
          <w:p>
            <w:pPr>
              <w:spacing w:after="0"/>
              <w:rPr>
                <w:sz w:val="20"/>
                <w:szCs w:val="20"/>
                <w:color w:val="auto"/>
              </w:rPr>
            </w:pPr>
          </w:p>
        </w:tc>
        <w:tc>
          <w:tcPr>
            <w:tcW w:w="820" w:type="dxa"/>
            <w:vAlign w:val="bottom"/>
            <w:tcBorders>
              <w:left w:val="single" w:sz="8" w:color="CFF0FC"/>
            </w:tcBorders>
            <w:shd w:val="clear" w:color="auto" w:fill="CFF0FC"/>
          </w:tcPr>
          <w:p>
            <w:pPr>
              <w:spacing w:after="0"/>
              <w:rPr>
                <w:sz w:val="20"/>
                <w:szCs w:val="20"/>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280" w:type="dxa"/>
            <w:vAlign w:val="bottom"/>
            <w:tcBorders>
              <w:right w:val="single" w:sz="8" w:color="CFF0FC"/>
            </w:tcBorders>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Executive transition expenses</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Restructuring expenses</w:t>
            </w:r>
          </w:p>
        </w:tc>
        <w:tc>
          <w:tcPr>
            <w:tcW w:w="80" w:type="dxa"/>
            <w:vAlign w:val="bottom"/>
            <w:shd w:val="clear" w:color="auto" w:fill="CFF0FC"/>
          </w:tcPr>
          <w:p>
            <w:pPr>
              <w:spacing w:after="0"/>
              <w:rPr>
                <w:sz w:val="21"/>
                <w:szCs w:val="21"/>
                <w:color w:val="auto"/>
              </w:rPr>
            </w:pPr>
          </w:p>
        </w:tc>
        <w:tc>
          <w:tcPr>
            <w:tcW w:w="820" w:type="dxa"/>
            <w:vAlign w:val="bottom"/>
            <w:tcBorders>
              <w:left w:val="single" w:sz="8" w:color="CFF0FC"/>
            </w:tcBorders>
            <w:shd w:val="clear" w:color="auto" w:fill="CFF0FC"/>
          </w:tcPr>
          <w:p>
            <w:pPr>
              <w:spacing w:after="0"/>
              <w:rPr>
                <w:sz w:val="21"/>
                <w:szCs w:val="21"/>
                <w:color w:val="auto"/>
              </w:rPr>
            </w:pPr>
          </w:p>
        </w:tc>
        <w:tc>
          <w:tcPr>
            <w:tcW w:w="7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Foreign currency remeasurement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(0.8 )</w:t>
            </w:r>
          </w:p>
        </w:tc>
        <w:tc>
          <w:tcPr>
            <w:tcW w:w="84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(0.9 )</w:t>
            </w:r>
          </w:p>
        </w:tc>
        <w:tc>
          <w:tcPr>
            <w:tcW w:w="26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r>
      <w:tr>
        <w:trPr>
          <w:trHeight w:val="22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 benefit expense of adjustments</w:t>
            </w:r>
          </w:p>
        </w:tc>
        <w:tc>
          <w:tcPr>
            <w:tcW w:w="80" w:type="dxa"/>
            <w:vAlign w:val="bottom"/>
            <w:shd w:val="clear" w:color="auto" w:fill="CFF0FC"/>
          </w:tcPr>
          <w:p>
            <w:pPr>
              <w:spacing w:after="0"/>
              <w:rPr>
                <w:sz w:val="19"/>
                <w:szCs w:val="19"/>
                <w:color w:val="auto"/>
              </w:rPr>
            </w:pPr>
          </w:p>
        </w:tc>
        <w:tc>
          <w:tcPr>
            <w:tcW w:w="820" w:type="dxa"/>
            <w:vAlign w:val="bottom"/>
            <w:tcBorders>
              <w:left w:val="single" w:sz="8" w:color="CFF0FC"/>
            </w:tcBorders>
            <w:shd w:val="clear" w:color="auto" w:fill="CFF0FC"/>
          </w:tcPr>
          <w:p>
            <w:pPr>
              <w:spacing w:after="0"/>
              <w:rPr>
                <w:sz w:val="19"/>
                <w:szCs w:val="19"/>
                <w:color w:val="auto"/>
              </w:rPr>
            </w:pPr>
          </w:p>
        </w:tc>
        <w:tc>
          <w:tcPr>
            <w:tcW w:w="7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(0.5 )</w:t>
            </w:r>
          </w:p>
        </w:tc>
        <w:tc>
          <w:tcPr>
            <w:tcW w:w="8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(0.7 )</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(1.0 )</w:t>
            </w: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(1.4 )</w:t>
            </w:r>
          </w:p>
        </w:tc>
        <w:tc>
          <w:tcPr>
            <w:tcW w:w="20" w:type="dxa"/>
            <w:vAlign w:val="bottom"/>
          </w:tcPr>
          <w:p>
            <w:pPr>
              <w:spacing w:after="0"/>
              <w:rPr>
                <w:sz w:val="19"/>
                <w:szCs w:val="19"/>
                <w:color w:val="auto"/>
              </w:rPr>
            </w:pPr>
          </w:p>
        </w:tc>
      </w:tr>
      <w:tr>
        <w:trPr>
          <w:trHeight w:val="23"/>
        </w:trPr>
        <w:tc>
          <w:tcPr>
            <w:tcW w:w="5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2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Borders>
              <w:right w:val="single" w:sz="8" w:color="CFF0FC"/>
            </w:tcBorders>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right w:val="single" w:sz="8" w:color="CFF0FC"/>
            </w:tcBorders>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80" w:type="dxa"/>
            <w:vAlign w:val="bottom"/>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9"/>
                <w:szCs w:val="19"/>
                <w:color w:val="auto"/>
              </w:rPr>
            </w:pPr>
          </w:p>
        </w:tc>
        <w:tc>
          <w:tcPr>
            <w:tcW w:w="340" w:type="dxa"/>
            <w:vAlign w:val="bottom"/>
            <w:gridSpan w:val="2"/>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c>
          <w:tcPr>
            <w:tcW w:w="280" w:type="dxa"/>
            <w:vAlign w:val="bottom"/>
          </w:tcPr>
          <w:p>
            <w:pPr>
              <w:spacing w:after="0"/>
              <w:rPr>
                <w:sz w:val="19"/>
                <w:szCs w:val="19"/>
                <w:color w:val="auto"/>
              </w:rPr>
            </w:pPr>
          </w:p>
        </w:tc>
        <w:tc>
          <w:tcPr>
            <w:tcW w:w="260" w:type="dxa"/>
            <w:vAlign w:val="bottom"/>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3"/>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w:t>
            </w:r>
          </w:p>
        </w:tc>
        <w:tc>
          <w:tcPr>
            <w:tcW w:w="80" w:type="dxa"/>
            <w:vAlign w:val="bottom"/>
            <w:shd w:val="clear" w:color="auto" w:fill="CFF0FC"/>
          </w:tcPr>
          <w:p>
            <w:pPr>
              <w:spacing w:after="0"/>
              <w:rPr>
                <w:sz w:val="21"/>
                <w:szCs w:val="21"/>
                <w:color w:val="auto"/>
              </w:rPr>
            </w:pPr>
          </w:p>
        </w:tc>
        <w:tc>
          <w:tcPr>
            <w:tcW w:w="820" w:type="dxa"/>
            <w:vAlign w:val="bottom"/>
            <w:tcBorders>
              <w:left w:val="single" w:sz="8" w:color="CFF0FC"/>
            </w:tcBorders>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CFF0FC"/>
            </w:tcBorders>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Non-cash stock compensation</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(income) expense</w:t>
            </w:r>
          </w:p>
        </w:tc>
        <w:tc>
          <w:tcPr>
            <w:tcW w:w="80" w:type="dxa"/>
            <w:vAlign w:val="bottom"/>
            <w:shd w:val="clear" w:color="auto" w:fill="CFF0FC"/>
          </w:tcPr>
          <w:p>
            <w:pPr>
              <w:spacing w:after="0"/>
              <w:rPr>
                <w:sz w:val="20"/>
                <w:szCs w:val="20"/>
                <w:color w:val="auto"/>
              </w:rPr>
            </w:pPr>
          </w:p>
        </w:tc>
        <w:tc>
          <w:tcPr>
            <w:tcW w:w="820" w:type="dxa"/>
            <w:vAlign w:val="bottom"/>
            <w:tcBorders>
              <w:left w:val="single" w:sz="8" w:color="CFF0FC"/>
            </w:tcBorders>
            <w:shd w:val="clear" w:color="auto" w:fill="CFF0FC"/>
          </w:tcPr>
          <w:p>
            <w:pPr>
              <w:spacing w:after="0"/>
              <w:rPr>
                <w:sz w:val="20"/>
                <w:szCs w:val="20"/>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280" w:type="dxa"/>
            <w:vAlign w:val="bottom"/>
            <w:tcBorders>
              <w:right w:val="single" w:sz="8" w:color="CFF0FC"/>
            </w:tcBorders>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(1.5 )</w:t>
            </w:r>
          </w:p>
        </w:tc>
        <w:tc>
          <w:tcPr>
            <w:tcW w:w="20" w:type="dxa"/>
            <w:vAlign w:val="bottom"/>
          </w:tcPr>
          <w:p>
            <w:pPr>
              <w:spacing w:after="0"/>
              <w:rPr>
                <w:sz w:val="20"/>
                <w:szCs w:val="20"/>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FF0FC"/>
          </w:tcPr>
          <w:p>
            <w:pPr>
              <w:spacing w:after="0"/>
              <w:rPr>
                <w:sz w:val="20"/>
                <w:szCs w:val="20"/>
                <w:color w:val="auto"/>
              </w:rPr>
            </w:pPr>
          </w:p>
        </w:tc>
        <w:tc>
          <w:tcPr>
            <w:tcW w:w="820" w:type="dxa"/>
            <w:vAlign w:val="bottom"/>
            <w:tcBorders>
              <w:left w:val="single" w:sz="8" w:color="CFF0FC"/>
            </w:tcBorders>
            <w:shd w:val="clear" w:color="auto" w:fill="CFF0FC"/>
          </w:tcPr>
          <w:p>
            <w:pPr>
              <w:spacing w:after="0"/>
              <w:rPr>
                <w:sz w:val="20"/>
                <w:szCs w:val="20"/>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280" w:type="dxa"/>
            <w:vAlign w:val="bottom"/>
            <w:tcBorders>
              <w:right w:val="single" w:sz="8" w:color="CFF0FC"/>
            </w:tcBorders>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Adjusted EBITDA</w:t>
            </w:r>
          </w:p>
        </w:tc>
        <w:tc>
          <w:tcPr>
            <w:tcW w:w="900" w:type="dxa"/>
            <w:vAlign w:val="bottom"/>
            <w:gridSpan w:val="2"/>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13.7</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share:</w:t>
            </w:r>
          </w:p>
        </w:tc>
        <w:tc>
          <w:tcPr>
            <w:tcW w:w="80" w:type="dxa"/>
            <w:vAlign w:val="bottom"/>
            <w:shd w:val="clear" w:color="auto" w:fill="CFF0FC"/>
          </w:tcPr>
          <w:p>
            <w:pPr>
              <w:spacing w:after="0"/>
              <w:rPr>
                <w:sz w:val="19"/>
                <w:szCs w:val="19"/>
                <w:color w:val="auto"/>
              </w:rPr>
            </w:pPr>
          </w:p>
        </w:tc>
        <w:tc>
          <w:tcPr>
            <w:tcW w:w="820" w:type="dxa"/>
            <w:vAlign w:val="bottom"/>
            <w:tcBorders>
              <w:lef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Basic</w:t>
            </w:r>
          </w:p>
        </w:tc>
        <w:tc>
          <w:tcPr>
            <w:tcW w:w="900" w:type="dxa"/>
            <w:vAlign w:val="bottom"/>
            <w:gridSpan w:val="2"/>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0.11</w:t>
            </w:r>
          </w:p>
        </w:tc>
        <w:tc>
          <w:tcPr>
            <w:tcW w:w="28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19"/>
                <w:szCs w:val="19"/>
                <w:color w:val="auto"/>
              </w:rPr>
            </w:pPr>
          </w:p>
        </w:tc>
        <w:tc>
          <w:tcPr>
            <w:tcW w:w="340" w:type="dxa"/>
            <w:vAlign w:val="bottom"/>
            <w:gridSpan w:val="2"/>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19"/>
                <w:szCs w:val="19"/>
                <w:color w:val="auto"/>
              </w:rPr>
            </w:pPr>
          </w:p>
        </w:tc>
        <w:tc>
          <w:tcPr>
            <w:tcW w:w="260" w:type="dxa"/>
            <w:vAlign w:val="bottom"/>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900" w:type="dxa"/>
            <w:vAlign w:val="bottom"/>
            <w:gridSpan w:val="2"/>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0.11</w:t>
            </w:r>
          </w:p>
        </w:tc>
        <w:tc>
          <w:tcPr>
            <w:tcW w:w="280" w:type="dxa"/>
            <w:vAlign w:val="bottom"/>
            <w:tcBorders>
              <w:right w:val="single" w:sz="8" w:color="CFF0FC"/>
            </w:tcBorders>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0.13</w:t>
            </w:r>
          </w:p>
        </w:tc>
        <w:tc>
          <w:tcPr>
            <w:tcW w:w="2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Non-GAAP net income per share:</w:t>
            </w:r>
          </w:p>
        </w:tc>
        <w:tc>
          <w:tcPr>
            <w:tcW w:w="80" w:type="dxa"/>
            <w:vAlign w:val="bottom"/>
            <w:shd w:val="clear" w:color="auto" w:fill="CFF0FC"/>
          </w:tcPr>
          <w:p>
            <w:pPr>
              <w:spacing w:after="0"/>
              <w:rPr>
                <w:sz w:val="19"/>
                <w:szCs w:val="19"/>
                <w:color w:val="auto"/>
              </w:rPr>
            </w:pPr>
          </w:p>
        </w:tc>
        <w:tc>
          <w:tcPr>
            <w:tcW w:w="820" w:type="dxa"/>
            <w:vAlign w:val="bottom"/>
            <w:tcBorders>
              <w:lef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Basic</w:t>
            </w:r>
          </w:p>
        </w:tc>
        <w:tc>
          <w:tcPr>
            <w:tcW w:w="900" w:type="dxa"/>
            <w:vAlign w:val="bottom"/>
            <w:gridSpan w:val="2"/>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0.15</w:t>
            </w:r>
          </w:p>
        </w:tc>
        <w:tc>
          <w:tcPr>
            <w:tcW w:w="28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0.18</w:t>
            </w:r>
          </w:p>
        </w:tc>
        <w:tc>
          <w:tcPr>
            <w:tcW w:w="200" w:type="dxa"/>
            <w:vAlign w:val="bottom"/>
          </w:tcPr>
          <w:p>
            <w:pPr>
              <w:spacing w:after="0"/>
              <w:rPr>
                <w:sz w:val="19"/>
                <w:szCs w:val="19"/>
                <w:color w:val="auto"/>
              </w:rPr>
            </w:pPr>
          </w:p>
        </w:tc>
        <w:tc>
          <w:tcPr>
            <w:tcW w:w="340" w:type="dxa"/>
            <w:vAlign w:val="bottom"/>
            <w:gridSpan w:val="2"/>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0.25</w:t>
            </w:r>
          </w:p>
        </w:tc>
        <w:tc>
          <w:tcPr>
            <w:tcW w:w="280" w:type="dxa"/>
            <w:vAlign w:val="bottom"/>
          </w:tcPr>
          <w:p>
            <w:pPr>
              <w:spacing w:after="0"/>
              <w:rPr>
                <w:sz w:val="19"/>
                <w:szCs w:val="19"/>
                <w:color w:val="auto"/>
              </w:rPr>
            </w:pPr>
          </w:p>
        </w:tc>
        <w:tc>
          <w:tcPr>
            <w:tcW w:w="260" w:type="dxa"/>
            <w:vAlign w:val="bottom"/>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900" w:type="dxa"/>
            <w:vAlign w:val="bottom"/>
            <w:gridSpan w:val="2"/>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0.15</w:t>
            </w:r>
          </w:p>
        </w:tc>
        <w:tc>
          <w:tcPr>
            <w:tcW w:w="280" w:type="dxa"/>
            <w:vAlign w:val="bottom"/>
            <w:tcBorders>
              <w:right w:val="single" w:sz="8" w:color="CFF0FC"/>
            </w:tcBorders>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0.18</w:t>
            </w:r>
          </w:p>
        </w:tc>
        <w:tc>
          <w:tcPr>
            <w:tcW w:w="2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53"/>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0.25</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0.32</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675"/>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5"/>
          </w:tcPr>
          <w:p>
            <w:pPr>
              <w:jc w:val="right"/>
              <w:ind w:right="84"/>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7"/>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lef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11.4</w:t>
            </w:r>
          </w:p>
        </w:tc>
        <w:tc>
          <w:tcPr>
            <w:tcW w:w="14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ind w:right="70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18.9</w:t>
            </w:r>
          </w:p>
        </w:tc>
        <w:tc>
          <w:tcPr>
            <w:tcW w:w="1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3"/>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(0.6 )</w:t>
            </w:r>
          </w:p>
        </w:tc>
        <w:tc>
          <w:tcPr>
            <w:tcW w:w="260" w:type="dxa"/>
            <w:vAlign w:val="bottom"/>
            <w:shd w:val="clear" w:color="auto" w:fill="CFF0FC"/>
          </w:tcPr>
          <w:p>
            <w:pPr>
              <w:jc w:val="right"/>
              <w:ind w:right="14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rPr>
              <w:t>Earnout payments (within operating activities)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Acquisitions of property and equipment</w:t>
            </w:r>
          </w:p>
        </w:tc>
        <w:tc>
          <w:tcPr>
            <w:tcW w:w="80" w:type="dxa"/>
            <w:vAlign w:val="bottom"/>
            <w:shd w:val="clear" w:color="auto" w:fill="CFF0FC"/>
          </w:tcPr>
          <w:p>
            <w:pPr>
              <w:spacing w:after="0"/>
              <w:rPr>
                <w:sz w:val="19"/>
                <w:szCs w:val="19"/>
                <w:color w:val="auto"/>
              </w:rPr>
            </w:pPr>
          </w:p>
        </w:tc>
        <w:tc>
          <w:tcPr>
            <w:tcW w:w="820" w:type="dxa"/>
            <w:vAlign w:val="bottom"/>
            <w:tcBorders>
              <w:left w:val="single" w:sz="8" w:color="CFF0FC"/>
            </w:tcBorders>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6"/>
              </w:rPr>
              <w:t>(1.4 )</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(0.8 )</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(3.9 )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(1.4 )</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51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FF0FC"/>
            </w:tcBorders>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70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6"/>
              </w:rPr>
              <w:t>19.1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(4.5 )</w:t>
            </w:r>
          </w:p>
        </w:tc>
        <w:tc>
          <w:tcPr>
            <w:tcW w:w="260" w:type="dxa"/>
            <w:vAlign w:val="bottom"/>
          </w:tcPr>
          <w:p>
            <w:pPr>
              <w:jc w:val="right"/>
              <w:ind w:right="14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0"/>
        </w:trPr>
        <w:tc>
          <w:tcPr>
            <w:tcW w:w="5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-3763010</wp:posOffset>
            </wp:positionV>
            <wp:extent cx="8572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-3763010</wp:posOffset>
            </wp:positionV>
            <wp:extent cx="7747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-3763010</wp:posOffset>
            </wp:positionV>
            <wp:extent cx="7747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-3763010</wp:posOffset>
            </wp:positionV>
            <wp:extent cx="8572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-376555</wp:posOffset>
            </wp:positionV>
            <wp:extent cx="8572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-376555</wp:posOffset>
            </wp:positionV>
            <wp:extent cx="8572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-376555</wp:posOffset>
            </wp:positionV>
            <wp:extent cx="8572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-376555</wp:posOffset>
            </wp:positionV>
            <wp:extent cx="8572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 REGARDING NON-GAAP FINANCIAL MEASURES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2022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the unpredictability and severity of catastrophic events, including cyber security threats, acts of terrorism or outbreak of war or hostilities or public health crises, as well as management’s response to any of the aforementioned factors; and our ability to remediate our material weakness, or any other material weakness that we may identify in the future that could result in material misstatements in our financial statements.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2023-08-08T06:11:56Z</dcterms:created>
  <dcterms:modified xsi:type="dcterms:W3CDTF">2023-08-08T06:11:56Z</dcterms:modified>
</cp:coreProperties>
</file>