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124460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151765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Date of Report (Date of earliest event reported): May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146685</wp:posOffset>
            </wp:positionV>
            <wp:extent cx="164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133350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ectPr>
          <w:pgSz w:w="11900" w:h="16838" w:orient="portrait"/>
          <w:cols w:equalWidth="0" w:num="1">
            <w:col w:w="11080"/>
          </w:cols>
          <w:pgMar w:left="320" w:top="391" w:right="49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580" w:space="720"/>
            <w:col w:w="2980" w:space="720"/>
            <w:col w:w="2080"/>
          </w:cols>
          <w:pgMar w:left="320" w:top="391" w:right="499" w:bottom="1440" w:gutter="0" w:footer="0" w:header="0"/>
          <w:type w:val="continuous"/>
        </w:sectPr>
      </w:pPr>
    </w:p>
    <w:p>
      <w:pPr>
        <w:spacing w:after="0" w:line="12" w:lineRule="exact"/>
        <w:rPr>
          <w:sz w:val="24"/>
          <w:szCs w:val="24"/>
          <w:color w:val="auto"/>
        </w:rPr>
      </w:pPr>
    </w:p>
    <w:p>
      <w:pPr>
        <w:jc w:val="center"/>
        <w:ind w:right="880"/>
        <w:spacing w:after="0"/>
        <w:rPr>
          <w:sz w:val="20"/>
          <w:szCs w:val="20"/>
          <w:color w:val="auto"/>
        </w:rPr>
      </w:pPr>
      <w:r>
        <w:rPr>
          <w:rFonts w:ascii="Arial" w:cs="Arial" w:eastAsia="Arial" w:hAnsi="Arial"/>
          <w:sz w:val="13"/>
          <w:szCs w:val="13"/>
          <w:b w:val="1"/>
          <w:bCs w:val="1"/>
          <w:color w:val="auto"/>
        </w:rPr>
        <w:t>(State or other jurisdiction</w:t>
      </w:r>
    </w:p>
    <w:p>
      <w:pPr>
        <w:jc w:val="center"/>
        <w:ind w:righ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500" w:space="720"/>
            <w:col w:w="2940" w:space="720"/>
            <w:col w:w="2200"/>
          </w:cols>
          <w:pgMar w:left="320" w:top="391" w:right="499" w:bottom="1440" w:gutter="0" w:footer="0" w:header="0"/>
          <w:type w:val="continuous"/>
        </w:sectPr>
      </w:pPr>
    </w:p>
    <w:p>
      <w:pPr>
        <w:jc w:val="center"/>
        <w:ind w:right="202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Suite 500</w:t>
      </w:r>
    </w:p>
    <w:p>
      <w:pPr>
        <w:spacing w:after="0" w:line="9"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75254</w:t>
      </w:r>
    </w:p>
    <w:p>
      <w:pPr>
        <w:spacing w:after="0" w:line="50" w:lineRule="exact"/>
        <w:rPr>
          <w:sz w:val="24"/>
          <w:szCs w:val="24"/>
          <w:color w:val="auto"/>
        </w:rPr>
      </w:pPr>
    </w:p>
    <w:p>
      <w:pPr>
        <w:sectPr>
          <w:pgSz w:w="11900" w:h="16838" w:orient="portrait"/>
          <w:cols w:equalWidth="0" w:num="2">
            <w:col w:w="7540" w:space="720"/>
            <w:col w:w="2820"/>
          </w:cols>
          <w:pgMar w:left="320" w:top="391" w:right="4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440" w:space="720"/>
            <w:col w:w="2920"/>
          </w:cols>
          <w:pgMar w:left="320" w:top="391"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560" w:right="2460" w:hanging="3552"/>
        <w:spacing w:after="0" w:line="428" w:lineRule="auto"/>
        <w:tabs>
          <w:tab w:leader="none" w:pos="59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100" w:type="dxa"/>
        <w:tblCellMar>
          <w:top w:w="0" w:type="dxa"/>
          <w:left w:w="0" w:type="dxa"/>
          <w:bottom w:w="0" w:type="dxa"/>
          <w:right w:w="0" w:type="dxa"/>
        </w:tblCellMar>
      </w:tblPr>
      <w:tr>
        <w:trPr>
          <w:trHeight w:val="182"/>
        </w:trPr>
        <w:tc>
          <w:tcPr>
            <w:tcW w:w="3100" w:type="dxa"/>
            <w:vAlign w:val="bottom"/>
          </w:tcPr>
          <w:p>
            <w:pPr>
              <w:jc w:val="center"/>
              <w:ind w:right="588"/>
              <w:spacing w:after="0"/>
              <w:rPr>
                <w:sz w:val="20"/>
                <w:szCs w:val="20"/>
                <w:color w:val="auto"/>
              </w:rPr>
            </w:pPr>
            <w:r>
              <w:rPr>
                <w:rFonts w:ascii="Arial" w:cs="Arial" w:eastAsia="Arial" w:hAnsi="Arial"/>
                <w:sz w:val="14"/>
                <w:szCs w:val="14"/>
                <w:color w:val="auto"/>
                <w:w w:val="92"/>
              </w:rPr>
              <w:t>Title of each class</w:t>
            </w:r>
          </w:p>
        </w:tc>
        <w:tc>
          <w:tcPr>
            <w:tcW w:w="2380" w:type="dxa"/>
            <w:vAlign w:val="bottom"/>
          </w:tcPr>
          <w:p>
            <w:pPr>
              <w:jc w:val="center"/>
              <w:ind w:right="48"/>
              <w:spacing w:after="0"/>
              <w:rPr>
                <w:sz w:val="20"/>
                <w:szCs w:val="20"/>
                <w:color w:val="auto"/>
              </w:rPr>
            </w:pPr>
            <w:r>
              <w:rPr>
                <w:rFonts w:ascii="Arial" w:cs="Arial" w:eastAsia="Arial" w:hAnsi="Arial"/>
                <w:sz w:val="14"/>
                <w:szCs w:val="14"/>
                <w:color w:val="auto"/>
                <w:w w:val="95"/>
              </w:rPr>
              <w:t>Trading Symbol</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203"/>
        </w:trPr>
        <w:tc>
          <w:tcPr>
            <w:tcW w:w="3100" w:type="dxa"/>
            <w:vAlign w:val="bottom"/>
          </w:tcPr>
          <w:p>
            <w:pPr>
              <w:jc w:val="center"/>
              <w:ind w:right="608"/>
              <w:spacing w:after="0"/>
              <w:rPr>
                <w:sz w:val="20"/>
                <w:szCs w:val="20"/>
                <w:color w:val="auto"/>
              </w:rPr>
            </w:pPr>
            <w:r>
              <w:rPr>
                <w:rFonts w:ascii="Arial" w:cs="Arial" w:eastAsia="Arial" w:hAnsi="Arial"/>
                <w:sz w:val="14"/>
                <w:szCs w:val="14"/>
                <w:color w:val="auto"/>
                <w:w w:val="91"/>
              </w:rPr>
              <w:t>Common Stock, par value $0.01 per share</w:t>
            </w:r>
          </w:p>
        </w:tc>
        <w:tc>
          <w:tcPr>
            <w:tcW w:w="2380" w:type="dxa"/>
            <w:vAlign w:val="bottom"/>
          </w:tcPr>
          <w:p>
            <w:pPr>
              <w:jc w:val="center"/>
              <w:ind w:right="28"/>
              <w:spacing w:after="0"/>
              <w:rPr>
                <w:sz w:val="20"/>
                <w:szCs w:val="20"/>
                <w:color w:val="auto"/>
              </w:rPr>
            </w:pPr>
            <w:r>
              <w:rPr>
                <w:rFonts w:ascii="Arial" w:cs="Arial" w:eastAsia="Arial" w:hAnsi="Arial"/>
                <w:sz w:val="14"/>
                <w:szCs w:val="14"/>
                <w:color w:val="auto"/>
                <w:w w:val="92"/>
              </w:rPr>
              <w:t>CECE</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7"/>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-240665</wp:posOffset>
            </wp:positionV>
            <wp:extent cx="672084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265430"/>
                    </a:xfrm>
                    <a:prstGeom prst="rect">
                      <a:avLst/>
                    </a:prstGeom>
                    <a:noFill/>
                  </pic:spPr>
                </pic:pic>
              </a:graphicData>
            </a:graphic>
          </wp:anchor>
        </w:drawing>
      </w:r>
    </w:p>
    <w:p>
      <w:pPr>
        <w:spacing w:after="0" w:line="16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391"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60" w:firstLine="589"/>
        <w:spacing w:after="0" w:line="308" w:lineRule="auto"/>
        <w:rPr>
          <w:sz w:val="20"/>
          <w:szCs w:val="20"/>
          <w:color w:val="auto"/>
        </w:rPr>
      </w:pPr>
      <w:r>
        <w:rPr>
          <w:rFonts w:ascii="Arial" w:cs="Arial" w:eastAsia="Arial" w:hAnsi="Arial"/>
          <w:sz w:val="17"/>
          <w:szCs w:val="17"/>
          <w:color w:val="auto"/>
        </w:rPr>
        <w:t>On May 6, 2020, CECO Environmental Corp., a Delaware corporation, issued a press release announcing its financial results for the three months ended March 31, 2020. A copy of the press release is furnished as Exhibit 99.1 to this report and is incorporated herein by reference.</w:t>
      </w:r>
    </w:p>
    <w:p>
      <w:pPr>
        <w:spacing w:after="0" w:line="146"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0220" w:type="dxa"/>
            <w:vAlign w:val="bottom"/>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20" w:type="dxa"/>
            <w:vAlign w:val="bottom"/>
            <w:tcBorders>
              <w:top w:val="single" w:sz="8" w:color="auto"/>
            </w:tcBorders>
          </w:tcPr>
          <w:p>
            <w:pPr>
              <w:jc w:val="right"/>
              <w:ind w:right="522"/>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4"/>
                <w:szCs w:val="24"/>
                <w:color w:val="auto"/>
              </w:rPr>
            </w:pPr>
          </w:p>
        </w:tc>
        <w:tc>
          <w:tcPr>
            <w:tcW w:w="10220" w:type="dxa"/>
            <w:vAlign w:val="bottom"/>
            <w:tcBorders>
              <w:top w:val="single" w:sz="8" w:color="auto"/>
            </w:tcBorders>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Press Release, dated May 6, 2020</w:t>
              </w:r>
            </w:hyperlink>
            <w:r>
              <w:rPr>
                <w:rFonts w:ascii="Arial" w:cs="Arial" w:eastAsia="Arial" w:hAnsi="Arial"/>
                <w:sz w:val="18"/>
                <w:szCs w:val="18"/>
                <w:color w:val="00000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00" w:lineRule="exact"/>
        <w:rPr>
          <w:sz w:val="20"/>
          <w:szCs w:val="20"/>
          <w:color w:val="auto"/>
        </w:rPr>
      </w:pPr>
    </w:p>
    <w:p>
      <w:pPr>
        <w:spacing w:after="0" w:line="26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78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80"/>
          </w:cols>
          <w:pgMar w:left="320" w:top="121"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9728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 Reports First Quarter 2020 Results;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Continued Progress on Strong Execution Despite COVID-19 Headwinds</w:t>
      </w:r>
    </w:p>
    <w:p>
      <w:pPr>
        <w:spacing w:after="0" w:line="243" w:lineRule="exact"/>
        <w:rPr>
          <w:sz w:val="20"/>
          <w:szCs w:val="20"/>
          <w:color w:val="auto"/>
        </w:rPr>
      </w:pPr>
    </w:p>
    <w:p>
      <w:pPr>
        <w:ind w:left="120" w:right="60"/>
        <w:spacing w:after="0" w:line="284" w:lineRule="auto"/>
        <w:rPr>
          <w:sz w:val="20"/>
          <w:szCs w:val="20"/>
          <w:color w:val="auto"/>
        </w:rPr>
      </w:pPr>
      <w:r>
        <w:rPr>
          <w:rFonts w:ascii="Arial" w:cs="Arial" w:eastAsia="Arial" w:hAnsi="Arial"/>
          <w:sz w:val="19"/>
          <w:szCs w:val="19"/>
          <w:b w:val="1"/>
          <w:bCs w:val="1"/>
          <w:color w:val="auto"/>
        </w:rPr>
        <w:t xml:space="preserve">DALLAS, Texas, May 6, 2020 -- CECO Environmental Corp. (Nasdaq: CECE), </w:t>
      </w:r>
      <w:r>
        <w:rPr>
          <w:rFonts w:ascii="Arial" w:cs="Arial" w:eastAsia="Arial" w:hAnsi="Arial"/>
          <w:sz w:val="19"/>
          <w:szCs w:val="19"/>
          <w:color w:val="auto"/>
        </w:rPr>
        <w:t>a leading global air quality and fluid handling</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serving the energy, industrial and other niche markets, today reported its financial results for the first quarter 2020.</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Highlights of the First Quarter 2020</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of $80.5 million, compared with $86.0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Gross profit of $28.3 million (35.2% margin), compared with $28.4 million (33.0% margin)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Operating income of $4.2 million, compared with $4.9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operating income of $6.3 million, compared with $7.2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was $3.4 million, compared with $1.9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net income of $5.3 million, compared with $4.1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per diluted share was $0.10, compared with $0.05</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net income per diluted share of $0.15, compared with $0.12</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$7.4 million, compared with $8.5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Bookings of $75.7 million, compared with $97.3 million</w:t>
      </w:r>
    </w:p>
    <w:p>
      <w:pPr>
        <w:ind w:left="740" w:hanging="368"/>
        <w:spacing w:after="0" w:line="225"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Backlog of $208.9 million, compared with $216.6 million as of December 31, 2019</w:t>
      </w:r>
    </w:p>
    <w:p>
      <w:pPr>
        <w:ind w:left="740" w:hanging="368"/>
        <w:spacing w:after="0" w:line="224" w:lineRule="auto"/>
        <w:tabs>
          <w:tab w:leader="none" w:pos="740" w:val="left"/>
        </w:tabs>
        <w:numPr>
          <w:ilvl w:val="0"/>
          <w:numId w:val="3"/>
        </w:numPr>
        <w:rPr>
          <w:rFonts w:ascii="Arial" w:cs="Arial" w:eastAsia="Arial" w:hAnsi="Arial"/>
          <w:sz w:val="22"/>
          <w:szCs w:val="22"/>
          <w:color w:val="auto"/>
        </w:rPr>
      </w:pPr>
      <w:r>
        <w:rPr>
          <w:rFonts w:ascii="Arial" w:cs="Arial" w:eastAsia="Arial" w:hAnsi="Arial"/>
          <w:sz w:val="20"/>
          <w:szCs w:val="20"/>
          <w:color w:val="auto"/>
        </w:rPr>
        <w:t>Cash and cash equivalents were $82.5 million, compared with $35.6 million as of December 31, 2019</w:t>
      </w:r>
    </w:p>
    <w:p>
      <w:pPr>
        <w:spacing w:after="0" w:line="196" w:lineRule="exact"/>
        <w:rPr>
          <w:sz w:val="20"/>
          <w:szCs w:val="20"/>
          <w:color w:val="auto"/>
        </w:rPr>
      </w:pPr>
    </w:p>
    <w:p>
      <w:pPr>
        <w:ind w:left="120" w:right="140"/>
        <w:spacing w:after="0" w:line="229" w:lineRule="auto"/>
        <w:rPr>
          <w:sz w:val="20"/>
          <w:szCs w:val="20"/>
          <w:color w:val="auto"/>
        </w:rPr>
      </w:pPr>
      <w:r>
        <w:rPr>
          <w:rFonts w:ascii="Arial" w:cs="Arial" w:eastAsia="Arial" w:hAnsi="Arial"/>
          <w:sz w:val="20"/>
          <w:szCs w:val="20"/>
          <w:color w:val="auto"/>
        </w:rPr>
        <w:t>CECO’s Chief Executive Officer Dennis Sadlowski commented, “</w:t>
      </w:r>
      <w:r>
        <w:rPr>
          <w:rFonts w:ascii="Arial" w:cs="Arial" w:eastAsia="Arial" w:hAnsi="Arial"/>
          <w:sz w:val="17"/>
          <w:szCs w:val="17"/>
          <w:color w:val="auto"/>
        </w:rPr>
        <w:t>O</w:t>
      </w:r>
      <w:r>
        <w:rPr>
          <w:rFonts w:ascii="Arial" w:cs="Arial" w:eastAsia="Arial" w:hAnsi="Arial"/>
          <w:sz w:val="20"/>
          <w:szCs w:val="20"/>
          <w:color w:val="auto"/>
        </w:rPr>
        <w:t>ur first quarter results once again demonstrate our ability to execute despite the accelerating social and economic changes caused by the Covid-19 pandemic. After a very solid start to the year revenue moderated ending down 10% sequentially and 6% year over year. Even with lower revenue, our team’s track record of strong execution produced a healthy gross operating margin of 35%, which is up both sequentially and year over year.”</w:t>
      </w:r>
    </w:p>
    <w:p>
      <w:pPr>
        <w:spacing w:after="0" w:line="212" w:lineRule="exact"/>
        <w:rPr>
          <w:sz w:val="20"/>
          <w:szCs w:val="20"/>
          <w:color w:val="auto"/>
        </w:rPr>
      </w:pPr>
    </w:p>
    <w:p>
      <w:pPr>
        <w:ind w:left="120" w:right="80"/>
        <w:spacing w:after="0" w:line="229" w:lineRule="auto"/>
        <w:rPr>
          <w:sz w:val="20"/>
          <w:szCs w:val="20"/>
          <w:color w:val="auto"/>
        </w:rPr>
      </w:pPr>
      <w:r>
        <w:rPr>
          <w:rFonts w:ascii="Arial" w:cs="Arial" w:eastAsia="Arial" w:hAnsi="Arial"/>
          <w:sz w:val="20"/>
          <w:szCs w:val="20"/>
          <w:color w:val="auto"/>
        </w:rPr>
        <w:t>Mr. Sadlowski added, “Our team generated new orders of $76 million up 12% from Q4 with sequential orders up double digits in all three of our reporting segments after a down final quarter of 2019. We continued to build on a robust backlog of $209 million while executing proactive cost measures to secure a strong future for the company. We are maintaining a 100% commitment to the health and safety of our associates while serving our customers in critical applications and essential industries, while the markets remain highly uncertain due to the pandemic.”</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FIRST QUARTER RESULTS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Revenue in the first quarter of 2020 was $80.5 million, down 6.4% from $86.0 million in the prior-year period.</w:t>
      </w:r>
    </w:p>
    <w:p>
      <w:pPr>
        <w:spacing w:after="0" w:line="216"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Operating Income was $4.2 million for the first quarter of 2020, compared with $4.9 million in the prior-year period. Non-GAAP operating income was $6.3 million for the first quarter of 2020 (7.8% margin), compared with $7.2 million in the prior-year period (8.4% margin).</w:t>
      </w:r>
    </w:p>
    <w:p>
      <w:pPr>
        <w:spacing w:after="0" w:line="211"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Net income was $3.4 million for the first quarter of 2020, compared with $1.9 million in the prior-year period. Net income on a non-GAAP basis was $5.3 million for the first quarter of 2020, compared with $4.1 million in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ind w:left="10360"/>
        <w:spacing w:after="0"/>
        <w:rPr>
          <w:sz w:val="20"/>
          <w:szCs w:val="20"/>
          <w:color w:val="auto"/>
        </w:rPr>
      </w:pPr>
      <w:r>
        <w:rPr>
          <w:rFonts w:ascii="Arial" w:cs="Arial" w:eastAsia="Arial" w:hAnsi="Arial"/>
          <w:sz w:val="16"/>
          <w:szCs w:val="16"/>
          <w:color w:val="auto"/>
        </w:rPr>
        <w:t>Exhibit 99.1</w:t>
      </w:r>
    </w:p>
    <w:p>
      <w:pPr>
        <w:spacing w:after="0" w:line="43"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Net income per diluted share was $0.10 for the first quarter of 2020, compared with $0.05 in the prior-year period. Non-GAAP net income per diluted share was $0.15 for the first quarter of 2020, compared with $0.12 for the prior-year period.</w:t>
      </w:r>
    </w:p>
    <w:p>
      <w:pPr>
        <w:spacing w:after="0" w:line="196" w:lineRule="exact"/>
        <w:rPr>
          <w:sz w:val="20"/>
          <w:szCs w:val="20"/>
          <w:color w:val="auto"/>
        </w:rPr>
      </w:pPr>
    </w:p>
    <w:p>
      <w:pPr>
        <w:jc w:val="both"/>
        <w:ind w:left="120" w:right="80"/>
        <w:spacing w:after="0" w:line="230" w:lineRule="auto"/>
        <w:rPr>
          <w:sz w:val="20"/>
          <w:szCs w:val="20"/>
          <w:color w:val="auto"/>
        </w:rPr>
      </w:pPr>
      <w:r>
        <w:rPr>
          <w:rFonts w:ascii="Arial" w:cs="Arial" w:eastAsia="Arial" w:hAnsi="Arial"/>
          <w:sz w:val="20"/>
          <w:szCs w:val="20"/>
          <w:color w:val="auto"/>
        </w:rPr>
        <w:t>Cash and cash equivalents were $82.5 million and bank debt was $109.6 million as of March 31, 2020, compared with $35.6 million and $67.3 million, respectively, as of December 31, 2019. As a proactive measure related to COVID-19, the Company elected to drawdown $40.0 million from its revolving credit facility, in late March 2020, which supplements the Company’s already strong cash position.</w:t>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240"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20"/>
          <w:szCs w:val="20"/>
          <w:color w:val="auto"/>
        </w:rPr>
        <w:t>Total backlog at March 31, 2020 was $208.9 million as compared with $216.6 million as of December 31, 2019 and $193.8 million as of March 31, 2019.</w:t>
      </w:r>
    </w:p>
    <w:p>
      <w:pPr>
        <w:spacing w:after="0" w:line="209"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20"/>
          <w:szCs w:val="20"/>
          <w:color w:val="auto"/>
        </w:rPr>
        <w:t>Bookings were $75.7 million for the first quarter of 2020, compared with $97.3 million in the prior-year period and $67.7 million in the fourth quarter of 2019.</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240"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A conference call is scheduled for today at 8:30 a.m. ET to discuss the first quarter 2020 financial results. The conference call may also be accessed by dialing (888) 346-4547 (Toll-Free) within the U.S., (855) 669-9657 (Toll-Free) within Canada or Toll/International (412) 317-5251.</w:t>
      </w:r>
    </w:p>
    <w:p>
      <w:pPr>
        <w:spacing w:after="0" w:line="211" w:lineRule="exact"/>
        <w:rPr>
          <w:sz w:val="20"/>
          <w:szCs w:val="20"/>
          <w:color w:val="auto"/>
        </w:rPr>
      </w:pPr>
    </w:p>
    <w:p>
      <w:pPr>
        <w:ind w:left="120" w:right="260"/>
        <w:spacing w:after="0" w:line="363" w:lineRule="auto"/>
        <w:rPr>
          <w:sz w:val="20"/>
          <w:szCs w:val="20"/>
          <w:color w:val="auto"/>
        </w:rPr>
      </w:pPr>
      <w:r>
        <w:rPr>
          <w:rFonts w:ascii="Arial" w:cs="Arial" w:eastAsia="Arial" w:hAnsi="Arial"/>
          <w:sz w:val="19"/>
          <w:szCs w:val="19"/>
          <w:color w:val="auto"/>
        </w:rPr>
        <w:t xml:space="preserve">The live webcast and slides can also be accessed at </w:t>
      </w:r>
      <w:r>
        <w:rPr>
          <w:rFonts w:ascii="Arial" w:cs="Arial" w:eastAsia="Arial" w:hAnsi="Arial"/>
          <w:sz w:val="19"/>
          <w:szCs w:val="19"/>
          <w:u w:val="single" w:color="auto"/>
          <w:color w:val="auto"/>
        </w:rPr>
        <w:t>https://investors.cecoenviro.com/events-webcasts-and-presentations</w:t>
      </w:r>
      <w:r>
        <w:rPr>
          <w:rFonts w:ascii="Arial" w:cs="Arial" w:eastAsia="Arial" w:hAnsi="Arial"/>
          <w:sz w:val="19"/>
          <w:szCs w:val="19"/>
          <w:color w:val="auto"/>
        </w:rPr>
        <w:t xml:space="preserve"> A replay of the conference call will be available on the Company's website for 7 days. The replay may be accessed by dialing</w:t>
      </w:r>
    </w:p>
    <w:p>
      <w:pPr>
        <w:spacing w:after="0" w:line="1" w:lineRule="exact"/>
        <w:rPr>
          <w:sz w:val="20"/>
          <w:szCs w:val="20"/>
          <w:color w:val="auto"/>
        </w:rPr>
      </w:pPr>
    </w:p>
    <w:p>
      <w:pPr>
        <w:ind w:left="120" w:right="300" w:hanging="8"/>
        <w:spacing w:after="0" w:line="236" w:lineRule="auto"/>
        <w:tabs>
          <w:tab w:leader="none" w:pos="631" w:val="left"/>
        </w:tabs>
        <w:numPr>
          <w:ilvl w:val="0"/>
          <w:numId w:val="4"/>
        </w:numPr>
        <w:rPr>
          <w:rFonts w:ascii="Arial" w:cs="Arial" w:eastAsia="Arial" w:hAnsi="Arial"/>
          <w:sz w:val="20"/>
          <w:szCs w:val="20"/>
          <w:color w:val="auto"/>
        </w:rPr>
      </w:pPr>
      <w:r>
        <w:rPr>
          <w:rFonts w:ascii="Arial" w:cs="Arial" w:eastAsia="Arial" w:hAnsi="Arial"/>
          <w:sz w:val="20"/>
          <w:szCs w:val="20"/>
          <w:color w:val="auto"/>
        </w:rPr>
        <w:t>344-7529 (Toll-Free) within the U.S., (855) 669-9658 (Toll-Free) within Canada, or Toll/International (412) 317-0088 and entering access code 10141060.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216" w:lineRule="exact"/>
        <w:rPr>
          <w:sz w:val="20"/>
          <w:szCs w:val="20"/>
          <w:color w:val="auto"/>
        </w:rPr>
      </w:pPr>
    </w:p>
    <w:p>
      <w:pPr>
        <w:jc w:val="both"/>
        <w:ind w:left="120" w:right="80"/>
        <w:spacing w:after="0" w:line="228" w:lineRule="auto"/>
        <w:rPr>
          <w:sz w:val="20"/>
          <w:szCs w:val="20"/>
          <w:color w:val="auto"/>
        </w:rPr>
      </w:pPr>
      <w:r>
        <w:rPr>
          <w:rFonts w:ascii="Arial" w:cs="Arial" w:eastAsia="Arial" w:hAnsi="Arial"/>
          <w:sz w:val="20"/>
          <w:szCs w:val="20"/>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www.cecoenviro.com.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ind w:right="8360" w:firstLine="8"/>
        <w:spacing w:after="0" w:line="257" w:lineRule="auto"/>
        <w:tabs>
          <w:tab w:leader="none" w:pos="517"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5508625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5662930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71"/>
        </w:trPr>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shd w:val="clear" w:color="auto" w:fill="CFF0FC"/>
          </w:tcPr>
          <w:p>
            <w:pPr>
              <w:ind w:left="3400"/>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82,528</w:t>
            </w:r>
          </w:p>
        </w:tc>
        <w:tc>
          <w:tcPr>
            <w:tcW w:w="2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39,160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151,676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5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445,257</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ind w:left="178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71,988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108,413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Debt, less current portion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105,481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 net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35,337,859 and</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0"/>
              </w:rPr>
              <w:t>35,275,465 shares issued and outstanding at March 31, 2020 and December 31, 2019, respectively</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254,313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253,869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(42,932)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(46,344)</w:t>
            </w:r>
          </w:p>
        </w:tc>
        <w:tc>
          <w:tcPr>
            <w:tcW w:w="0" w:type="dxa"/>
            <w:vAlign w:val="bottom"/>
          </w:tcPr>
          <w:p>
            <w:pPr>
              <w:spacing w:after="0"/>
              <w:rPr>
                <w:sz w:val="1"/>
                <w:szCs w:val="1"/>
                <w:color w:val="auto"/>
              </w:rPr>
            </w:pPr>
          </w:p>
        </w:tc>
      </w:tr>
      <w:tr>
        <w:trPr>
          <w:trHeight w:val="229"/>
        </w:trPr>
        <w:tc>
          <w:tcPr>
            <w:tcW w:w="75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(16,773)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(14,505)</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194,962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6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March 31, 2020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400"/>
              <w:spacing w:after="0"/>
              <w:rPr>
                <w:sz w:val="20"/>
                <w:szCs w:val="20"/>
                <w:color w:val="auto"/>
              </w:rPr>
            </w:pPr>
            <w:r>
              <w:rPr>
                <w:rFonts w:ascii="Arial" w:cs="Arial" w:eastAsia="Arial" w:hAnsi="Arial"/>
                <w:sz w:val="18"/>
                <w:szCs w:val="18"/>
                <w:color w:val="auto"/>
              </w:rPr>
              <w:t>December 31, 2019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194,606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445,257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tcBorders>
              <w:bottom w:val="single" w:sz="8" w:color="D9D9D9"/>
            </w:tcBorders>
          </w:tcPr>
          <w:p>
            <w:pPr>
              <w:spacing w:after="0"/>
              <w:rPr>
                <w:sz w:val="17"/>
                <w:szCs w:val="17"/>
                <w:color w:val="auto"/>
              </w:rPr>
            </w:pPr>
          </w:p>
        </w:tc>
        <w:tc>
          <w:tcPr>
            <w:tcW w:w="80" w:type="dxa"/>
            <w:vAlign w:val="bottom"/>
            <w:tcBorders>
              <w:bottom w:val="single" w:sz="8" w:color="D9D9D9"/>
            </w:tcBorders>
          </w:tcPr>
          <w:p>
            <w:pPr>
              <w:spacing w:after="0"/>
              <w:rPr>
                <w:sz w:val="17"/>
                <w:szCs w:val="17"/>
                <w:color w:val="auto"/>
              </w:rPr>
            </w:pPr>
          </w:p>
        </w:tc>
        <w:tc>
          <w:tcPr>
            <w:tcW w:w="160" w:type="dxa"/>
            <w:vAlign w:val="bottom"/>
            <w:tcBorders>
              <w:bottom w:val="single" w:sz="8" w:color="D9D9D9"/>
            </w:tcBorders>
          </w:tcPr>
          <w:p>
            <w:pPr>
              <w:spacing w:after="0"/>
              <w:rPr>
                <w:sz w:val="17"/>
                <w:szCs w:val="17"/>
                <w:color w:val="auto"/>
              </w:rPr>
            </w:pPr>
          </w:p>
        </w:tc>
        <w:tc>
          <w:tcPr>
            <w:tcW w:w="1440" w:type="dxa"/>
            <w:vAlign w:val="bottom"/>
            <w:tcBorders>
              <w:bottom w:val="single" w:sz="8" w:color="D9D9D9"/>
            </w:tcBorders>
          </w:tcPr>
          <w:p>
            <w:pPr>
              <w:spacing w:after="0"/>
              <w:rPr>
                <w:sz w:val="17"/>
                <w:szCs w:val="17"/>
                <w:color w:val="auto"/>
              </w:rPr>
            </w:pPr>
          </w:p>
        </w:tc>
        <w:tc>
          <w:tcPr>
            <w:tcW w:w="260" w:type="dxa"/>
            <w:vAlign w:val="bottom"/>
            <w:tcBorders>
              <w:bottom w:val="single" w:sz="8" w:color="D9D9D9"/>
            </w:tcBorders>
          </w:tcPr>
          <w:p>
            <w:pPr>
              <w:spacing w:after="0"/>
              <w:rPr>
                <w:sz w:val="17"/>
                <w:szCs w:val="17"/>
                <w:color w:val="auto"/>
              </w:rPr>
            </w:pPr>
          </w:p>
        </w:tc>
        <w:tc>
          <w:tcPr>
            <w:tcW w:w="20" w:type="dxa"/>
            <w:vAlign w:val="bottom"/>
            <w:tcBorders>
              <w:bottom w:val="single" w:sz="8" w:color="D9D9D9"/>
            </w:tcBorders>
          </w:tcPr>
          <w:p>
            <w:pPr>
              <w:spacing w:after="0"/>
              <w:rPr>
                <w:sz w:val="17"/>
                <w:szCs w:val="17"/>
                <w:color w:val="auto"/>
              </w:rPr>
            </w:pPr>
          </w:p>
        </w:tc>
        <w:tc>
          <w:tcPr>
            <w:tcW w:w="80" w:type="dxa"/>
            <w:vAlign w:val="bottom"/>
            <w:tcBorders>
              <w:bottom w:val="single" w:sz="8" w:color="D9D9D9"/>
            </w:tcBorders>
          </w:tcPr>
          <w:p>
            <w:pPr>
              <w:spacing w:after="0"/>
              <w:rPr>
                <w:sz w:val="17"/>
                <w:szCs w:val="17"/>
                <w:color w:val="auto"/>
              </w:rPr>
            </w:pPr>
          </w:p>
        </w:tc>
        <w:tc>
          <w:tcPr>
            <w:tcW w:w="152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144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52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10360"/>
        <w:spacing w:after="0"/>
        <w:rPr>
          <w:sz w:val="20"/>
          <w:szCs w:val="20"/>
          <w:color w:val="auto"/>
        </w:rPr>
      </w:pPr>
      <w:r>
        <w:rPr>
          <w:rFonts w:ascii="Arial" w:cs="Arial" w:eastAsia="Arial" w:hAnsi="Arial"/>
          <w:sz w:val="16"/>
          <w:szCs w:val="16"/>
          <w:color w:val="auto"/>
        </w:rPr>
        <w:t>Exhibit 99.1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920" w:type="dxa"/>
            <w:vAlign w:val="bottom"/>
            <w:tcBorders>
              <w:bottom w:val="single" w:sz="8" w:color="CFF0FC"/>
            </w:tcBorders>
            <w:vMerge w:val="continue"/>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expenses</w:t>
            </w: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Loss on divestitures, net of selling costs</w:t>
            </w: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1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17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1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7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Earnings per share:</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FF0FC"/>
            </w:tcBorders>
            <w:vMerge w:val="continue"/>
          </w:tcPr>
          <w:p>
            <w:pPr>
              <w:spacing w:after="0"/>
              <w:rPr>
                <w:sz w:val="21"/>
                <w:szCs w:val="21"/>
                <w:color w:val="auto"/>
              </w:rPr>
            </w:pPr>
          </w:p>
        </w:tc>
        <w:tc>
          <w:tcPr>
            <w:tcW w:w="17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60"/>
              <w:spacing w:after="0"/>
              <w:rPr>
                <w:sz w:val="20"/>
                <w:szCs w:val="20"/>
                <w:color w:val="auto"/>
              </w:rPr>
            </w:pPr>
            <w:r>
              <w:rPr>
                <w:rFonts w:ascii="Arial" w:cs="Arial" w:eastAsia="Arial" w:hAnsi="Arial"/>
                <w:sz w:val="18"/>
                <w:szCs w:val="18"/>
                <w:color w:val="auto"/>
              </w:rPr>
              <w:t>Basic</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35,155,377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34,835,550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35,394,865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35,360,042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8120" w:type="dxa"/>
            <w:vAlign w:val="bottom"/>
            <w:gridSpan w:val="3"/>
            <w:vMerge w:val="restart"/>
          </w:tcPr>
          <w:p>
            <w:pPr>
              <w:ind w:left="3360"/>
              <w:spacing w:after="0"/>
              <w:rPr>
                <w:sz w:val="20"/>
                <w:szCs w:val="20"/>
                <w:color w:val="auto"/>
              </w:rPr>
            </w:pPr>
            <w:r>
              <w:rPr>
                <w:rFonts w:ascii="Arial" w:cs="Arial" w:eastAsia="Arial" w:hAnsi="Arial"/>
                <w:sz w:val="18"/>
                <w:szCs w:val="18"/>
                <w:b w:val="1"/>
                <w:bCs w:val="1"/>
                <w:color w:val="auto"/>
              </w:rPr>
              <w:t>CECO ENVIRONMENTAL CORP. AND SUBSIDIARIES</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8"/>
        </w:trPr>
        <w:tc>
          <w:tcPr>
            <w:tcW w:w="8120" w:type="dxa"/>
            <w:vAlign w:val="bottom"/>
            <w:gridSpan w:val="3"/>
            <w:vMerge w:val="continue"/>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20" w:type="dxa"/>
            <w:vAlign w:val="bottom"/>
            <w:gridSpan w:val="3"/>
          </w:tcPr>
          <w:p>
            <w:pPr>
              <w:ind w:left="3220"/>
              <w:spacing w:after="0"/>
              <w:rPr>
                <w:sz w:val="20"/>
                <w:szCs w:val="20"/>
                <w:color w:val="auto"/>
              </w:rPr>
            </w:pPr>
            <w:r>
              <w:rPr>
                <w:rFonts w:ascii="Arial" w:cs="Arial" w:eastAsia="Arial" w:hAnsi="Arial"/>
                <w:sz w:val="18"/>
                <w:szCs w:val="18"/>
                <w:b w:val="1"/>
                <w:bCs w:val="1"/>
                <w:color w:val="auto"/>
              </w:rPr>
              <w:t>RECONCILIATION OF GAAP TO NON-GAAP MEASURES</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75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56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8"/>
                <w:szCs w:val="18"/>
                <w:i w:val="1"/>
                <w:iCs w:val="1"/>
                <w:color w:val="auto"/>
              </w:rPr>
              <w:t>5.2%</w:t>
            </w:r>
          </w:p>
        </w:tc>
        <w:tc>
          <w:tcPr>
            <w:tcW w:w="36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5.7%</w:t>
            </w: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expenses</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500"/>
              <w:spacing w:after="0"/>
              <w:rPr>
                <w:sz w:val="20"/>
                <w:szCs w:val="20"/>
                <w:color w:val="auto"/>
              </w:rPr>
            </w:pPr>
            <w:r>
              <w:rPr>
                <w:rFonts w:ascii="Arial" w:cs="Arial" w:eastAsia="Arial" w:hAnsi="Arial"/>
                <w:sz w:val="18"/>
                <w:szCs w:val="18"/>
                <w:color w:val="auto"/>
              </w:rPr>
              <w:t>Restructuring expenses</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divestitures, net of selling costs</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6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7.8%</w:t>
            </w:r>
          </w:p>
        </w:tc>
        <w:tc>
          <w:tcPr>
            <w:tcW w:w="360" w:type="dxa"/>
            <w:vAlign w:val="bottom"/>
            <w:shd w:val="clear" w:color="auto" w:fill="CFF0FC"/>
          </w:tcPr>
          <w:p>
            <w:pPr>
              <w:spacing w:after="0"/>
              <w:rPr>
                <w:sz w:val="19"/>
                <w:szCs w:val="19"/>
                <w:color w:val="auto"/>
              </w:rPr>
            </w:pPr>
          </w:p>
        </w:tc>
        <w:tc>
          <w:tcPr>
            <w:tcW w:w="1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i w:val="1"/>
                <w:iCs w:val="1"/>
                <w:color w:val="auto"/>
              </w:rPr>
              <w:t>8.4%</w:t>
            </w:r>
          </w:p>
        </w:tc>
        <w:tc>
          <w:tcPr>
            <w:tcW w:w="0" w:type="dxa"/>
            <w:vAlign w:val="bottom"/>
          </w:tcPr>
          <w:p>
            <w:pPr>
              <w:spacing w:after="0"/>
              <w:rPr>
                <w:sz w:val="1"/>
                <w:szCs w:val="1"/>
                <w:color w:val="auto"/>
              </w:rPr>
            </w:pPr>
          </w:p>
        </w:tc>
      </w:tr>
      <w:tr>
        <w:trPr>
          <w:trHeight w:val="648"/>
        </w:trPr>
        <w:tc>
          <w:tcPr>
            <w:tcW w:w="75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560" w:type="dxa"/>
            <w:vAlign w:val="bottom"/>
            <w:tcBorders>
              <w:bottom w:val="single" w:sz="8" w:color="CFF0FC"/>
            </w:tcBorders>
            <w:vMerge w:val="continue"/>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Net income as reported in accordance with GAAP</w:t>
            </w:r>
          </w:p>
        </w:tc>
        <w:tc>
          <w:tcPr>
            <w:tcW w:w="56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500"/>
              <w:spacing w:after="0"/>
              <w:rPr>
                <w:sz w:val="20"/>
                <w:szCs w:val="20"/>
                <w:color w:val="auto"/>
              </w:rPr>
            </w:pPr>
            <w:r>
              <w:rPr>
                <w:rFonts w:ascii="Arial" w:cs="Arial" w:eastAsia="Arial" w:hAnsi="Arial"/>
                <w:sz w:val="18"/>
                <w:szCs w:val="18"/>
                <w:color w:val="auto"/>
              </w:rPr>
              <w:t>Amortization expenses</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expenses</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500"/>
              <w:spacing w:after="0"/>
              <w:rPr>
                <w:sz w:val="20"/>
                <w:szCs w:val="20"/>
                <w:color w:val="auto"/>
              </w:rPr>
            </w:pPr>
            <w:r>
              <w:rPr>
                <w:rFonts w:ascii="Arial" w:cs="Arial" w:eastAsia="Arial" w:hAnsi="Arial"/>
                <w:sz w:val="18"/>
                <w:szCs w:val="18"/>
                <w:color w:val="auto"/>
              </w:rPr>
              <w:t>Loss on divestiture, net of selling costs</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remeasurement</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500"/>
              <w:spacing w:after="0"/>
              <w:rPr>
                <w:sz w:val="20"/>
                <w:szCs w:val="20"/>
                <w:color w:val="auto"/>
              </w:rPr>
            </w:pPr>
            <w:r>
              <w:rPr>
                <w:rFonts w:ascii="Arial" w:cs="Arial" w:eastAsia="Arial" w:hAnsi="Arial"/>
                <w:sz w:val="18"/>
                <w:szCs w:val="18"/>
                <w:color w:val="auto"/>
              </w:rPr>
              <w:t>Tax benefit of adjustments</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560" w:type="dxa"/>
            <w:vAlign w:val="bottom"/>
            <w:tcBorders>
              <w:top w:val="single" w:sz="8" w:color="auto"/>
            </w:tcBorders>
            <w:gridSpan w:val="2"/>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stock compensation</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500"/>
              <w:spacing w:after="0"/>
              <w:rPr>
                <w:sz w:val="20"/>
                <w:szCs w:val="20"/>
                <w:color w:val="auto"/>
              </w:rPr>
            </w:pPr>
            <w:r>
              <w:rPr>
                <w:rFonts w:ascii="Arial" w:cs="Arial" w:eastAsia="Arial" w:hAnsi="Arial"/>
                <w:sz w:val="18"/>
                <w:szCs w:val="18"/>
                <w:color w:val="auto"/>
              </w:rPr>
              <w:t>Other income</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Income tax expense</w:t>
            </w: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Adjusted EBITDA</w:t>
            </w:r>
          </w:p>
        </w:tc>
        <w:tc>
          <w:tcPr>
            <w:tcW w:w="56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50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Non-GAAP net income per share:</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50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89"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9"/>
          <w:szCs w:val="19"/>
          <w:color w:val="auto"/>
        </w:rPr>
        <w:t>Non-GAAP operating income, non-GAAP net income, non-GAAP operating margin, non-GAAP net income per basic and diluted share and adjusted EBITDA, as we present them in the financial data included in this press release, have been adjusted to exclude the effects of amortization expenses for acquisition related intangible assets, restructuring expenses primarily relating to severance and legal expenses, loss on divestitures, net of selling costs necessary to complete the divestiture such as legal, accounting and compliance, and other nonrecurring or infrequent items and the associated tax benefit of these</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12"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Non-GAAP operating income, non-GAAP net income, non-GAAP operating margin, non-GAAP net income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212"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and non-GAAP net income per basic and diluted share and adjusted EBITDA stated in the tables above present the most directly comparable GAAP financial measure and reconcile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26" w:lineRule="exact"/>
        <w:rPr>
          <w:sz w:val="20"/>
          <w:szCs w:val="20"/>
          <w:color w:val="auto"/>
        </w:rPr>
      </w:pPr>
    </w:p>
    <w:p>
      <w:pPr>
        <w:jc w:val="both"/>
        <w:ind w:firstLine="510"/>
        <w:spacing w:after="0" w:line="226" w:lineRule="auto"/>
        <w:rPr>
          <w:sz w:val="20"/>
          <w:szCs w:val="20"/>
          <w:color w:val="auto"/>
        </w:rPr>
      </w:pPr>
      <w:r>
        <w:rPr>
          <w:rFonts w:ascii="Arial" w:cs="Arial" w:eastAsia="Arial" w:hAnsi="Arial"/>
          <w:sz w:val="20"/>
          <w:szCs w:val="20"/>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2019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realize the expected benefits of our restructuring program; our ability to successfully integrate acquired businesses and realize the synergies from acquisitions; unpredictability and severity of catastrophic events, including cyber-security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877"/>
    </w:lvl>
  </w:abstractNum>
  <w:abstractNum w:abstractNumId="4">
    <w:nsid w:val="46E87CCD"/>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2020-05-06T06:03:55Z</dcterms:created>
  <dcterms:modified xsi:type="dcterms:W3CDTF">2020-05-06T06:03:55Z</dcterms:modified>
</cp:coreProperties>
</file>