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5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vMerge w:val="restart"/>
          </w:tcPr>
          <w:p>
            <w:pPr>
              <w:ind w:left="4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11/09/2017</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162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1"/>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8"/>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20" w:type="dxa"/>
            <w:vAlign w:val="bottom"/>
            <w:gridSpan w:val="5"/>
            <w:vMerge w:val="restart"/>
          </w:tcPr>
          <w:p>
            <w:pPr>
              <w:ind w:left="800"/>
              <w:spacing w:after="0"/>
              <w:rPr>
                <w:sz w:val="20"/>
                <w:szCs w:val="20"/>
                <w:color w:val="auto"/>
              </w:rPr>
            </w:pPr>
            <w:r>
              <w:rPr>
                <w:rFonts w:ascii="Arial" w:cs="Arial" w:eastAsia="Arial" w:hAnsi="Arial"/>
                <w:sz w:val="18"/>
                <w:szCs w:val="18"/>
                <w:color w:val="0000FF"/>
              </w:rPr>
              <w:t>11/09/2017</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7"/>
              </w:rPr>
              <w:t>8,900</w:t>
            </w:r>
          </w:p>
        </w:tc>
        <w:tc>
          <w:tcPr>
            <w:tcW w:w="120" w:type="dxa"/>
            <w:vAlign w:val="bottom"/>
          </w:tcPr>
          <w:p>
            <w:pPr>
              <w:spacing w:after="0"/>
              <w:rPr>
                <w:sz w:val="22"/>
                <w:szCs w:val="22"/>
                <w:color w:val="auto"/>
              </w:rPr>
            </w:pP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2"/>
                <w:szCs w:val="22"/>
                <w:color w:val="auto"/>
              </w:rPr>
            </w:pPr>
          </w:p>
        </w:tc>
        <w:tc>
          <w:tcPr>
            <w:tcW w:w="620" w:type="dxa"/>
            <w:vAlign w:val="bottom"/>
            <w:gridSpan w:val="5"/>
            <w:vMerge w:val="restart"/>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5.87</w:t>
            </w:r>
            <w:r>
              <w:rPr>
                <w:rFonts w:ascii="Arial" w:cs="Arial" w:eastAsia="Arial" w:hAnsi="Arial"/>
                <w:sz w:val="22"/>
                <w:szCs w:val="22"/>
                <w:color w:val="008000"/>
                <w:w w:val="95"/>
                <w:vertAlign w:val="superscript"/>
              </w:rPr>
              <w:t>(1)</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65,200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5"/>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26,146</w:t>
            </w:r>
          </w:p>
        </w:tc>
        <w:tc>
          <w:tcPr>
            <w:tcW w:w="940" w:type="dxa"/>
            <w:vAlign w:val="bottom"/>
          </w:tcPr>
          <w:p>
            <w:pPr>
              <w:jc w:val="center"/>
              <w:ind w:right="33"/>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6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0"/>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7"/>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7"/>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Price reflects a weighted average price for multiple transactions that ranged from $5.84 to $5.89 per share. The Reporting Person undertakes to provide, upon request by the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Paul M. Gohr, Attorney-in-</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11/09/2017</w:t>
            </w:r>
          </w:p>
        </w:tc>
        <w:tc>
          <w:tcPr>
            <w:tcW w:w="0" w:type="dxa"/>
            <w:vAlign w:val="bottom"/>
          </w:tcPr>
          <w:p>
            <w:pPr>
              <w:spacing w:after="0"/>
              <w:rPr>
                <w:sz w:val="1"/>
                <w:szCs w:val="1"/>
                <w:color w:val="auto"/>
              </w:rPr>
            </w:pPr>
          </w:p>
        </w:tc>
      </w:tr>
      <w:tr>
        <w:trPr>
          <w:trHeight w:val="88"/>
        </w:trPr>
        <w:tc>
          <w:tcPr>
            <w:tcW w:w="18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Jonathan Pollack</w:t>
            </w:r>
          </w:p>
        </w:tc>
        <w:tc>
          <w:tcPr>
            <w:tcW w:w="4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2020-01-16T05:39:38Z</dcterms:created>
  <dcterms:modified xsi:type="dcterms:W3CDTF">2020-01-16T05:39:38Z</dcterms:modified>
</cp:coreProperties>
</file>