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124460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152400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139700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133350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660" w:space="720"/>
            <w:col w:w="3060" w:space="720"/>
            <w:col w:w="2240"/>
          </w:cols>
          <w:pgMar w:left="240" w:top="382" w:right="259" w:bottom="1440" w:gutter="0" w:footer="0" w:header="0"/>
          <w:type w:val="continuous"/>
        </w:sectPr>
      </w:pPr>
    </w:p>
    <w:p>
      <w:pPr>
        <w:spacing w:after="0" w:line="12" w:lineRule="exact"/>
        <w:rPr>
          <w:sz w:val="24"/>
          <w:szCs w:val="24"/>
          <w:color w:val="auto"/>
        </w:rPr>
      </w:pPr>
    </w:p>
    <w:p>
      <w:pPr>
        <w:jc w:val="center"/>
        <w:ind w:right="920"/>
        <w:spacing w:after="0"/>
        <w:rPr>
          <w:sz w:val="20"/>
          <w:szCs w:val="20"/>
          <w:color w:val="auto"/>
        </w:rPr>
      </w:pPr>
      <w:r>
        <w:rPr>
          <w:rFonts w:ascii="Arial" w:cs="Arial" w:eastAsia="Arial" w:hAnsi="Arial"/>
          <w:sz w:val="13"/>
          <w:szCs w:val="13"/>
          <w:b w:val="1"/>
          <w:bCs w:val="1"/>
          <w:color w:val="auto"/>
        </w:rPr>
        <w:t>(State or other jurisdiction</w:t>
      </w:r>
    </w:p>
    <w:p>
      <w:pPr>
        <w:jc w:val="center"/>
        <w:ind w:right="9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b w:val="1"/>
          <w:bCs w:val="1"/>
          <w:color w:val="auto"/>
        </w:rPr>
        <w:t>(IRS Employer</w:t>
      </w:r>
    </w:p>
    <w:p>
      <w:pPr>
        <w:jc w:val="center"/>
        <w:ind w:right="124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600" w:space="720"/>
            <w:col w:w="3000" w:space="720"/>
            <w:col w:w="2360"/>
          </w:cols>
          <w:pgMar w:left="240" w:top="382" w:right="259" w:bottom="1440" w:gutter="0" w:footer="0" w:header="0"/>
          <w:type w:val="continuous"/>
        </w:sectPr>
      </w:pPr>
    </w:p>
    <w:p>
      <w:pPr>
        <w:jc w:val="center"/>
        <w:ind w:right="2060"/>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75254</w:t>
      </w:r>
    </w:p>
    <w:p>
      <w:pPr>
        <w:spacing w:after="0" w:line="61" w:lineRule="exact"/>
        <w:rPr>
          <w:sz w:val="24"/>
          <w:szCs w:val="24"/>
          <w:color w:val="auto"/>
        </w:rPr>
      </w:pPr>
    </w:p>
    <w:p>
      <w:pPr>
        <w:sectPr>
          <w:pgSz w:w="11900" w:h="16838" w:orient="portrait"/>
          <w:cols w:equalWidth="0" w:num="2">
            <w:col w:w="7680" w:space="720"/>
            <w:col w:w="3000"/>
          </w:cols>
          <w:pgMar w:left="240" w:top="382" w:right="25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580" w:space="720"/>
            <w:col w:w="3100"/>
          </w:cols>
          <w:pgMar w:left="240" w:top="382"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(513) 458-2600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154940</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8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40"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60" w:firstLine="598"/>
        <w:spacing w:after="0" w:line="308" w:lineRule="auto"/>
        <w:rPr>
          <w:sz w:val="20"/>
          <w:szCs w:val="20"/>
          <w:color w:val="auto"/>
        </w:rPr>
      </w:pPr>
      <w:r>
        <w:rPr>
          <w:rFonts w:ascii="Arial" w:cs="Arial" w:eastAsia="Arial" w:hAnsi="Arial"/>
          <w:sz w:val="17"/>
          <w:szCs w:val="17"/>
          <w:color w:val="auto"/>
        </w:rPr>
        <w:t>On August 8, 2018, CECO Environmental Corp., a Delaware corporation, issued a press release announcing its financial results for the three and six months ended June 30, 2018. A copy of the press release is furnished as Exhibit 99.1 to this report and is incorporated herein by reference.</w:t>
      </w:r>
    </w:p>
    <w:p>
      <w:pPr>
        <w:spacing w:after="0" w:line="147"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600" w:hanging="59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20" w:type="dxa"/>
            <w:vAlign w:val="bottom"/>
            <w:tcBorders>
              <w:top w:val="single" w:sz="8" w:color="auto"/>
            </w:tcBorders>
          </w:tcPr>
          <w:p>
            <w:pPr>
              <w:jc w:val="right"/>
              <w:ind w:right="522"/>
              <w:spacing w:after="0"/>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22"/>
                <w:szCs w:val="22"/>
                <w:color w:val="auto"/>
              </w:rPr>
            </w:pPr>
          </w:p>
        </w:tc>
        <w:tc>
          <w:tcPr>
            <w:tcW w:w="1038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August 8, 2018</w:t>
              </w:r>
            </w:hyperlink>
            <w:r>
              <w:rPr>
                <w:rFonts w:ascii="Arial" w:cs="Arial" w:eastAsia="Arial" w:hAnsi="Arial"/>
                <w:sz w:val="18"/>
                <w:szCs w:val="18"/>
                <w:color w:val="000000"/>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20" w:type="dxa"/>
            <w:vAlign w:val="bottom"/>
            <w:tcBorders>
              <w:top w:val="single" w:sz="8" w:color="0000EE"/>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6"/>
          <w:szCs w:val="16"/>
          <w:color w:val="auto"/>
        </w:rPr>
        <w:t>CECO Environmental Corp.</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Matthew Eckl</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80"/>
          </w:cols>
          <w:pgMar w:left="240" w:top="121"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74930</wp:posOffset>
            </wp:positionV>
            <wp:extent cx="109791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9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CECO Environmental Corp. Reports Second Quarter and Six Months 2018 Results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Achieved $100 Million in Quarterly Bookings and Improving Operating Results</w:t>
      </w:r>
    </w:p>
    <w:p>
      <w:pPr>
        <w:spacing w:after="0" w:line="246" w:lineRule="exact"/>
        <w:rPr>
          <w:sz w:val="20"/>
          <w:szCs w:val="20"/>
          <w:color w:val="auto"/>
        </w:rPr>
      </w:pPr>
    </w:p>
    <w:p>
      <w:pPr>
        <w:jc w:val="both"/>
        <w:ind w:left="120" w:right="60"/>
        <w:spacing w:after="0" w:line="241" w:lineRule="auto"/>
        <w:rPr>
          <w:sz w:val="20"/>
          <w:szCs w:val="20"/>
          <w:color w:val="auto"/>
        </w:rPr>
      </w:pPr>
      <w:r>
        <w:rPr>
          <w:rFonts w:ascii="Arial" w:cs="Arial" w:eastAsia="Arial" w:hAnsi="Arial"/>
          <w:sz w:val="20"/>
          <w:szCs w:val="20"/>
          <w:b w:val="1"/>
          <w:bCs w:val="1"/>
          <w:color w:val="auto"/>
        </w:rPr>
        <w:t xml:space="preserve">DALLAS, Texas, August 8, 2018 -- CECO Environmental Corp. (Nasdaq: CECE), </w:t>
      </w:r>
      <w:r>
        <w:rPr>
          <w:rFonts w:ascii="Arial" w:cs="Arial" w:eastAsia="Arial" w:hAnsi="Arial"/>
          <w:sz w:val="20"/>
          <w:szCs w:val="20"/>
          <w:color w:val="auto"/>
        </w:rPr>
        <w:t>a leading global air quality and fluid</w:t>
      </w:r>
      <w:r>
        <w:rPr>
          <w:rFonts w:ascii="Arial" w:cs="Arial" w:eastAsia="Arial" w:hAnsi="Arial"/>
          <w:sz w:val="20"/>
          <w:szCs w:val="20"/>
          <w:b w:val="1"/>
          <w:bCs w:val="1"/>
          <w:color w:val="auto"/>
        </w:rPr>
        <w:t xml:space="preserve"> </w:t>
      </w:r>
      <w:r>
        <w:rPr>
          <w:rFonts w:ascii="Arial" w:cs="Arial" w:eastAsia="Arial" w:hAnsi="Arial"/>
          <w:sz w:val="20"/>
          <w:szCs w:val="20"/>
          <w:color w:val="auto"/>
        </w:rPr>
        <w:t>handling company serving the energy, industrial and other niche markets, today reported its financial results for the second quarter and first six months of 2018.</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Highlights of the Second Quarter 2018*</w:t>
      </w:r>
    </w:p>
    <w:p>
      <w:pPr>
        <w:spacing w:after="0" w:line="9" w:lineRule="exact"/>
        <w:rPr>
          <w:sz w:val="20"/>
          <w:szCs w:val="20"/>
          <w:color w:val="auto"/>
        </w:rPr>
      </w:pPr>
    </w:p>
    <w:p>
      <w:pPr>
        <w:ind w:left="760" w:hanging="374"/>
        <w:spacing w:after="0"/>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Revenue of $81.1 million, compared with $93.9 million</w:t>
      </w:r>
    </w:p>
    <w:p>
      <w:pPr>
        <w:ind w:left="760" w:hanging="374"/>
        <w:spacing w:after="0"/>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Gross profit of $27.2 million (33.5% margin), compared with $28.5 million (30.4% margin)</w:t>
      </w:r>
    </w:p>
    <w:p>
      <w:pPr>
        <w:spacing w:after="0" w:line="11" w:lineRule="exact"/>
        <w:rPr>
          <w:rFonts w:ascii="Arial" w:cs="Arial" w:eastAsia="Arial" w:hAnsi="Arial"/>
          <w:sz w:val="19"/>
          <w:szCs w:val="19"/>
          <w:color w:val="auto"/>
        </w:rPr>
      </w:pPr>
    </w:p>
    <w:p>
      <w:pPr>
        <w:ind w:left="760" w:hanging="374"/>
        <w:spacing w:after="0"/>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Operating income of $2.6 million, compared with $9.3 million</w:t>
      </w:r>
    </w:p>
    <w:p>
      <w:pPr>
        <w:spacing w:after="0" w:line="11" w:lineRule="exact"/>
        <w:rPr>
          <w:rFonts w:ascii="Arial" w:cs="Arial" w:eastAsia="Arial" w:hAnsi="Arial"/>
          <w:sz w:val="19"/>
          <w:szCs w:val="19"/>
          <w:color w:val="auto"/>
        </w:rPr>
      </w:pPr>
    </w:p>
    <w:p>
      <w:pPr>
        <w:ind w:left="760" w:hanging="374"/>
        <w:spacing w:after="0"/>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Non-GAAP operating income of $5.2 million, compared with $9.4 million</w:t>
      </w:r>
    </w:p>
    <w:p>
      <w:pPr>
        <w:spacing w:after="0" w:line="11" w:lineRule="exact"/>
        <w:rPr>
          <w:rFonts w:ascii="Arial" w:cs="Arial" w:eastAsia="Arial" w:hAnsi="Arial"/>
          <w:sz w:val="19"/>
          <w:szCs w:val="19"/>
          <w:color w:val="auto"/>
        </w:rPr>
      </w:pPr>
    </w:p>
    <w:p>
      <w:pPr>
        <w:ind w:left="760" w:hanging="374"/>
        <w:spacing w:after="0"/>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Net loss was $(0.9) million, compared with net income of $5.5 million</w:t>
      </w:r>
    </w:p>
    <w:p>
      <w:pPr>
        <w:spacing w:after="0" w:line="11" w:lineRule="exact"/>
        <w:rPr>
          <w:rFonts w:ascii="Arial" w:cs="Arial" w:eastAsia="Arial" w:hAnsi="Arial"/>
          <w:sz w:val="19"/>
          <w:szCs w:val="19"/>
          <w:color w:val="auto"/>
        </w:rPr>
      </w:pPr>
    </w:p>
    <w:p>
      <w:pPr>
        <w:ind w:left="760" w:hanging="374"/>
        <w:spacing w:after="0"/>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Non-GAAP net income of $1.8 million, compared with $2.9 million</w:t>
      </w:r>
    </w:p>
    <w:p>
      <w:pPr>
        <w:spacing w:after="0" w:line="8" w:lineRule="exact"/>
        <w:rPr>
          <w:rFonts w:ascii="Arial" w:cs="Arial" w:eastAsia="Arial" w:hAnsi="Arial"/>
          <w:sz w:val="19"/>
          <w:szCs w:val="19"/>
          <w:color w:val="auto"/>
        </w:rPr>
      </w:pPr>
    </w:p>
    <w:p>
      <w:pPr>
        <w:ind w:left="760" w:hanging="374"/>
        <w:spacing w:after="0"/>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Net loss per diluted share was $(0.03), compared with net income per diluted share of $0.16</w:t>
      </w:r>
    </w:p>
    <w:p>
      <w:pPr>
        <w:ind w:left="760" w:hanging="374"/>
        <w:spacing w:after="0" w:line="237" w:lineRule="auto"/>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Non-GAAP net income per diluted share of $0.05, compared with $0.08</w:t>
      </w:r>
    </w:p>
    <w:p>
      <w:pPr>
        <w:ind w:left="760" w:hanging="374"/>
        <w:spacing w:after="0" w:line="237" w:lineRule="auto"/>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Adjusted EBITDA of $6.9 million, compared with $11.0 million</w:t>
      </w:r>
    </w:p>
    <w:p>
      <w:pPr>
        <w:ind w:left="760" w:hanging="374"/>
        <w:spacing w:after="0" w:line="237" w:lineRule="auto"/>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Bookings of $100.4 million, compared with $87.2 million</w:t>
      </w:r>
    </w:p>
    <w:p>
      <w:pPr>
        <w:ind w:left="760" w:hanging="374"/>
        <w:spacing w:after="0"/>
        <w:tabs>
          <w:tab w:leader="none" w:pos="760" w:val="left"/>
        </w:tabs>
        <w:numPr>
          <w:ilvl w:val="1"/>
          <w:numId w:val="3"/>
        </w:numPr>
        <w:rPr>
          <w:rFonts w:ascii="Arial" w:cs="Arial" w:eastAsia="Arial" w:hAnsi="Arial"/>
          <w:sz w:val="19"/>
          <w:szCs w:val="19"/>
          <w:color w:val="auto"/>
        </w:rPr>
      </w:pPr>
      <w:r>
        <w:rPr>
          <w:rFonts w:ascii="Arial" w:cs="Arial" w:eastAsia="Arial" w:hAnsi="Arial"/>
          <w:sz w:val="19"/>
          <w:szCs w:val="19"/>
          <w:color w:val="auto"/>
        </w:rPr>
        <w:t>Backlog of $200.0 million, compared with $168.9 as of December 31, 2017</w:t>
      </w:r>
    </w:p>
    <w:p>
      <w:pPr>
        <w:spacing w:after="0" w:line="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6"/>
          <w:szCs w:val="16"/>
          <w:color w:val="auto"/>
        </w:rPr>
        <w:t>* All comparisons are versus the comparable prior-year period, which include results from divestitures, unless otherwise stated.</w:t>
      </w:r>
    </w:p>
    <w:p>
      <w:pPr>
        <w:spacing w:after="0" w:line="229" w:lineRule="exact"/>
        <w:rPr>
          <w:sz w:val="20"/>
          <w:szCs w:val="20"/>
          <w:color w:val="auto"/>
        </w:rPr>
      </w:pPr>
    </w:p>
    <w:p>
      <w:pPr>
        <w:jc w:val="both"/>
        <w:ind w:left="120" w:right="80"/>
        <w:spacing w:after="0" w:line="228" w:lineRule="auto"/>
        <w:rPr>
          <w:sz w:val="20"/>
          <w:szCs w:val="20"/>
          <w:color w:val="auto"/>
        </w:rPr>
      </w:pPr>
      <w:r>
        <w:rPr>
          <w:rFonts w:ascii="Arial" w:cs="Arial" w:eastAsia="Arial" w:hAnsi="Arial"/>
          <w:sz w:val="20"/>
          <w:szCs w:val="20"/>
          <w:color w:val="auto"/>
        </w:rPr>
        <w:t>CECO’s Chief Executive Officer Dennis Sadlowski commented, “I am very pleased that we were able to achieve a third successive quarter of increased bookings along with a strong book to bill ratio as our team demonstrated the value of the CECO offerings. Bookings exceeded $100 million for the first time in two years and backlog now stands at $200 million, a significant increase over previous quarters. It is clear that rigorous execution of our 4-3-3 operating strategy is generating solid results and momentum. The second quarter results provide evidence that we are executing well in the face of a continued slump in the global power generation market. Our other markets remain strong, which supports the new investments we are making to strengthen the company.”</w:t>
      </w:r>
    </w:p>
    <w:p>
      <w:pPr>
        <w:spacing w:after="0" w:line="213" w:lineRule="exact"/>
        <w:rPr>
          <w:sz w:val="20"/>
          <w:szCs w:val="20"/>
          <w:color w:val="auto"/>
        </w:rPr>
      </w:pPr>
    </w:p>
    <w:p>
      <w:pPr>
        <w:jc w:val="both"/>
        <w:ind w:left="120" w:right="80"/>
        <w:spacing w:after="0" w:line="231" w:lineRule="auto"/>
        <w:rPr>
          <w:sz w:val="20"/>
          <w:szCs w:val="20"/>
          <w:color w:val="auto"/>
        </w:rPr>
      </w:pPr>
      <w:r>
        <w:rPr>
          <w:rFonts w:ascii="Arial" w:cs="Arial" w:eastAsia="Arial" w:hAnsi="Arial"/>
          <w:sz w:val="20"/>
          <w:szCs w:val="20"/>
          <w:color w:val="auto"/>
        </w:rPr>
        <w:t>Mr. Sadlowski added, “In addition, we achieved sequential increases in revenues, non-GAAP operating income and adjusted EBITDA. What is especially encouraging is that these improved second quarter results excluded the two brands we sold in the first quarter of 2018. We will continue to ensure the company is best-positioned to maximize our market opportunities in all segments and drive organic growth throughout 2018 and beyond.”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SECOND QUARTER RESULTS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Revenue in the second quarter of 2018 was $81.1 million, down 13.6% from $93.9 million in the prior-year period.</w:t>
      </w:r>
    </w:p>
    <w:p>
      <w:pPr>
        <w:spacing w:after="0" w:line="216"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20"/>
          <w:szCs w:val="20"/>
          <w:color w:val="auto"/>
        </w:rPr>
        <w:t>Operating income was $2.6 million for the second quarter of 2018 (3.2% margin), compared with $9.3 million in the prior-year period (9.9% margin). Operating income on a non-GAAP basis was $5.2 million for the second quarter of 2018 (6.4% margin), compared with $9.4 million in the prior-year period (10.0%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left="10540"/>
        <w:spacing w:after="0"/>
        <w:rPr>
          <w:sz w:val="20"/>
          <w:szCs w:val="20"/>
          <w:color w:val="auto"/>
        </w:rPr>
      </w:pPr>
      <w:r>
        <w:rPr>
          <w:rFonts w:ascii="Arial" w:cs="Arial" w:eastAsia="Arial" w:hAnsi="Arial"/>
          <w:sz w:val="16"/>
          <w:szCs w:val="16"/>
          <w:color w:val="auto"/>
        </w:rPr>
        <w:t>Exhibit 99.1</w:t>
      </w:r>
    </w:p>
    <w:p>
      <w:pPr>
        <w:spacing w:after="0" w:line="43" w:lineRule="exact"/>
        <w:rPr>
          <w:sz w:val="20"/>
          <w:szCs w:val="20"/>
          <w:color w:val="auto"/>
        </w:rPr>
      </w:pPr>
    </w:p>
    <w:p>
      <w:pPr>
        <w:jc w:val="both"/>
        <w:ind w:left="120" w:right="100"/>
        <w:spacing w:after="0" w:line="232" w:lineRule="auto"/>
        <w:rPr>
          <w:sz w:val="20"/>
          <w:szCs w:val="20"/>
          <w:color w:val="auto"/>
        </w:rPr>
      </w:pPr>
      <w:r>
        <w:rPr>
          <w:rFonts w:ascii="Arial" w:cs="Arial" w:eastAsia="Arial" w:hAnsi="Arial"/>
          <w:sz w:val="20"/>
          <w:szCs w:val="20"/>
          <w:color w:val="auto"/>
        </w:rPr>
        <w:t>Net loss was $0.9 million for the second quarter of 2018, compared with net income of $5.5 million in the prior-year period. Net income on a non-GAAP basis was $1.8 million for the second quarter of 2018, compared with $2.9 million in the prior-year period.</w:t>
      </w:r>
    </w:p>
    <w:p>
      <w:pPr>
        <w:spacing w:after="0" w:line="211"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20"/>
          <w:szCs w:val="20"/>
          <w:color w:val="auto"/>
        </w:rPr>
        <w:t>Net loss per diluted share was $0.03 for the second quarter of 2018, compared with net income per diluted share of $0.16 in the prior-year period. Non-GAAP net income per diluted share was $0.05 for the second quarter of 2018, compared with $0.08 for the prior-year period.</w:t>
      </w:r>
    </w:p>
    <w:p>
      <w:pPr>
        <w:spacing w:after="0" w:line="197" w:lineRule="exact"/>
        <w:rPr>
          <w:sz w:val="20"/>
          <w:szCs w:val="20"/>
          <w:color w:val="auto"/>
        </w:rPr>
      </w:pPr>
    </w:p>
    <w:p>
      <w:pPr>
        <w:jc w:val="both"/>
        <w:ind w:left="120" w:right="80"/>
        <w:spacing w:after="0" w:line="236" w:lineRule="auto"/>
        <w:rPr>
          <w:sz w:val="20"/>
          <w:szCs w:val="20"/>
          <w:color w:val="auto"/>
        </w:rPr>
      </w:pPr>
      <w:r>
        <w:rPr>
          <w:rFonts w:ascii="Arial" w:cs="Arial" w:eastAsia="Arial" w:hAnsi="Arial"/>
          <w:sz w:val="20"/>
          <w:szCs w:val="20"/>
          <w:color w:val="auto"/>
        </w:rPr>
        <w:t>Cash and cash equivalents were $35.6 million and bank debt was $83.1 million, as of June 30, 2018, compared with $29.9 million and $117.7 million, respectively, as of December 31, 2017.</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BACKLOG AND BOOKINGS</w:t>
      </w:r>
    </w:p>
    <w:p>
      <w:pPr>
        <w:spacing w:after="0" w:line="240"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20"/>
          <w:szCs w:val="20"/>
          <w:color w:val="auto"/>
        </w:rPr>
        <w:t>Total backlog at June 30, 2018 was $200.0 million as compared with $168.9 million on December 31, 2017, and $167.9 million on June 30, 2017.</w:t>
      </w:r>
    </w:p>
    <w:p>
      <w:pPr>
        <w:spacing w:after="0" w:line="209"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20"/>
          <w:szCs w:val="20"/>
          <w:color w:val="auto"/>
        </w:rPr>
        <w:t>Bookings were $100.4 million for the second quarter of 2018, compared with $87.2 million in the prior-year period, of which $11.7 million was attributable to the Keystone and Strobic divested businesses. Bookings were $195.4 million for the first six months of 2018 compared with $171.2 million for the prior-year period.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YEAR-TO-DATE RESULTS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Revenue in the first six months of 2018 was $155.2 million, down 16.8% from $186.5 million in the prior-year period.</w:t>
      </w:r>
    </w:p>
    <w:p>
      <w:pPr>
        <w:spacing w:after="0" w:line="202"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20"/>
          <w:szCs w:val="20"/>
          <w:color w:val="auto"/>
        </w:rPr>
        <w:t>Operating income was $14.7 million for the first six months of 2018 (9.5% margin), compared with $10.6 million in the prior-year period (5.7% margin). Operating income on a non-GAAP basis was $9.2 million for the first six months of 2018 (5.9% margin), compared with $19.5 million in the prior-year period (10.5% margin).</w:t>
      </w:r>
    </w:p>
    <w:p>
      <w:pPr>
        <w:spacing w:after="0" w:line="197"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20"/>
          <w:szCs w:val="20"/>
          <w:color w:val="auto"/>
        </w:rPr>
        <w:t>Net income was $4.9 million for the first six months of 2018, compared with $5.5 million in the prior-year period. Net income on a non-GAAP basis was $3.5 million for the first six months of 2018, compared with $9.9 million in the prior-year period.</w:t>
      </w:r>
    </w:p>
    <w:p>
      <w:pPr>
        <w:spacing w:after="0" w:line="209" w:lineRule="exact"/>
        <w:rPr>
          <w:sz w:val="20"/>
          <w:szCs w:val="20"/>
          <w:color w:val="auto"/>
        </w:rPr>
      </w:pPr>
    </w:p>
    <w:p>
      <w:pPr>
        <w:ind w:left="120" w:right="520"/>
        <w:spacing w:after="0" w:line="257" w:lineRule="auto"/>
        <w:rPr>
          <w:sz w:val="20"/>
          <w:szCs w:val="20"/>
          <w:color w:val="auto"/>
        </w:rPr>
      </w:pPr>
      <w:r>
        <w:rPr>
          <w:rFonts w:ascii="Arial" w:cs="Arial" w:eastAsia="Arial" w:hAnsi="Arial"/>
          <w:sz w:val="19"/>
          <w:szCs w:val="19"/>
          <w:color w:val="auto"/>
        </w:rPr>
        <w:t>Net income per diluted share was $0.14 for the first six months of 2018, compared with $0.16 in the prior-year period. Non-GAAP net income per diluted share was $0.10 for the first six months of 2018, compared with $0.29 for the prior-year period.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CONFERENCE CALL</w:t>
      </w:r>
    </w:p>
    <w:p>
      <w:pPr>
        <w:spacing w:after="0" w:line="10" w:lineRule="exact"/>
        <w:rPr>
          <w:sz w:val="20"/>
          <w:szCs w:val="20"/>
          <w:color w:val="auto"/>
        </w:rPr>
      </w:pPr>
    </w:p>
    <w:p>
      <w:pPr>
        <w:jc w:val="both"/>
        <w:ind w:left="120"/>
        <w:spacing w:after="0" w:line="231" w:lineRule="auto"/>
        <w:rPr>
          <w:sz w:val="20"/>
          <w:szCs w:val="20"/>
          <w:color w:val="auto"/>
        </w:rPr>
      </w:pPr>
      <w:r>
        <w:rPr>
          <w:rFonts w:ascii="Arial" w:cs="Arial" w:eastAsia="Arial" w:hAnsi="Arial"/>
          <w:sz w:val="20"/>
          <w:szCs w:val="20"/>
          <w:color w:val="auto"/>
        </w:rPr>
        <w:t>A conference call is scheduled for today at 7:30 a.m. CT to discuss the second quarter 2018 financial results. The conference call may be accessed by dialing toll free (877) 870-4263 within North America or Toll/International (412) 317-0790. A replay of the conference call will be available on the Company’s website for 7 days. The replay may be accessed by dialing toll free (877) 344-7529 within North America or Toll/International (412) 317-0088 and entering passcode 10122577.</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The live webcast and slides can also be accessed at </w:t>
      </w:r>
      <w:r>
        <w:rPr>
          <w:rFonts w:ascii="Arial" w:cs="Arial" w:eastAsia="Arial" w:hAnsi="Arial"/>
          <w:sz w:val="20"/>
          <w:szCs w:val="20"/>
          <w:u w:val="single" w:color="auto"/>
          <w:color w:val="auto"/>
        </w:rPr>
        <w:t>https://investors.cecoenviro.com/events-webcasts-and-presentations.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ABOUT CECO ENVIRONMENTAL</w:t>
      </w:r>
    </w:p>
    <w:p>
      <w:pPr>
        <w:spacing w:after="0" w:line="216" w:lineRule="exact"/>
        <w:rPr>
          <w:sz w:val="20"/>
          <w:szCs w:val="20"/>
          <w:color w:val="auto"/>
        </w:rPr>
      </w:pPr>
    </w:p>
    <w:p>
      <w:pPr>
        <w:jc w:val="both"/>
        <w:ind w:left="120" w:right="80"/>
        <w:spacing w:after="0" w:line="228" w:lineRule="auto"/>
        <w:rPr>
          <w:sz w:val="20"/>
          <w:szCs w:val="20"/>
          <w:color w:val="auto"/>
        </w:rPr>
      </w:pPr>
      <w:r>
        <w:rPr>
          <w:rFonts w:ascii="Arial" w:cs="Arial" w:eastAsia="Arial" w:hAnsi="Arial"/>
          <w:sz w:val="20"/>
          <w:szCs w:val="20"/>
          <w:color w:val="auto"/>
        </w:rPr>
        <w:t>CECO Environmental is a global leader in air quality and fluid handling serving the energy,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solutions for applications including oil and gas, power generation, water and wastewater, battery production, poly silicon fabrication, chemical and petrochemical processing along with a range of others. CECO is listed on Nasdaq under the ticker symbol "CECE". For more information, please visit www.cecoenviro.com.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Matthew Eckl, Chief Financial Officer</w:t>
      </w:r>
    </w:p>
    <w:p>
      <w:pPr>
        <w:ind w:right="8540" w:firstLine="8"/>
        <w:spacing w:after="0" w:line="257"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990-6670 </w:t>
      </w:r>
      <w:r>
        <w:rPr>
          <w:rFonts w:ascii="Arial" w:cs="Arial" w:eastAsia="Arial" w:hAnsi="Arial"/>
          <w:sz w:val="19"/>
          <w:szCs w:val="19"/>
          <w:u w:val="single" w:color="auto"/>
          <w:color w:val="auto"/>
        </w:rPr>
        <w:t>investor.relations@onececo.com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562610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8060" w:type="dxa"/>
            <w:vAlign w:val="bottom"/>
            <w:vMerge w:val="restart"/>
          </w:tcPr>
          <w:p>
            <w:pPr>
              <w:ind w:left="3460"/>
              <w:spacing w:after="0"/>
              <w:rPr>
                <w:sz w:val="20"/>
                <w:szCs w:val="20"/>
                <w:color w:val="auto"/>
              </w:rPr>
            </w:pPr>
            <w:r>
              <w:rPr>
                <w:rFonts w:ascii="Arial" w:cs="Arial" w:eastAsia="Arial" w:hAnsi="Arial"/>
                <w:sz w:val="18"/>
                <w:szCs w:val="18"/>
                <w:b w:val="1"/>
                <w:bCs w:val="1"/>
                <w:color w:val="auto"/>
              </w:rPr>
              <w:t>CECO ENVIRONMENTAL CORP. AND SUBSIDIARIES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198"/>
        </w:trPr>
        <w:tc>
          <w:tcPr>
            <w:tcW w:w="8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60" w:type="dxa"/>
            <w:vAlign w:val="bottom"/>
          </w:tcPr>
          <w:p>
            <w:pPr>
              <w:ind w:left="3560"/>
              <w:spacing w:after="0"/>
              <w:rPr>
                <w:sz w:val="20"/>
                <w:szCs w:val="20"/>
                <w:color w:val="auto"/>
              </w:rPr>
            </w:pPr>
            <w:r>
              <w:rPr>
                <w:rFonts w:ascii="Arial" w:cs="Arial" w:eastAsia="Arial" w:hAnsi="Arial"/>
                <w:sz w:val="18"/>
                <w:szCs w:val="18"/>
                <w:b w:val="1"/>
                <w:bCs w:val="1"/>
                <w:color w:val="auto"/>
              </w:rPr>
              <w:t>CONDENSED CONSOLIDATED BALANCE SHEETS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8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60" w:type="dxa"/>
            <w:vAlign w:val="bottom"/>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4"/>
                <w:szCs w:val="1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23"/>
        </w:trPr>
        <w:tc>
          <w:tcPr>
            <w:tcW w:w="8060" w:type="dxa"/>
            <w:vAlign w:val="bottom"/>
            <w:tcBorders>
              <w:top w:val="single" w:sz="8" w:color="CFF0FC"/>
            </w:tcBorders>
            <w:shd w:val="clear" w:color="auto" w:fill="CFF0FC"/>
          </w:tcPr>
          <w:p>
            <w:pPr>
              <w:ind w:left="36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67,796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35,188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12,601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181,282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22,161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152,371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Intangible assets – finite life, net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42,444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indefinite life</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charges and other assets</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421,401</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60"/>
              <w:spacing w:after="0"/>
              <w:rPr>
                <w:sz w:val="20"/>
                <w:szCs w:val="20"/>
                <w:color w:val="auto"/>
              </w:rPr>
            </w:pPr>
            <w:r>
              <w:rPr>
                <w:rFonts w:ascii="Arial" w:cs="Arial" w:eastAsia="Arial" w:hAnsi="Arial"/>
                <w:sz w:val="18"/>
                <w:szCs w:val="18"/>
                <w:color w:val="auto"/>
              </w:rPr>
              <w:t>Current portion of debt</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79,352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23,340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payable</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109,604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30,407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Debt, less current portion</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80,895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income tax liability, net</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230,174</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100,000,000 shares authorized, 34,892,193 and</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34,707,924 shares issued and outstanding at June 30, 2018 and December 31, 2017,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249,674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248,170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loss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(47,420)</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(52,673)</w:t>
            </w:r>
          </w:p>
        </w:tc>
        <w:tc>
          <w:tcPr>
            <w:tcW w:w="0" w:type="dxa"/>
            <w:vAlign w:val="bottom"/>
          </w:tcPr>
          <w:p>
            <w:pPr>
              <w:spacing w:after="0"/>
              <w:rPr>
                <w:sz w:val="1"/>
                <w:szCs w:val="1"/>
                <w:color w:val="auto"/>
              </w:rPr>
            </w:pPr>
          </w:p>
        </w:tc>
      </w:tr>
      <w:tr>
        <w:trPr>
          <w:trHeight w:val="230"/>
        </w:trPr>
        <w:tc>
          <w:tcPr>
            <w:tcW w:w="80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(11,020)</w:t>
            </w:r>
          </w:p>
        </w:tc>
        <w:tc>
          <w:tcPr>
            <w:tcW w:w="1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23"/>
        </w:trPr>
        <w:tc>
          <w:tcPr>
            <w:tcW w:w="80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191,583</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60"/>
              <w:spacing w:after="0"/>
              <w:rPr>
                <w:sz w:val="20"/>
                <w:szCs w:val="20"/>
                <w:color w:val="auto"/>
              </w:rPr>
            </w:pPr>
            <w:r>
              <w:rPr>
                <w:rFonts w:ascii="Arial" w:cs="Arial" w:eastAsia="Arial" w:hAnsi="Arial"/>
                <w:sz w:val="18"/>
                <w:szCs w:val="18"/>
                <w:color w:val="auto"/>
              </w:rPr>
              <w:t>Less treasury stock, at cost, 137,920 shares at June 30, 2018 and December 31, 2017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80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191,227</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421,401</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tcBorders>
              <w:bottom w:val="single" w:sz="8" w:color="D9D9D9"/>
            </w:tcBorders>
          </w:tcPr>
          <w:p>
            <w:pPr>
              <w:spacing w:after="0"/>
              <w:rPr>
                <w:sz w:val="17"/>
                <w:szCs w:val="17"/>
                <w:color w:val="auto"/>
              </w:rPr>
            </w:pPr>
          </w:p>
        </w:tc>
        <w:tc>
          <w:tcPr>
            <w:tcW w:w="100" w:type="dxa"/>
            <w:vAlign w:val="bottom"/>
            <w:tcBorders>
              <w:bottom w:val="single" w:sz="8" w:color="D9D9D9"/>
            </w:tcBorders>
          </w:tcPr>
          <w:p>
            <w:pPr>
              <w:spacing w:after="0"/>
              <w:rPr>
                <w:sz w:val="17"/>
                <w:szCs w:val="17"/>
                <w:color w:val="auto"/>
              </w:rPr>
            </w:pPr>
          </w:p>
        </w:tc>
        <w:tc>
          <w:tcPr>
            <w:tcW w:w="180" w:type="dxa"/>
            <w:vAlign w:val="bottom"/>
            <w:tcBorders>
              <w:bottom w:val="single" w:sz="8" w:color="D9D9D9"/>
            </w:tcBorders>
          </w:tcPr>
          <w:p>
            <w:pPr>
              <w:spacing w:after="0"/>
              <w:rPr>
                <w:sz w:val="17"/>
                <w:szCs w:val="17"/>
                <w:color w:val="auto"/>
              </w:rPr>
            </w:pPr>
          </w:p>
        </w:tc>
        <w:tc>
          <w:tcPr>
            <w:tcW w:w="1280" w:type="dxa"/>
            <w:vAlign w:val="bottom"/>
            <w:tcBorders>
              <w:bottom w:val="single" w:sz="8" w:color="D9D9D9"/>
            </w:tcBorders>
          </w:tcPr>
          <w:p>
            <w:pPr>
              <w:spacing w:after="0"/>
              <w:rPr>
                <w:sz w:val="17"/>
                <w:szCs w:val="17"/>
                <w:color w:val="auto"/>
              </w:rPr>
            </w:pPr>
          </w:p>
        </w:tc>
        <w:tc>
          <w:tcPr>
            <w:tcW w:w="260" w:type="dxa"/>
            <w:vAlign w:val="bottom"/>
            <w:tcBorders>
              <w:bottom w:val="single" w:sz="8" w:color="D9D9D9"/>
            </w:tcBorders>
          </w:tcPr>
          <w:p>
            <w:pPr>
              <w:spacing w:after="0"/>
              <w:rPr>
                <w:sz w:val="17"/>
                <w:szCs w:val="17"/>
                <w:color w:val="auto"/>
              </w:rPr>
            </w:pPr>
          </w:p>
        </w:tc>
        <w:tc>
          <w:tcPr>
            <w:tcW w:w="100" w:type="dxa"/>
            <w:vAlign w:val="bottom"/>
            <w:tcBorders>
              <w:bottom w:val="single" w:sz="8" w:color="D9D9D9"/>
            </w:tcBorders>
          </w:tcPr>
          <w:p>
            <w:pPr>
              <w:spacing w:after="0"/>
              <w:rPr>
                <w:sz w:val="17"/>
                <w:szCs w:val="17"/>
                <w:color w:val="auto"/>
              </w:rPr>
            </w:pPr>
          </w:p>
        </w:tc>
        <w:tc>
          <w:tcPr>
            <w:tcW w:w="1340" w:type="dxa"/>
            <w:vAlign w:val="bottom"/>
            <w:tcBorders>
              <w:bottom w:val="single" w:sz="8" w:color="D9D9D9"/>
            </w:tcBorders>
          </w:tcPr>
          <w:p>
            <w:pPr>
              <w:spacing w:after="0"/>
              <w:rPr>
                <w:sz w:val="17"/>
                <w:szCs w:val="17"/>
                <w:color w:val="auto"/>
              </w:rPr>
            </w:pPr>
          </w:p>
        </w:tc>
        <w:tc>
          <w:tcPr>
            <w:tcW w:w="100" w:type="dxa"/>
            <w:vAlign w:val="bottom"/>
            <w:tcBorders>
              <w:bottom w:val="single" w:sz="8" w:color="D9D9D9"/>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180" w:type="dxa"/>
            <w:vAlign w:val="bottom"/>
            <w:tcBorders>
              <w:bottom w:val="single" w:sz="8" w:color="D9D9D9"/>
            </w:tcBorders>
          </w:tcPr>
          <w:p>
            <w:pPr>
              <w:spacing w:after="0"/>
              <w:rPr>
                <w:sz w:val="19"/>
                <w:szCs w:val="19"/>
                <w:color w:val="auto"/>
              </w:rPr>
            </w:pPr>
          </w:p>
        </w:tc>
        <w:tc>
          <w:tcPr>
            <w:tcW w:w="128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134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color w:val="auto"/>
              </w:rPr>
              <w:t>(dollars in thousands, except per share data)</w:t>
            </w:r>
          </w:p>
        </w:tc>
        <w:tc>
          <w:tcPr>
            <w:tcW w:w="200" w:type="dxa"/>
            <w:vAlign w:val="bottom"/>
          </w:tcPr>
          <w:p>
            <w:pPr>
              <w:spacing w:after="0"/>
              <w:rPr>
                <w:sz w:val="14"/>
                <w:szCs w:val="14"/>
                <w:color w:val="auto"/>
              </w:rPr>
            </w:pPr>
          </w:p>
        </w:tc>
        <w:tc>
          <w:tcPr>
            <w:tcW w:w="24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vMerge w:val="continue"/>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81,089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53,937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102,143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 (income)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(2,245)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Loss (gain) on divestitures, net of selling costs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(11,104)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(1,793)</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(3,713)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(Loss) earnings per share: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34,669,810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34,473,688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34,631,519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34,345,317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34,669,810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34,806,808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34,715,141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34,685,687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D9D9D9"/>
            </w:tcBorders>
          </w:tcPr>
          <w:p>
            <w:pPr>
              <w:spacing w:after="0"/>
              <w:rPr>
                <w:sz w:val="18"/>
                <w:szCs w:val="18"/>
                <w:color w:val="auto"/>
              </w:rPr>
            </w:pPr>
          </w:p>
        </w:tc>
        <w:tc>
          <w:tcPr>
            <w:tcW w:w="200" w:type="dxa"/>
            <w:vAlign w:val="bottom"/>
            <w:tcBorders>
              <w:bottom w:val="single" w:sz="8" w:color="D9D9D9"/>
            </w:tcBorders>
          </w:tcPr>
          <w:p>
            <w:pPr>
              <w:spacing w:after="0"/>
              <w:rPr>
                <w:sz w:val="18"/>
                <w:szCs w:val="18"/>
                <w:color w:val="auto"/>
              </w:rPr>
            </w:pPr>
          </w:p>
        </w:tc>
        <w:tc>
          <w:tcPr>
            <w:tcW w:w="96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94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200" w:type="dxa"/>
            <w:vAlign w:val="bottom"/>
            <w:tcBorders>
              <w:bottom w:val="single" w:sz="8" w:color="D9D9D9"/>
            </w:tcBorders>
          </w:tcPr>
          <w:p>
            <w:pPr>
              <w:spacing w:after="0"/>
              <w:rPr>
                <w:sz w:val="18"/>
                <w:szCs w:val="18"/>
                <w:color w:val="auto"/>
              </w:rPr>
            </w:pPr>
          </w:p>
        </w:tc>
        <w:tc>
          <w:tcPr>
            <w:tcW w:w="96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96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D9D9D9"/>
            </w:tcBorders>
          </w:tcPr>
          <w:p>
            <w:pPr>
              <w:spacing w:after="0"/>
              <w:rPr>
                <w:sz w:val="19"/>
                <w:szCs w:val="19"/>
                <w:color w:val="auto"/>
              </w:rPr>
            </w:pPr>
          </w:p>
        </w:tc>
        <w:tc>
          <w:tcPr>
            <w:tcW w:w="200" w:type="dxa"/>
            <w:vAlign w:val="bottom"/>
            <w:tcBorders>
              <w:bottom w:val="single" w:sz="8" w:color="D9D9D9"/>
            </w:tcBorders>
          </w:tcPr>
          <w:p>
            <w:pPr>
              <w:spacing w:after="0"/>
              <w:rPr>
                <w:sz w:val="19"/>
                <w:szCs w:val="19"/>
                <w:color w:val="auto"/>
              </w:rPr>
            </w:pPr>
          </w:p>
        </w:tc>
        <w:tc>
          <w:tcPr>
            <w:tcW w:w="96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94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200" w:type="dxa"/>
            <w:vAlign w:val="bottom"/>
            <w:tcBorders>
              <w:bottom w:val="single" w:sz="8" w:color="D9D9D9"/>
            </w:tcBorders>
          </w:tcPr>
          <w:p>
            <w:pPr>
              <w:spacing w:after="0"/>
              <w:rPr>
                <w:sz w:val="19"/>
                <w:szCs w:val="19"/>
                <w:color w:val="auto"/>
              </w:rPr>
            </w:pPr>
          </w:p>
        </w:tc>
        <w:tc>
          <w:tcPr>
            <w:tcW w:w="96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96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CECO ENVIRONMENTAL CORP. AND SUBSIDIARIES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GAAP TO NON-GAAP MEASURES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gridSpan w:val="2"/>
            <w:vMerge w:val="restart"/>
          </w:tcPr>
          <w:p>
            <w:pPr>
              <w:spacing w:after="0"/>
              <w:rPr>
                <w:sz w:val="20"/>
                <w:szCs w:val="20"/>
                <w:color w:val="auto"/>
              </w:rPr>
            </w:pPr>
            <w:r>
              <w:rPr>
                <w:rFonts w:ascii="Arial" w:cs="Arial" w:eastAsia="Arial" w:hAnsi="Arial"/>
                <w:sz w:val="14"/>
                <w:szCs w:val="14"/>
                <w:color w:val="auto"/>
              </w:rPr>
              <w:t>(dollars in millions)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11"/>
          </w:tcPr>
          <w:p>
            <w:pPr>
              <w:jc w:val="right"/>
              <w:ind w:right="680"/>
              <w:spacing w:after="0"/>
              <w:rPr>
                <w:sz w:val="20"/>
                <w:szCs w:val="20"/>
                <w:color w:val="auto"/>
              </w:rPr>
            </w:pPr>
            <w:r>
              <w:rPr>
                <w:rFonts w:ascii="Arial" w:cs="Arial" w:eastAsia="Arial" w:hAnsi="Arial"/>
                <w:sz w:val="14"/>
                <w:szCs w:val="14"/>
                <w:b w:val="1"/>
                <w:bCs w:val="1"/>
                <w:color w:val="auto"/>
                <w:w w:val="97"/>
              </w:rPr>
              <w:t>Three Months Ended June 30,</w:t>
            </w:r>
          </w:p>
        </w:tc>
        <w:tc>
          <w:tcPr>
            <w:tcW w:w="240" w:type="dxa"/>
            <w:vAlign w:val="bottom"/>
          </w:tcPr>
          <w:p>
            <w:pPr>
              <w:spacing w:after="0"/>
              <w:rPr>
                <w:sz w:val="14"/>
                <w:szCs w:val="14"/>
                <w:color w:val="auto"/>
              </w:rPr>
            </w:pPr>
          </w:p>
        </w:tc>
        <w:tc>
          <w:tcPr>
            <w:tcW w:w="250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26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as reported in accordance with GAAP</w:t>
            </w:r>
          </w:p>
        </w:tc>
        <w:tc>
          <w:tcPr>
            <w:tcW w:w="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320" w:type="dxa"/>
            <w:vAlign w:val="bottom"/>
            <w:tcBorders>
              <w:top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i w:val="1"/>
                <w:iCs w:val="1"/>
                <w:color w:val="auto"/>
              </w:rPr>
              <w:t>Operating margin in accordance with GAAP</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i w:val="1"/>
                <w:iCs w:val="1"/>
                <w:color w:val="auto"/>
              </w:rPr>
              <w:t>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ind w:right="180"/>
              <w:spacing w:after="0"/>
              <w:rPr>
                <w:sz w:val="20"/>
                <w:szCs w:val="20"/>
                <w:color w:val="auto"/>
              </w:rPr>
            </w:pPr>
            <w:r>
              <w:rPr>
                <w:rFonts w:ascii="Arial" w:cs="Arial" w:eastAsia="Arial" w:hAnsi="Arial"/>
                <w:sz w:val="18"/>
                <w:szCs w:val="18"/>
                <w:i w:val="1"/>
                <w:iCs w:val="1"/>
                <w:color w:val="auto"/>
              </w:rPr>
              <w:t>9.9%</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9.5%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Legacy design repairs</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3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Plant, property and equipment valuation adjustment</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and earnout expenses (income)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4"/>
            <w:shd w:val="clear" w:color="auto" w:fill="CFF0FC"/>
          </w:tcPr>
          <w:p>
            <w:pPr>
              <w:jc w:val="right"/>
              <w:ind w:right="26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Loss (gain) on divestitures, net of selling costs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Restructuring expenses</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4"/>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Executive transition expenses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Facility exit expenses</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4"/>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52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gridSpan w:val="2"/>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i w:val="1"/>
                <w:iCs w:val="1"/>
                <w:color w:val="auto"/>
              </w:rPr>
              <w:t>Non-GAAP operating margin</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i w:val="1"/>
                <w:iCs w:val="1"/>
                <w:color w:val="auto"/>
              </w:rPr>
              <w:t>6.4%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4"/>
            <w:shd w:val="clear" w:color="auto" w:fill="CFF0FC"/>
          </w:tcPr>
          <w:p>
            <w:pPr>
              <w:jc w:val="right"/>
              <w:ind w:right="180"/>
              <w:spacing w:after="0"/>
              <w:rPr>
                <w:sz w:val="20"/>
                <w:szCs w:val="20"/>
                <w:color w:val="auto"/>
              </w:rPr>
            </w:pPr>
            <w:r>
              <w:rPr>
                <w:rFonts w:ascii="Arial" w:cs="Arial" w:eastAsia="Arial" w:hAnsi="Arial"/>
                <w:sz w:val="18"/>
                <w:szCs w:val="18"/>
                <w:i w:val="1"/>
                <w:iCs w:val="1"/>
                <w:color w:val="auto"/>
              </w:rPr>
              <w:t>10.0%</w:t>
            </w:r>
          </w:p>
        </w:tc>
        <w:tc>
          <w:tcPr>
            <w:tcW w:w="2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5.9%</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10.5%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420" w:type="dxa"/>
            <w:vAlign w:val="bottom"/>
            <w:gridSpan w:val="13"/>
          </w:tcPr>
          <w:p>
            <w:pPr>
              <w:ind w:left="5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24"/>
                <w:szCs w:val="24"/>
                <w:color w:val="auto"/>
              </w:rPr>
            </w:pPr>
          </w:p>
        </w:tc>
        <w:tc>
          <w:tcPr>
            <w:tcW w:w="250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7"/>
        </w:trPr>
        <w:tc>
          <w:tcPr>
            <w:tcW w:w="526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 income as reported in accordance with GAAP</w:t>
            </w: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gridSpan w:val="2"/>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jc w:val="right"/>
              <w:ind w:right="334"/>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w:t>
            </w:r>
          </w:p>
        </w:tc>
        <w:tc>
          <w:tcPr>
            <w:tcW w:w="2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Legacy design repairs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Plant, property and equipment valuation adjustment</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Amortization and earnout expenses (income)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(gain) on divestiture, net of selling costs</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tcBorders>
              <w:right w:val="single" w:sz="8" w:color="CFF0FC"/>
            </w:tcBorders>
            <w:gridSpan w:val="4"/>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Restructuring expenses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Executive transition expenses</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Facility exit expenses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Foreign currency remeasurement</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Tax (benefit) expense of adjustments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w:t>
            </w:r>
          </w:p>
        </w:tc>
        <w:tc>
          <w:tcPr>
            <w:tcW w:w="520" w:type="dxa"/>
            <w:vAlign w:val="bottom"/>
            <w:tcBorders>
              <w:top w:val="single" w:sz="8" w:color="auto"/>
            </w:tcBorders>
            <w:shd w:val="clear" w:color="auto" w:fill="CFF0FC"/>
          </w:tcPr>
          <w:p>
            <w:pPr>
              <w:jc w:val="right"/>
              <w:ind w:right="33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right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7"/>
              </w:rPr>
              <w:t>Non-cash stock compensation (excluding executive transition</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costs)</w:t>
            </w: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Income tax expense</w:t>
            </w: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Adjusted EBITDA</w:t>
            </w:r>
          </w:p>
        </w:tc>
        <w:tc>
          <w:tcPr>
            <w:tcW w:w="520" w:type="dxa"/>
            <w:vAlign w:val="bottom"/>
            <w:shd w:val="clear" w:color="auto" w:fill="CFF0FC"/>
          </w:tcPr>
          <w:p>
            <w:pPr>
              <w:jc w:val="right"/>
              <w:ind w:right="334"/>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earnings per share: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334"/>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FF0FC"/>
          </w:tcPr>
          <w:p>
            <w:pPr>
              <w:jc w:val="right"/>
              <w:ind w:right="334"/>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(0.03)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Non-GAAP net income per share: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48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334"/>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FF0FC"/>
          </w:tcPr>
          <w:p>
            <w:pPr>
              <w:jc w:val="right"/>
              <w:ind w:right="334"/>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D9D9D9"/>
            </w:tcBorders>
          </w:tcPr>
          <w:p>
            <w:pPr>
              <w:spacing w:after="0"/>
              <w:rPr>
                <w:sz w:val="18"/>
                <w:szCs w:val="18"/>
                <w:color w:val="auto"/>
              </w:rPr>
            </w:pPr>
          </w:p>
        </w:tc>
        <w:tc>
          <w:tcPr>
            <w:tcW w:w="520" w:type="dxa"/>
            <w:vAlign w:val="bottom"/>
            <w:tcBorders>
              <w:bottom w:val="single" w:sz="8" w:color="D9D9D9"/>
            </w:tcBorders>
          </w:tcPr>
          <w:p>
            <w:pPr>
              <w:spacing w:after="0"/>
              <w:rPr>
                <w:sz w:val="18"/>
                <w:szCs w:val="18"/>
                <w:color w:val="auto"/>
              </w:rPr>
            </w:pPr>
          </w:p>
        </w:tc>
        <w:tc>
          <w:tcPr>
            <w:tcW w:w="260" w:type="dxa"/>
            <w:vAlign w:val="bottom"/>
            <w:tcBorders>
              <w:bottom w:val="single" w:sz="8" w:color="D9D9D9"/>
            </w:tcBorders>
          </w:tcPr>
          <w:p>
            <w:pPr>
              <w:spacing w:after="0"/>
              <w:rPr>
                <w:sz w:val="18"/>
                <w:szCs w:val="18"/>
                <w:color w:val="auto"/>
              </w:rPr>
            </w:pPr>
          </w:p>
        </w:tc>
        <w:tc>
          <w:tcPr>
            <w:tcW w:w="420" w:type="dxa"/>
            <w:vAlign w:val="bottom"/>
            <w:tcBorders>
              <w:bottom w:val="single" w:sz="8" w:color="D9D9D9"/>
            </w:tcBorders>
          </w:tcPr>
          <w:p>
            <w:pPr>
              <w:spacing w:after="0"/>
              <w:rPr>
                <w:sz w:val="18"/>
                <w:szCs w:val="18"/>
                <w:color w:val="auto"/>
              </w:rPr>
            </w:pPr>
          </w:p>
        </w:tc>
        <w:tc>
          <w:tcPr>
            <w:tcW w:w="120" w:type="dxa"/>
            <w:vAlign w:val="bottom"/>
            <w:tcBorders>
              <w:bottom w:val="single" w:sz="8" w:color="D9D9D9"/>
            </w:tcBorders>
          </w:tcPr>
          <w:p>
            <w:pPr>
              <w:spacing w:after="0"/>
              <w:rPr>
                <w:sz w:val="18"/>
                <w:szCs w:val="18"/>
                <w:color w:val="auto"/>
              </w:rPr>
            </w:pPr>
          </w:p>
        </w:tc>
        <w:tc>
          <w:tcPr>
            <w:tcW w:w="24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22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82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320" w:type="dxa"/>
            <w:vAlign w:val="bottom"/>
            <w:tcBorders>
              <w:bottom w:val="single" w:sz="8" w:color="D9D9D9"/>
            </w:tcBorders>
          </w:tcPr>
          <w:p>
            <w:pPr>
              <w:spacing w:after="0"/>
              <w:rPr>
                <w:sz w:val="18"/>
                <w:szCs w:val="18"/>
                <w:color w:val="auto"/>
              </w:rPr>
            </w:pPr>
          </w:p>
        </w:tc>
        <w:tc>
          <w:tcPr>
            <w:tcW w:w="240" w:type="dxa"/>
            <w:vAlign w:val="bottom"/>
            <w:tcBorders>
              <w:bottom w:val="single" w:sz="8" w:color="D9D9D9"/>
            </w:tcBorders>
          </w:tcPr>
          <w:p>
            <w:pPr>
              <w:spacing w:after="0"/>
              <w:rPr>
                <w:sz w:val="18"/>
                <w:szCs w:val="18"/>
                <w:color w:val="auto"/>
              </w:rPr>
            </w:pPr>
          </w:p>
        </w:tc>
        <w:tc>
          <w:tcPr>
            <w:tcW w:w="88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14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40" w:type="dxa"/>
            <w:vAlign w:val="bottom"/>
            <w:tcBorders>
              <w:bottom w:val="single" w:sz="8" w:color="D9D9D9"/>
            </w:tcBorders>
          </w:tcPr>
          <w:p>
            <w:pPr>
              <w:spacing w:after="0"/>
              <w:rPr>
                <w:sz w:val="18"/>
                <w:szCs w:val="18"/>
                <w:color w:val="auto"/>
              </w:rPr>
            </w:pPr>
          </w:p>
        </w:tc>
        <w:tc>
          <w:tcPr>
            <w:tcW w:w="240" w:type="dxa"/>
            <w:vAlign w:val="bottom"/>
            <w:tcBorders>
              <w:bottom w:val="single" w:sz="8" w:color="D9D9D9"/>
            </w:tcBorders>
          </w:tcPr>
          <w:p>
            <w:pPr>
              <w:spacing w:after="0"/>
              <w:rPr>
                <w:sz w:val="18"/>
                <w:szCs w:val="18"/>
                <w:color w:val="auto"/>
              </w:rPr>
            </w:pPr>
          </w:p>
        </w:tc>
        <w:tc>
          <w:tcPr>
            <w:tcW w:w="860" w:type="dxa"/>
            <w:vAlign w:val="bottom"/>
            <w:tcBorders>
              <w:bottom w:val="single" w:sz="8" w:color="D9D9D9"/>
            </w:tcBorders>
          </w:tcPr>
          <w:p>
            <w:pPr>
              <w:spacing w:after="0"/>
              <w:rPr>
                <w:sz w:val="18"/>
                <w:szCs w:val="18"/>
                <w:color w:val="auto"/>
              </w:rPr>
            </w:pPr>
          </w:p>
        </w:tc>
        <w:tc>
          <w:tcPr>
            <w:tcW w:w="80" w:type="dxa"/>
            <w:vAlign w:val="bottom"/>
            <w:tcBorders>
              <w:bottom w:val="single" w:sz="8" w:color="D9D9D9"/>
            </w:tcBorders>
          </w:tcPr>
          <w:p>
            <w:pPr>
              <w:spacing w:after="0"/>
              <w:rPr>
                <w:sz w:val="18"/>
                <w:szCs w:val="18"/>
                <w:color w:val="auto"/>
              </w:rPr>
            </w:pPr>
          </w:p>
        </w:tc>
        <w:tc>
          <w:tcPr>
            <w:tcW w:w="100" w:type="dxa"/>
            <w:vAlign w:val="bottom"/>
            <w:tcBorders>
              <w:bottom w:val="single" w:sz="8" w:color="D9D9D9"/>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D9D9D9"/>
            </w:tcBorders>
          </w:tcPr>
          <w:p>
            <w:pPr>
              <w:spacing w:after="0"/>
              <w:rPr>
                <w:sz w:val="19"/>
                <w:szCs w:val="19"/>
                <w:color w:val="auto"/>
              </w:rPr>
            </w:pPr>
          </w:p>
        </w:tc>
        <w:tc>
          <w:tcPr>
            <w:tcW w:w="520" w:type="dxa"/>
            <w:vAlign w:val="bottom"/>
            <w:tcBorders>
              <w:bottom w:val="single" w:sz="8" w:color="D9D9D9"/>
            </w:tcBorders>
          </w:tcPr>
          <w:p>
            <w:pPr>
              <w:spacing w:after="0"/>
              <w:rPr>
                <w:sz w:val="19"/>
                <w:szCs w:val="19"/>
                <w:color w:val="auto"/>
              </w:rPr>
            </w:pPr>
          </w:p>
        </w:tc>
        <w:tc>
          <w:tcPr>
            <w:tcW w:w="260" w:type="dxa"/>
            <w:vAlign w:val="bottom"/>
            <w:tcBorders>
              <w:bottom w:val="single" w:sz="8" w:color="D9D9D9"/>
            </w:tcBorders>
          </w:tcPr>
          <w:p>
            <w:pPr>
              <w:spacing w:after="0"/>
              <w:rPr>
                <w:sz w:val="19"/>
                <w:szCs w:val="19"/>
                <w:color w:val="auto"/>
              </w:rPr>
            </w:pPr>
          </w:p>
        </w:tc>
        <w:tc>
          <w:tcPr>
            <w:tcW w:w="420" w:type="dxa"/>
            <w:vAlign w:val="bottom"/>
            <w:tcBorders>
              <w:bottom w:val="single" w:sz="8" w:color="D9D9D9"/>
            </w:tcBorders>
          </w:tcPr>
          <w:p>
            <w:pPr>
              <w:spacing w:after="0"/>
              <w:rPr>
                <w:sz w:val="19"/>
                <w:szCs w:val="19"/>
                <w:color w:val="auto"/>
              </w:rPr>
            </w:pPr>
          </w:p>
        </w:tc>
        <w:tc>
          <w:tcPr>
            <w:tcW w:w="120" w:type="dxa"/>
            <w:vAlign w:val="bottom"/>
            <w:tcBorders>
              <w:bottom w:val="single" w:sz="8" w:color="D9D9D9"/>
            </w:tcBorders>
          </w:tcPr>
          <w:p>
            <w:pPr>
              <w:spacing w:after="0"/>
              <w:rPr>
                <w:sz w:val="19"/>
                <w:szCs w:val="19"/>
                <w:color w:val="auto"/>
              </w:rPr>
            </w:pPr>
          </w:p>
        </w:tc>
        <w:tc>
          <w:tcPr>
            <w:tcW w:w="24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22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82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320" w:type="dxa"/>
            <w:vAlign w:val="bottom"/>
            <w:tcBorders>
              <w:bottom w:val="single" w:sz="8" w:color="D9D9D9"/>
            </w:tcBorders>
          </w:tcPr>
          <w:p>
            <w:pPr>
              <w:spacing w:after="0"/>
              <w:rPr>
                <w:sz w:val="19"/>
                <w:szCs w:val="19"/>
                <w:color w:val="auto"/>
              </w:rPr>
            </w:pPr>
          </w:p>
        </w:tc>
        <w:tc>
          <w:tcPr>
            <w:tcW w:w="240" w:type="dxa"/>
            <w:vAlign w:val="bottom"/>
            <w:tcBorders>
              <w:bottom w:val="single" w:sz="8" w:color="D9D9D9"/>
            </w:tcBorders>
          </w:tcPr>
          <w:p>
            <w:pPr>
              <w:spacing w:after="0"/>
              <w:rPr>
                <w:sz w:val="19"/>
                <w:szCs w:val="19"/>
                <w:color w:val="auto"/>
              </w:rPr>
            </w:pPr>
          </w:p>
        </w:tc>
        <w:tc>
          <w:tcPr>
            <w:tcW w:w="88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4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40" w:type="dxa"/>
            <w:vAlign w:val="bottom"/>
            <w:tcBorders>
              <w:bottom w:val="single" w:sz="8" w:color="D9D9D9"/>
            </w:tcBorders>
          </w:tcPr>
          <w:p>
            <w:pPr>
              <w:spacing w:after="0"/>
              <w:rPr>
                <w:sz w:val="19"/>
                <w:szCs w:val="19"/>
                <w:color w:val="auto"/>
              </w:rPr>
            </w:pPr>
          </w:p>
        </w:tc>
        <w:tc>
          <w:tcPr>
            <w:tcW w:w="240" w:type="dxa"/>
            <w:vAlign w:val="bottom"/>
            <w:tcBorders>
              <w:bottom w:val="single" w:sz="8" w:color="D9D9D9"/>
            </w:tcBorders>
          </w:tcPr>
          <w:p>
            <w:pPr>
              <w:spacing w:after="0"/>
              <w:rPr>
                <w:sz w:val="19"/>
                <w:szCs w:val="19"/>
                <w:color w:val="auto"/>
              </w:rPr>
            </w:pPr>
          </w:p>
        </w:tc>
        <w:tc>
          <w:tcPr>
            <w:tcW w:w="860" w:type="dxa"/>
            <w:vAlign w:val="bottom"/>
            <w:tcBorders>
              <w:bottom w:val="single" w:sz="8" w:color="D9D9D9"/>
            </w:tcBorders>
          </w:tcPr>
          <w:p>
            <w:pPr>
              <w:spacing w:after="0"/>
              <w:rPr>
                <w:sz w:val="19"/>
                <w:szCs w:val="19"/>
                <w:color w:val="auto"/>
              </w:rPr>
            </w:pPr>
          </w:p>
        </w:tc>
        <w:tc>
          <w:tcPr>
            <w:tcW w:w="80" w:type="dxa"/>
            <w:vAlign w:val="bottom"/>
            <w:tcBorders>
              <w:bottom w:val="single" w:sz="8" w:color="D9D9D9"/>
            </w:tcBorders>
          </w:tcPr>
          <w:p>
            <w:pPr>
              <w:spacing w:after="0"/>
              <w:rPr>
                <w:sz w:val="19"/>
                <w:szCs w:val="19"/>
                <w:color w:val="auto"/>
              </w:rPr>
            </w:pPr>
          </w:p>
        </w:tc>
        <w:tc>
          <w:tcPr>
            <w:tcW w:w="100" w:type="dxa"/>
            <w:vAlign w:val="bottom"/>
            <w:tcBorders>
              <w:bottom w:val="single" w:sz="8" w:color="D9D9D9"/>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ind w:left="2180"/>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189" w:lineRule="exact"/>
        <w:rPr>
          <w:sz w:val="20"/>
          <w:szCs w:val="20"/>
          <w:color w:val="auto"/>
        </w:rPr>
      </w:pPr>
    </w:p>
    <w:p>
      <w:pPr>
        <w:ind w:right="220"/>
        <w:spacing w:after="0" w:line="231" w:lineRule="auto"/>
        <w:rPr>
          <w:sz w:val="20"/>
          <w:szCs w:val="20"/>
          <w:color w:val="auto"/>
        </w:rPr>
      </w:pPr>
      <w:r>
        <w:rPr>
          <w:rFonts w:ascii="Arial" w:cs="Arial" w:eastAsia="Arial" w:hAnsi="Arial"/>
          <w:sz w:val="20"/>
          <w:szCs w:val="20"/>
          <w:color w:val="auto"/>
        </w:rPr>
        <w:t>CECO is providing certain non-GAAP historical financial measures as presented above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the GAAP statement of operations.</w:t>
      </w:r>
    </w:p>
    <w:p>
      <w:pPr>
        <w:spacing w:after="0" w:line="209"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as we present them in the financial data included in this press release, have been adjusted to exclude the effects of transactions related to gain on divestitures, net of selling costs, legacy design repairs, property, plant and equipment valuation adjustments, acquisition and integration expense activities including retention, legal, accounting, banking, amortization and contingent earn-out expenses, foreign currency re-measurement, executive transition expenses, facility exit expenses, restructuring expense, other nonrecurring or infrequent items and the associated tax benefit of these items.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214"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213" w:lineRule="exact"/>
        <w:rPr>
          <w:sz w:val="20"/>
          <w:szCs w:val="20"/>
          <w:color w:val="auto"/>
        </w:rPr>
      </w:pPr>
    </w:p>
    <w:p>
      <w:pPr>
        <w:ind w:right="240"/>
        <w:spacing w:after="0" w:line="231"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non-GAAP operating income, non-GAAP net income, non-GAAP operating margin, non-GAAP earnings per basic and diluted share and adjusted EBITDA stated in the tables above present the most directly comparable GAAP financial measure and reconcile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2715895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2879090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SAFE HARBOR</w:t>
      </w:r>
    </w:p>
    <w:p>
      <w:pPr>
        <w:spacing w:after="0" w:line="391"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among others, that could cause actual results to differ materially are discussed under “Part I – Item 1A. Risk Factors” of the Company’s Annual Report on Form 10-K for the fiscal year ended December 31, 2017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CECO’s service areas; dependence on fixed price contracts and the risks associated therewith, including actual costs exceeding estimates; fluctuations in operating results from period to period due to cyclicality or seasonality of the business; the effect of growth on CECO’s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w:t>
      </w:r>
      <w:r>
        <w:rPr>
          <w:rFonts w:ascii="Arial" w:cs="Arial" w:eastAsia="Arial" w:hAnsi="Arial"/>
          <w:sz w:val="18"/>
          <w:szCs w:val="18"/>
          <w:color w:val="auto"/>
        </w:rPr>
        <w:t>,</w:t>
      </w:r>
      <w:r>
        <w:rPr>
          <w:rFonts w:ascii="Arial" w:cs="Arial" w:eastAsia="Arial" w:hAnsi="Arial"/>
          <w:sz w:val="20"/>
          <w:szCs w:val="20"/>
          <w:color w:val="auto"/>
        </w:rPr>
        <w:t xml:space="preserve">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and the effect of competition in the Industrial Solutions segment, Energy Solutions segment and Fluid Handling Solutions segment industries.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808080"/>
        </w:rPr>
        <w:t>P a g 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2020-01-13T06:20:41Z</dcterms:created>
  <dcterms:modified xsi:type="dcterms:W3CDTF">2020-01-13T06:20:41Z</dcterms:modified>
</cp:coreProperties>
</file>