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May 18, 2010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0-7099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 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5.02.</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90" w:after="0"/>
        <w:rPr>
          <w:rFonts w:ascii="Times New Roman" w:hAnsi="Times New Roman"/>
          <w:sz w:val="20"/>
        </w:rPr>
      </w:pPr>
      <w:r>
        <w:rPr>
          <w:rFonts w:ascii="Times New Roman" w:hAnsi="Times New Roman"/>
          <w:sz w:val="20"/>
        </w:rPr>
        <w:t xml:space="preserve">(b) Effective May 20, 2010, David Blum is no longer serving as Executive Vice President of CECO Environmental Corp. (CECO). On May 18, 2010, David Blum and CECO mutually agreed to end Mr. Davids Blum employment with CECO, effective May 28, 2010. </w:t>
      </w:r>
    </w:p>
    <w:p>
      <w:pPr>
        <w:pStyle w:val="TextBody"/>
        <w:spacing w:before="180" w:after="0"/>
        <w:rPr>
          <w:rFonts w:ascii="Times New Roman" w:hAnsi="Times New Roman"/>
          <w:sz w:val="20"/>
        </w:rPr>
      </w:pPr>
      <w:r>
        <w:rPr>
          <w:rFonts w:ascii="Times New Roman" w:hAnsi="Times New Roman"/>
          <w:sz w:val="20"/>
        </w:rPr>
        <w:t xml:space="preserve">(e) On May 20, 2010, the Compensation Committee of CECO Environmental Corp. (CECO) established the 2010 executive compensation plan for Richard J. Blum, President, Dennis W. Blazer, CFO and Vice PresidentFinance and Administration. If the amount of CECOs income from operations before executive bonuses (IFOBEB) for 2010 meets certain targets, each will receive a percentage of their base salary, in cash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21"/>
        <w:gridCol w:w="330"/>
        <w:gridCol w:w="1303"/>
        <w:gridCol w:w="330"/>
        <w:gridCol w:w="1303"/>
        <w:gridCol w:w="401"/>
        <w:gridCol w:w="1303"/>
        <w:gridCol w:w="401"/>
        <w:gridCol w:w="1303"/>
        <w:gridCol w:w="401"/>
        <w:gridCol w:w="1309"/>
      </w:tblGrid>
      <w:tr>
        <w:trPr/>
        <w:tc>
          <w:tcPr>
            <w:tcW w:w="182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r>
      <w:tr>
        <w:trPr/>
        <w:tc>
          <w:tcPr>
            <w:tcW w:w="182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330" w:type="dxa"/>
            <w:tcBorders/>
            <w:shd w:fill="auto" w:val="clear"/>
            <w:vAlign w:val="bottom"/>
          </w:tcPr>
          <w:p>
            <w:pPr>
              <w:pStyle w:val="TableContents"/>
              <w:spacing w:before="0" w:after="283"/>
              <w:rPr/>
            </w:pPr>
            <w:r>
              <w:rPr/>
              <w:t>  </w:t>
            </w:r>
          </w:p>
        </w:tc>
        <w:tc>
          <w:tcPr>
            <w:tcW w:w="130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Tier 1 objective</w:t>
            </w:r>
          </w:p>
        </w:tc>
        <w:tc>
          <w:tcPr>
            <w:tcW w:w="330" w:type="dxa"/>
            <w:tcBorders/>
            <w:shd w:fill="auto" w:val="clear"/>
            <w:vAlign w:val="bottom"/>
          </w:tcPr>
          <w:p>
            <w:pPr>
              <w:pStyle w:val="TableContents"/>
              <w:spacing w:before="0" w:after="283"/>
              <w:rPr/>
            </w:pPr>
            <w:r>
              <w:rPr/>
              <w:t>  </w:t>
            </w:r>
          </w:p>
        </w:tc>
        <w:tc>
          <w:tcPr>
            <w:tcW w:w="130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Tier 2 objective</w:t>
            </w:r>
          </w:p>
        </w:tc>
        <w:tc>
          <w:tcPr>
            <w:tcW w:w="401" w:type="dxa"/>
            <w:tcBorders/>
            <w:shd w:fill="auto" w:val="clear"/>
            <w:vAlign w:val="bottom"/>
          </w:tcPr>
          <w:p>
            <w:pPr>
              <w:pStyle w:val="TableContents"/>
              <w:spacing w:before="0" w:after="283"/>
              <w:rPr/>
            </w:pPr>
            <w:r>
              <w:rPr/>
              <w:t>  </w:t>
            </w:r>
          </w:p>
        </w:tc>
        <w:tc>
          <w:tcPr>
            <w:tcW w:w="130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Tier 3 objective</w:t>
            </w:r>
          </w:p>
        </w:tc>
        <w:tc>
          <w:tcPr>
            <w:tcW w:w="401" w:type="dxa"/>
            <w:tcBorders/>
            <w:shd w:fill="auto" w:val="clear"/>
            <w:vAlign w:val="bottom"/>
          </w:tcPr>
          <w:p>
            <w:pPr>
              <w:pStyle w:val="TableContents"/>
              <w:spacing w:before="0" w:after="283"/>
              <w:rPr/>
            </w:pPr>
            <w:r>
              <w:rPr/>
              <w:t>  </w:t>
            </w:r>
          </w:p>
        </w:tc>
        <w:tc>
          <w:tcPr>
            <w:tcW w:w="130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Tier 4 objective</w:t>
            </w:r>
          </w:p>
        </w:tc>
        <w:tc>
          <w:tcPr>
            <w:tcW w:w="401" w:type="dxa"/>
            <w:tcBorders/>
            <w:shd w:fill="auto" w:val="clear"/>
            <w:vAlign w:val="bottom"/>
          </w:tcPr>
          <w:p>
            <w:pPr>
              <w:pStyle w:val="TableContents"/>
              <w:spacing w:before="0" w:after="283"/>
              <w:rPr/>
            </w:pPr>
            <w:r>
              <w:rPr/>
              <w:t>  </w:t>
            </w:r>
          </w:p>
        </w:tc>
        <w:tc>
          <w:tcPr>
            <w:tcW w:w="130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Tier 5 objective</w:t>
            </w:r>
          </w:p>
        </w:tc>
      </w:tr>
      <w:tr>
        <w:trPr>
          <w:trHeight w:val="120" w:hRule="atLeast"/>
        </w:trPr>
        <w:tc>
          <w:tcPr>
            <w:tcW w:w="1821" w:type="dxa"/>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10" w:type="dxa"/>
            <w:gridSpan w:val="2"/>
            <w:tcBorders/>
            <w:shd w:fill="auto" w:val="clear"/>
            <w:vAlign w:val="center"/>
          </w:tcPr>
          <w:p>
            <w:pPr>
              <w:pStyle w:val="TableContents"/>
              <w:spacing w:before="0" w:after="283"/>
              <w:rPr>
                <w:sz w:val="4"/>
                <w:szCs w:val="4"/>
              </w:rPr>
            </w:pPr>
            <w:r>
              <w:rPr>
                <w:sz w:val="4"/>
                <w:szCs w:val="4"/>
              </w:rPr>
            </w:r>
          </w:p>
        </w:tc>
      </w:tr>
      <w:tr>
        <w:trPr/>
        <w:tc>
          <w:tcPr>
            <w:tcW w:w="1821" w:type="dxa"/>
            <w:tcBorders/>
            <w:shd w:fill="auto" w:val="clea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IFOBEB is $5.0</w:t>
            </w:r>
          </w:p>
          <w:p>
            <w:pPr>
              <w:pStyle w:val="TableContents"/>
              <w:spacing w:before="0" w:after="15"/>
              <w:jc w:val="right"/>
              <w:rPr>
                <w:rFonts w:ascii="Times New Roman" w:hAnsi="Times New Roman"/>
                <w:sz w:val="20"/>
              </w:rPr>
            </w:pPr>
            <w:r>
              <w:rPr>
                <w:rFonts w:ascii="Times New Roman" w:hAnsi="Times New Roman"/>
                <w:sz w:val="20"/>
              </w:rPr>
              <w:t>to $5.9 M</w:t>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IFOBEB is $6.0</w:t>
              <w:br/>
              <w:t>to $6.9 M</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IFOBEB is $7.0</w:t>
              <w:br/>
              <w:t>to $7.9 M</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IFOBEB is $8.0</w:t>
              <w:br/>
              <w:t>to $8.9 M</w:t>
            </w:r>
          </w:p>
        </w:tc>
        <w:tc>
          <w:tcPr>
            <w:tcW w:w="40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IFOBEB is $9.0</w:t>
              <w:br/>
              <w:t>to $9.9 M</w:t>
            </w:r>
          </w:p>
        </w:tc>
      </w:tr>
      <w:tr>
        <w:trPr>
          <w:trHeight w:val="120" w:hRule="atLeast"/>
        </w:trPr>
        <w:tc>
          <w:tcPr>
            <w:tcW w:w="1821" w:type="dxa"/>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10" w:type="dxa"/>
            <w:gridSpan w:val="2"/>
            <w:tcBorders/>
            <w:shd w:fill="auto" w:val="clear"/>
            <w:vAlign w:val="center"/>
          </w:tcPr>
          <w:p>
            <w:pPr>
              <w:pStyle w:val="TableContents"/>
              <w:spacing w:before="0" w:after="283"/>
              <w:rPr>
                <w:sz w:val="4"/>
                <w:szCs w:val="4"/>
              </w:rPr>
            </w:pPr>
            <w:r>
              <w:rPr>
                <w:sz w:val="4"/>
                <w:szCs w:val="4"/>
              </w:rPr>
            </w:r>
          </w:p>
        </w:tc>
      </w:tr>
      <w:tr>
        <w:trPr/>
        <w:tc>
          <w:tcPr>
            <w:tcW w:w="1821"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26% of base</w:t>
            </w:r>
          </w:p>
          <w:p>
            <w:pPr>
              <w:pStyle w:val="TableContents"/>
              <w:spacing w:before="0" w:after="15"/>
              <w:jc w:val="right"/>
              <w:rPr>
                <w:rFonts w:ascii="Times New Roman" w:hAnsi="Times New Roman"/>
                <w:sz w:val="20"/>
              </w:rPr>
            </w:pPr>
            <w:r>
              <w:rPr>
                <w:rFonts w:ascii="Times New Roman" w:hAnsi="Times New Roman"/>
                <w:sz w:val="20"/>
              </w:rPr>
              <w:t>salary</w:t>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 of base</w:t>
              <w:br/>
              <w:t>salary</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 of base</w:t>
              <w:br/>
              <w:t>salary</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 of base</w:t>
              <w:br/>
              <w:t>salary</w:t>
            </w:r>
          </w:p>
        </w:tc>
        <w:tc>
          <w:tcPr>
            <w:tcW w:w="40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 of base</w:t>
              <w:br/>
              <w:t>salary</w:t>
            </w:r>
          </w:p>
        </w:tc>
      </w:tr>
      <w:tr>
        <w:trPr>
          <w:trHeight w:val="120" w:hRule="atLeast"/>
        </w:trPr>
        <w:tc>
          <w:tcPr>
            <w:tcW w:w="1821" w:type="dxa"/>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04" w:type="dxa"/>
            <w:gridSpan w:val="2"/>
            <w:tcBorders/>
            <w:shd w:fill="auto" w:val="clear"/>
            <w:vAlign w:val="center"/>
          </w:tcPr>
          <w:p>
            <w:pPr>
              <w:pStyle w:val="TableContents"/>
              <w:spacing w:before="0" w:after="283"/>
              <w:rPr>
                <w:sz w:val="4"/>
                <w:szCs w:val="4"/>
              </w:rPr>
            </w:pPr>
            <w:r>
              <w:rPr>
                <w:sz w:val="4"/>
                <w:szCs w:val="4"/>
              </w:rPr>
            </w:r>
          </w:p>
        </w:tc>
        <w:tc>
          <w:tcPr>
            <w:tcW w:w="1710" w:type="dxa"/>
            <w:gridSpan w:val="2"/>
            <w:tcBorders/>
            <w:shd w:fill="auto" w:val="clear"/>
            <w:vAlign w:val="center"/>
          </w:tcPr>
          <w:p>
            <w:pPr>
              <w:pStyle w:val="TableContents"/>
              <w:spacing w:before="0" w:after="283"/>
              <w:rPr>
                <w:sz w:val="4"/>
                <w:szCs w:val="4"/>
              </w:rPr>
            </w:pPr>
            <w:r>
              <w:rPr>
                <w:sz w:val="4"/>
                <w:szCs w:val="4"/>
              </w:rPr>
            </w:r>
          </w:p>
        </w:tc>
      </w:tr>
      <w:tr>
        <w:trPr/>
        <w:tc>
          <w:tcPr>
            <w:tcW w:w="1821"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26% of base</w:t>
            </w:r>
          </w:p>
          <w:p>
            <w:pPr>
              <w:pStyle w:val="TableContents"/>
              <w:spacing w:before="0" w:after="15"/>
              <w:jc w:val="right"/>
              <w:rPr>
                <w:rFonts w:ascii="Times New Roman" w:hAnsi="Times New Roman"/>
                <w:sz w:val="20"/>
              </w:rPr>
            </w:pPr>
            <w:r>
              <w:rPr>
                <w:rFonts w:ascii="Times New Roman" w:hAnsi="Times New Roman"/>
                <w:sz w:val="20"/>
              </w:rPr>
              <w:t>salary</w:t>
            </w:r>
          </w:p>
        </w:tc>
        <w:tc>
          <w:tcPr>
            <w:tcW w:w="330"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30% of base</w:t>
            </w:r>
          </w:p>
          <w:p>
            <w:pPr>
              <w:pStyle w:val="TableContents"/>
              <w:spacing w:before="0" w:after="15"/>
              <w:jc w:val="right"/>
              <w:rPr>
                <w:rFonts w:ascii="Times New Roman" w:hAnsi="Times New Roman"/>
                <w:sz w:val="20"/>
              </w:rPr>
            </w:pPr>
            <w:r>
              <w:rPr>
                <w:rFonts w:ascii="Times New Roman" w:hAnsi="Times New Roman"/>
                <w:sz w:val="20"/>
              </w:rPr>
              <w:t>salary</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34% of base</w:t>
            </w:r>
          </w:p>
          <w:p>
            <w:pPr>
              <w:pStyle w:val="TableContents"/>
              <w:spacing w:before="0" w:after="15"/>
              <w:jc w:val="right"/>
              <w:rPr>
                <w:rFonts w:ascii="Times New Roman" w:hAnsi="Times New Roman"/>
                <w:sz w:val="20"/>
              </w:rPr>
            </w:pPr>
            <w:r>
              <w:rPr>
                <w:rFonts w:ascii="Times New Roman" w:hAnsi="Times New Roman"/>
                <w:sz w:val="20"/>
              </w:rPr>
              <w:t>salary</w:t>
            </w:r>
          </w:p>
        </w:tc>
        <w:tc>
          <w:tcPr>
            <w:tcW w:w="401"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jc w:val="right"/>
              <w:rPr>
                <w:rFonts w:ascii="Times New Roman" w:hAnsi="Times New Roman"/>
                <w:sz w:val="20"/>
              </w:rPr>
            </w:pPr>
            <w:r>
              <w:rPr>
                <w:rFonts w:ascii="Times New Roman" w:hAnsi="Times New Roman"/>
                <w:sz w:val="20"/>
              </w:rPr>
              <w:t>38% of base</w:t>
            </w:r>
          </w:p>
          <w:p>
            <w:pPr>
              <w:pStyle w:val="TableContents"/>
              <w:spacing w:before="0" w:after="15"/>
              <w:jc w:val="right"/>
              <w:rPr>
                <w:rFonts w:ascii="Times New Roman" w:hAnsi="Times New Roman"/>
                <w:sz w:val="20"/>
              </w:rPr>
            </w:pPr>
            <w:r>
              <w:rPr>
                <w:rFonts w:ascii="Times New Roman" w:hAnsi="Times New Roman"/>
                <w:sz w:val="20"/>
              </w:rPr>
              <w:t>salary</w:t>
            </w:r>
          </w:p>
        </w:tc>
        <w:tc>
          <w:tcPr>
            <w:tcW w:w="401"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jc w:val="right"/>
              <w:rPr>
                <w:rFonts w:ascii="Times New Roman" w:hAnsi="Times New Roman"/>
                <w:sz w:val="20"/>
              </w:rPr>
            </w:pPr>
            <w:r>
              <w:rPr>
                <w:rFonts w:ascii="Times New Roman" w:hAnsi="Times New Roman"/>
                <w:sz w:val="20"/>
              </w:rPr>
              <w:t>44% of base</w:t>
            </w:r>
          </w:p>
          <w:p>
            <w:pPr>
              <w:pStyle w:val="TableContents"/>
              <w:spacing w:before="0" w:after="15"/>
              <w:jc w:val="right"/>
              <w:rPr>
                <w:rFonts w:ascii="Times New Roman" w:hAnsi="Times New Roman"/>
                <w:sz w:val="20"/>
              </w:rPr>
            </w:pPr>
            <w:r>
              <w:rPr>
                <w:rFonts w:ascii="Times New Roman" w:hAnsi="Times New Roman"/>
                <w:sz w:val="20"/>
              </w:rPr>
              <w:t>salary</w:t>
            </w:r>
          </w:p>
        </w:tc>
      </w:tr>
    </w:tbl>
    <w:p>
      <w:pPr>
        <w:pStyle w:val="TextBody"/>
        <w:spacing w:before="180" w:after="0"/>
        <w:rPr>
          <w:rFonts w:ascii="Times New Roman" w:hAnsi="Times New Roman"/>
          <w:sz w:val="20"/>
        </w:rPr>
      </w:pPr>
      <w:r>
        <w:rPr>
          <w:rFonts w:ascii="Times New Roman" w:hAnsi="Times New Roman"/>
          <w:sz w:val="20"/>
        </w:rPr>
        <w:t xml:space="preserve">In addition, to the extent Mr. Blum and Mr. Blazer meet the individual established goals agreed to by the Compensation Committee in 2010, the Compensation Committee may in its discretion grant a cash award bonus to them of up to $34,500, and $26,000, respectively, payable on or before March 15, 2011, which in each case equals 10% of their current respective salaries. </w:t>
      </w:r>
    </w:p>
    <w:p>
      <w:pPr>
        <w:pStyle w:val="TextBody"/>
        <w:spacing w:before="180" w:after="0"/>
        <w:rPr>
          <w:rFonts w:ascii="Times New Roman" w:hAnsi="Times New Roman"/>
          <w:sz w:val="20"/>
        </w:rPr>
      </w:pPr>
      <w:r>
        <w:rPr>
          <w:rFonts w:ascii="Times New Roman" w:hAnsi="Times New Roman"/>
          <w:sz w:val="20"/>
        </w:rPr>
        <w:t xml:space="preserve">The Compensation Committee will determine whether the goals are met in each case. </w:t>
      </w:r>
    </w:p>
    <w:p>
      <w:pPr>
        <w:pStyle w:val="TextBody"/>
        <w:spacing w:before="180" w:after="0"/>
        <w:rPr>
          <w:rFonts w:ascii="Times New Roman" w:hAnsi="Times New Roman"/>
          <w:sz w:val="20"/>
        </w:rPr>
      </w:pPr>
      <w:r>
        <w:rPr>
          <w:rFonts w:ascii="Times New Roman" w:hAnsi="Times New Roman"/>
          <w:sz w:val="20"/>
        </w:rPr>
        <w:t xml:space="preserve">In connection with the departure of Mr. David Blum, Mr. David Blum and CECO entered into a Severance Agreement and General Waiver and Release, under which Mr. David Blum is entitled to 31 weeks of his salary, payable in bi-weekly payments, and certain partial COBRA payments.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5.07</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spacing w:before="90" w:after="0"/>
        <w:rPr>
          <w:rFonts w:ascii="Times New Roman" w:hAnsi="Times New Roman"/>
          <w:sz w:val="20"/>
        </w:rPr>
      </w:pPr>
      <w:r>
        <w:rPr>
          <w:rFonts w:ascii="Times New Roman" w:hAnsi="Times New Roman"/>
          <w:sz w:val="20"/>
        </w:rPr>
        <w:t xml:space="preserve">On May 20, 2010, CECO held its Annual Meeting of Shareholders. At the Annual Meeting, shareholders considered: 1) the election of the nine director nominees named in the proxy statement; and 2) the ratification of the independent registered public accounting firm for fiscal 2010. The voting results at the Annual Meeting of CECO Shareholders on May 20, 2010, with respect to each of the matters described above, were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nine director nominees named in the proxy statement were elected based upon the following votes: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991"/>
        <w:gridCol w:w="211"/>
        <w:gridCol w:w="858"/>
        <w:gridCol w:w="211"/>
        <w:gridCol w:w="858"/>
        <w:gridCol w:w="211"/>
        <w:gridCol w:w="865"/>
      </w:tblGrid>
      <w:tr>
        <w:trPr/>
        <w:tc>
          <w:tcPr>
            <w:tcW w:w="6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699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NOMINEE</w:t>
            </w:r>
          </w:p>
        </w:tc>
        <w:tc>
          <w:tcPr>
            <w:tcW w:w="211" w:type="dxa"/>
            <w:tcBorders/>
            <w:shd w:fill="auto" w:val="clear"/>
            <w:vAlign w:val="bottom"/>
          </w:tcPr>
          <w:p>
            <w:pPr>
              <w:pStyle w:val="TableContents"/>
              <w:spacing w:before="0" w:after="283"/>
              <w:rPr/>
            </w:pPr>
            <w:r>
              <w:rPr/>
              <w:t>  </w:t>
            </w:r>
          </w:p>
        </w:tc>
        <w:tc>
          <w:tcPr>
            <w:tcW w:w="85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211" w:type="dxa"/>
            <w:tcBorders/>
            <w:shd w:fill="auto" w:val="clear"/>
            <w:vAlign w:val="bottom"/>
          </w:tcPr>
          <w:p>
            <w:pPr>
              <w:pStyle w:val="TableContents"/>
              <w:spacing w:before="0" w:after="283"/>
              <w:rPr/>
            </w:pPr>
            <w:r>
              <w:rPr/>
              <w:t>  </w:t>
            </w:r>
          </w:p>
        </w:tc>
        <w:tc>
          <w:tcPr>
            <w:tcW w:w="85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WITHHOLD</w:t>
            </w:r>
          </w:p>
        </w:tc>
        <w:tc>
          <w:tcPr>
            <w:tcW w:w="211" w:type="dxa"/>
            <w:tcBorders/>
            <w:shd w:fill="auto" w:val="clear"/>
            <w:vAlign w:val="bottom"/>
          </w:tcPr>
          <w:p>
            <w:pPr>
              <w:pStyle w:val="TableContents"/>
              <w:spacing w:before="0" w:after="283"/>
              <w:rPr/>
            </w:pPr>
            <w:r>
              <w:rPr/>
              <w:t>  </w:t>
            </w:r>
          </w:p>
        </w:tc>
        <w:tc>
          <w:tcPr>
            <w:tcW w:w="86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BROKER</w:t>
            </w:r>
            <w:r>
              <w:rPr/>
              <w:br/>
            </w:r>
            <w:r>
              <w:rPr>
                <w:rFonts w:ascii="Times New Roman" w:hAnsi="Times New Roman"/>
                <w:b/>
                <w:sz w:val="14"/>
              </w:rPr>
              <w:t>NON-VOTES</w:t>
            </w:r>
          </w:p>
        </w:tc>
      </w:tr>
      <w:tr>
        <w:trPr/>
        <w:tc>
          <w:tcPr>
            <w:tcW w:w="6991"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8,070,719</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1,757,018</w:t>
            </w:r>
          </w:p>
        </w:tc>
        <w:tc>
          <w:tcPr>
            <w:tcW w:w="21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auto" w:val="clear"/>
          </w:tcPr>
          <w:p>
            <w:pPr>
              <w:pStyle w:val="TableContents"/>
              <w:spacing w:before="0" w:after="283"/>
              <w:rPr>
                <w:rFonts w:ascii="Times New Roman" w:hAnsi="Times New Roman"/>
                <w:sz w:val="20"/>
              </w:rPr>
            </w:pPr>
            <w:r>
              <w:rPr>
                <w:rFonts w:ascii="Times New Roman" w:hAnsi="Times New Roman"/>
                <w:sz w:val="20"/>
              </w:rPr>
              <w:t>Arthur Cape</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8,937,390</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890,347</w:t>
            </w:r>
          </w:p>
        </w:tc>
        <w:tc>
          <w:tcPr>
            <w:tcW w:w="21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CCEEFF"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8,061,908</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1,765,829</w:t>
            </w:r>
          </w:p>
        </w:tc>
        <w:tc>
          <w:tcPr>
            <w:tcW w:w="21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7,910,778</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1,916,959</w:t>
            </w:r>
          </w:p>
        </w:tc>
        <w:tc>
          <w:tcPr>
            <w:tcW w:w="21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CCEEFF"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8,937,390</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890,347</w:t>
            </w:r>
          </w:p>
        </w:tc>
        <w:tc>
          <w:tcPr>
            <w:tcW w:w="21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auto" w:val="clear"/>
          </w:tcPr>
          <w:p>
            <w:pPr>
              <w:pStyle w:val="TableContents"/>
              <w:spacing w:before="0" w:after="283"/>
              <w:rPr>
                <w:rFonts w:ascii="Times New Roman" w:hAnsi="Times New Roman"/>
                <w:sz w:val="20"/>
              </w:rPr>
            </w:pPr>
            <w:r>
              <w:rPr>
                <w:rFonts w:ascii="Times New Roman" w:hAnsi="Times New Roman"/>
                <w:sz w:val="20"/>
              </w:rPr>
              <w:t>Ronald E. Krieg</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8,943,840</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883,897</w:t>
            </w:r>
          </w:p>
        </w:tc>
        <w:tc>
          <w:tcPr>
            <w:tcW w:w="21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CCEEFF" w:val="clear"/>
          </w:tcPr>
          <w:p>
            <w:pPr>
              <w:pStyle w:val="TableContents"/>
              <w:spacing w:before="0" w:after="283"/>
              <w:rPr>
                <w:rFonts w:ascii="Times New Roman" w:hAnsi="Times New Roman"/>
                <w:sz w:val="20"/>
              </w:rPr>
            </w:pPr>
            <w:r>
              <w:rPr>
                <w:rFonts w:ascii="Times New Roman" w:hAnsi="Times New Roman"/>
                <w:sz w:val="20"/>
              </w:rPr>
              <w:t>Jeffrey Lang</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8,047,519</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1,780,218</w:t>
            </w:r>
          </w:p>
        </w:tc>
        <w:tc>
          <w:tcPr>
            <w:tcW w:w="21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auto" w:val="clear"/>
          </w:tcPr>
          <w:p>
            <w:pPr>
              <w:pStyle w:val="TableContents"/>
              <w:spacing w:before="0" w:after="283"/>
              <w:rPr>
                <w:rFonts w:ascii="Times New Roman" w:hAnsi="Times New Roman"/>
                <w:sz w:val="20"/>
              </w:rPr>
            </w:pPr>
            <w:r>
              <w:rPr>
                <w:rFonts w:ascii="Times New Roman" w:hAnsi="Times New Roman"/>
                <w:sz w:val="20"/>
              </w:rPr>
              <w:t>Jason D. Meretsky</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8,931,416</w:t>
            </w:r>
          </w:p>
        </w:tc>
        <w:tc>
          <w:tcPr>
            <w:tcW w:w="211"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896,321</w:t>
            </w:r>
          </w:p>
        </w:tc>
        <w:tc>
          <w:tcPr>
            <w:tcW w:w="21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r>
        <w:trPr/>
        <w:tc>
          <w:tcPr>
            <w:tcW w:w="6991" w:type="dxa"/>
            <w:tcBorders/>
            <w:shd w:fill="CCEEFF"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8,938,379</w:t>
            </w:r>
          </w:p>
        </w:tc>
        <w:tc>
          <w:tcPr>
            <w:tcW w:w="211"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889,358</w:t>
            </w:r>
          </w:p>
        </w:tc>
        <w:tc>
          <w:tcPr>
            <w:tcW w:w="21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2,607,571</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appointment of BDO Seidman, LLP as CECOs independent registered public accounting firm for fiscal 2010 was ratified as follows: </w:t>
            </w:r>
          </w:p>
        </w:tc>
      </w:tr>
    </w:tbl>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2429"/>
        <w:gridCol w:w="207"/>
        <w:gridCol w:w="2082"/>
        <w:gridCol w:w="207"/>
        <w:gridCol w:w="2014"/>
      </w:tblGrid>
      <w:tr>
        <w:trPr/>
        <w:tc>
          <w:tcPr>
            <w:tcW w:w="242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r>
      <w:tr>
        <w:trPr/>
        <w:tc>
          <w:tcPr>
            <w:tcW w:w="242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FOR</w:t>
            </w:r>
          </w:p>
        </w:tc>
        <w:tc>
          <w:tcPr>
            <w:tcW w:w="207" w:type="dxa"/>
            <w:tcBorders/>
            <w:shd w:fill="auto" w:val="clear"/>
            <w:vAlign w:val="bottom"/>
          </w:tcPr>
          <w:p>
            <w:pPr>
              <w:pStyle w:val="TableContents"/>
              <w:spacing w:before="0" w:after="283"/>
              <w:rPr/>
            </w:pPr>
            <w:r>
              <w:rPr/>
              <w:t>  </w:t>
            </w:r>
          </w:p>
        </w:tc>
        <w:tc>
          <w:tcPr>
            <w:tcW w:w="2082"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AGAINST</w:t>
            </w:r>
          </w:p>
        </w:tc>
        <w:tc>
          <w:tcPr>
            <w:tcW w:w="207" w:type="dxa"/>
            <w:tcBorders/>
            <w:shd w:fill="auto" w:val="clear"/>
            <w:vAlign w:val="bottom"/>
          </w:tcPr>
          <w:p>
            <w:pPr>
              <w:pStyle w:val="TableContents"/>
              <w:spacing w:before="0" w:after="283"/>
              <w:rPr/>
            </w:pPr>
            <w:r>
              <w:rPr/>
              <w:t>  </w:t>
            </w:r>
          </w:p>
        </w:tc>
        <w:tc>
          <w:tcPr>
            <w:tcW w:w="2014"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ABSTAIN</w:t>
            </w:r>
          </w:p>
        </w:tc>
      </w:tr>
      <w:tr>
        <w:trPr/>
        <w:tc>
          <w:tcPr>
            <w:tcW w:w="2429"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12,369,364</w:t>
            </w:r>
          </w:p>
        </w:tc>
        <w:tc>
          <w:tcPr>
            <w:tcW w:w="207" w:type="dxa"/>
            <w:tcBorders/>
            <w:shd w:fill="CCEEFF" w:val="clear"/>
            <w:vAlign w:val="bottom"/>
          </w:tcPr>
          <w:p>
            <w:pPr>
              <w:pStyle w:val="TableContents"/>
              <w:spacing w:before="0" w:after="283"/>
              <w:rPr/>
            </w:pPr>
            <w:r>
              <w:rPr/>
              <w:t>  </w:t>
            </w:r>
          </w:p>
        </w:tc>
        <w:tc>
          <w:tcPr>
            <w:tcW w:w="208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44,307</w:t>
            </w:r>
          </w:p>
        </w:tc>
        <w:tc>
          <w:tcPr>
            <w:tcW w:w="207"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21,637</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24, 2010</w:t>
            </w:r>
          </w:p>
        </w:tc>
        <w:tc>
          <w:tcPr>
            <w:tcW w:w="101"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 and Vice President  Finance and Administration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782</Words>
  <CharactersWithSpaces>4872</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