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156845</wp:posOffset>
            </wp:positionH>
            <wp:positionV relativeFrom="page">
              <wp:posOffset>191135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208280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2789555</wp:posOffset>
            </wp:positionH>
            <wp:positionV relativeFrom="paragraph">
              <wp:posOffset>130175</wp:posOffset>
            </wp:positionV>
            <wp:extent cx="1677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2789555</wp:posOffset>
            </wp:positionH>
            <wp:positionV relativeFrom="paragraph">
              <wp:posOffset>149225</wp:posOffset>
            </wp:positionV>
            <wp:extent cx="1677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36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CURRENT REPORT</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 Section 13 or 15(d)</w:t>
      </w:r>
    </w:p>
    <w:p>
      <w:pPr>
        <w:jc w:val="center"/>
        <w:ind w:right="-11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56"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May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2789555</wp:posOffset>
            </wp:positionH>
            <wp:positionV relativeFrom="paragraph">
              <wp:posOffset>145415</wp:posOffset>
            </wp:positionV>
            <wp:extent cx="1677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34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CECO ENVIRONMENTAL CORP.</w:t>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2789555</wp:posOffset>
            </wp:positionH>
            <wp:positionV relativeFrom="paragraph">
              <wp:posOffset>131445</wp:posOffset>
            </wp:positionV>
            <wp:extent cx="1677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ectPr>
          <w:pgSz w:w="11900" w:h="16838" w:orient="portrait"/>
          <w:cols w:equalWidth="0" w:num="1">
            <w:col w:w="11320"/>
          </w:cols>
          <w:pgMar w:left="240" w:top="389" w:right="339"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29" w:lineRule="exact"/>
        <w:rPr>
          <w:sz w:val="24"/>
          <w:szCs w:val="24"/>
          <w:color w:val="auto"/>
        </w:rPr>
      </w:pPr>
    </w:p>
    <w:p>
      <w:pPr>
        <w:sectPr>
          <w:pgSz w:w="11900" w:h="16838" w:orient="portrait"/>
          <w:cols w:equalWidth="0" w:num="3">
            <w:col w:w="4660" w:space="720"/>
            <w:col w:w="3060" w:space="720"/>
            <w:col w:w="2160"/>
          </w:cols>
          <w:pgMar w:left="240" w:top="389" w:right="339" w:bottom="1440" w:gutter="0" w:footer="0" w:header="0"/>
          <w:type w:val="continuous"/>
        </w:sectPr>
      </w:pPr>
    </w:p>
    <w:p>
      <w:pPr>
        <w:spacing w:after="0" w:line="11"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3000" w:space="720"/>
            <w:col w:w="2280"/>
          </w:cols>
          <w:pgMar w:left="240" w:top="389" w:right="339" w:bottom="1440" w:gutter="0" w:footer="0" w:header="0"/>
          <w:type w:val="continuous"/>
        </w:sectPr>
      </w:pPr>
    </w:p>
    <w:p>
      <w:pPr>
        <w:jc w:val="center"/>
        <w:ind w:right="2080"/>
        <w:spacing w:after="0"/>
        <w:rPr>
          <w:sz w:val="20"/>
          <w:szCs w:val="20"/>
          <w:color w:val="auto"/>
        </w:rPr>
      </w:pPr>
      <w:r>
        <w:rPr>
          <w:rFonts w:ascii="Arial" w:cs="Arial" w:eastAsia="Arial" w:hAnsi="Arial"/>
          <w:sz w:val="16"/>
          <w:szCs w:val="16"/>
          <w:b w:val="1"/>
          <w:bCs w:val="1"/>
          <w:color w:val="auto"/>
        </w:rPr>
        <w:t>14651 North Dallas Parkway</w:t>
      </w:r>
    </w:p>
    <w:p>
      <w:pPr>
        <w:spacing w:after="0" w:line="4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Suite 500</w:t>
      </w:r>
    </w:p>
    <w:p>
      <w:pPr>
        <w:spacing w:after="0" w:line="8"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47" w:lineRule="exact"/>
        <w:rPr>
          <w:sz w:val="24"/>
          <w:szCs w:val="24"/>
          <w:color w:val="auto"/>
        </w:rPr>
      </w:pPr>
    </w:p>
    <w:p>
      <w:pPr>
        <w:sectPr>
          <w:pgSz w:w="11900" w:h="16838" w:orient="portrait"/>
          <w:cols w:equalWidth="0" w:num="2">
            <w:col w:w="7680" w:space="720"/>
            <w:col w:w="2920"/>
          </w:cols>
          <w:pgMar w:left="240" w:top="389" w:right="3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2" w:lineRule="exact"/>
        <w:rPr>
          <w:sz w:val="24"/>
          <w:szCs w:val="24"/>
          <w:color w:val="auto"/>
        </w:rPr>
      </w:pPr>
    </w:p>
    <w:p>
      <w:pPr>
        <w:sectPr>
          <w:pgSz w:w="11900" w:h="16838" w:orient="portrait"/>
          <w:cols w:equalWidth="0" w:num="2">
            <w:col w:w="7580" w:space="720"/>
            <w:col w:w="3020"/>
          </w:cols>
          <w:pgMar w:left="240" w:top="389"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3" w:lineRule="exact"/>
        <w:rPr>
          <w:sz w:val="24"/>
          <w:szCs w:val="24"/>
          <w:color w:val="auto"/>
        </w:rPr>
      </w:pPr>
    </w:p>
    <w:p>
      <w:pPr>
        <w:ind w:right="100"/>
        <w:spacing w:after="0" w:line="27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1" w:lineRule="exact"/>
        <w:rPr>
          <w:rFonts w:ascii="MS PGothic" w:cs="MS PGothic" w:eastAsia="MS PGothic" w:hAnsi="MS PGothic"/>
          <w:sz w:val="18"/>
          <w:szCs w:val="18"/>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1" w:lineRule="exact"/>
        <w:rPr>
          <w:rFonts w:ascii="MS PGothic" w:cs="MS PGothic" w:eastAsia="MS PGothic" w:hAnsi="MS PGothic"/>
          <w:sz w:val="18"/>
          <w:szCs w:val="18"/>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1" w:lineRule="exact"/>
        <w:rPr>
          <w:rFonts w:ascii="MS PGothic" w:cs="MS PGothic" w:eastAsia="MS PGothic" w:hAnsi="MS PGothic"/>
          <w:sz w:val="18"/>
          <w:szCs w:val="18"/>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9"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1" w:lineRule="exact"/>
        <w:rPr>
          <w:sz w:val="24"/>
          <w:szCs w:val="24"/>
          <w:color w:val="auto"/>
        </w:rPr>
      </w:pPr>
    </w:p>
    <w:p>
      <w:pPr>
        <w:ind w:right="120"/>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4" w:lineRule="exact"/>
        <w:rPr>
          <w:sz w:val="24"/>
          <w:szCs w:val="24"/>
          <w:color w:val="auto"/>
        </w:rPr>
      </w:pPr>
    </w:p>
    <w:tbl>
      <w:tblPr>
        <w:tblLayout w:type="fixed"/>
        <w:tblInd w:w="1140" w:type="dxa"/>
        <w:tblCellMar>
          <w:top w:w="0" w:type="dxa"/>
          <w:left w:w="0" w:type="dxa"/>
          <w:bottom w:w="0" w:type="dxa"/>
          <w:right w:w="0" w:type="dxa"/>
        </w:tblCellMar>
      </w:tblPr>
      <w:tr>
        <w:trPr>
          <w:trHeight w:val="181"/>
        </w:trPr>
        <w:tc>
          <w:tcPr>
            <w:tcW w:w="3100" w:type="dxa"/>
            <w:vAlign w:val="bottom"/>
          </w:tcPr>
          <w:p>
            <w:pPr>
              <w:jc w:val="center"/>
              <w:ind w:right="609"/>
              <w:spacing w:after="0"/>
              <w:rPr>
                <w:sz w:val="20"/>
                <w:szCs w:val="20"/>
                <w:color w:val="auto"/>
              </w:rPr>
            </w:pPr>
            <w:r>
              <w:rPr>
                <w:rFonts w:ascii="Arial" w:cs="Arial" w:eastAsia="Arial" w:hAnsi="Arial"/>
                <w:sz w:val="14"/>
                <w:szCs w:val="14"/>
                <w:color w:val="auto"/>
                <w:w w:val="90"/>
              </w:rPr>
              <w:t>Title of each class</w:t>
            </w:r>
          </w:p>
        </w:tc>
        <w:tc>
          <w:tcPr>
            <w:tcW w:w="2460" w:type="dxa"/>
            <w:vAlign w:val="bottom"/>
          </w:tcPr>
          <w:p>
            <w:pPr>
              <w:jc w:val="center"/>
              <w:ind w:right="69"/>
              <w:spacing w:after="0"/>
              <w:rPr>
                <w:sz w:val="20"/>
                <w:szCs w:val="20"/>
                <w:color w:val="auto"/>
              </w:rPr>
            </w:pPr>
            <w:r>
              <w:rPr>
                <w:rFonts w:ascii="Arial" w:cs="Arial" w:eastAsia="Arial" w:hAnsi="Arial"/>
                <w:sz w:val="14"/>
                <w:szCs w:val="14"/>
                <w:color w:val="auto"/>
                <w:w w:val="93"/>
              </w:rPr>
              <w:t>Trading Symbol</w:t>
            </w:r>
          </w:p>
        </w:tc>
        <w:tc>
          <w:tcPr>
            <w:tcW w:w="3340" w:type="dxa"/>
            <w:vAlign w:val="bottom"/>
          </w:tcPr>
          <w:p>
            <w:pPr>
              <w:jc w:val="center"/>
              <w:ind w:left="749"/>
              <w:spacing w:after="0"/>
              <w:rPr>
                <w:sz w:val="20"/>
                <w:szCs w:val="20"/>
                <w:color w:val="auto"/>
              </w:rPr>
            </w:pPr>
            <w:r>
              <w:rPr>
                <w:rFonts w:ascii="Arial" w:cs="Arial" w:eastAsia="Arial" w:hAnsi="Arial"/>
                <w:sz w:val="14"/>
                <w:szCs w:val="14"/>
                <w:color w:val="auto"/>
                <w:w w:val="90"/>
              </w:rPr>
              <w:t>Name of each exchange on which registered</w:t>
            </w:r>
          </w:p>
        </w:tc>
      </w:tr>
      <w:tr>
        <w:trPr>
          <w:trHeight w:val="201"/>
        </w:trPr>
        <w:tc>
          <w:tcPr>
            <w:tcW w:w="3100" w:type="dxa"/>
            <w:vAlign w:val="bottom"/>
          </w:tcPr>
          <w:p>
            <w:pPr>
              <w:jc w:val="center"/>
              <w:ind w:right="609"/>
              <w:spacing w:after="0"/>
              <w:rPr>
                <w:sz w:val="20"/>
                <w:szCs w:val="20"/>
                <w:color w:val="auto"/>
              </w:rPr>
            </w:pPr>
            <w:r>
              <w:rPr>
                <w:rFonts w:ascii="Arial" w:cs="Arial" w:eastAsia="Arial" w:hAnsi="Arial"/>
                <w:sz w:val="14"/>
                <w:szCs w:val="14"/>
                <w:color w:val="auto"/>
                <w:w w:val="91"/>
              </w:rPr>
              <w:t>Common Stock, par value $0.01 per share</w:t>
            </w:r>
          </w:p>
        </w:tc>
        <w:tc>
          <w:tcPr>
            <w:tcW w:w="2460" w:type="dxa"/>
            <w:vAlign w:val="bottom"/>
          </w:tcPr>
          <w:p>
            <w:pPr>
              <w:jc w:val="center"/>
              <w:ind w:right="69"/>
              <w:spacing w:after="0"/>
              <w:rPr>
                <w:sz w:val="20"/>
                <w:szCs w:val="20"/>
                <w:color w:val="auto"/>
              </w:rPr>
            </w:pPr>
            <w:r>
              <w:rPr>
                <w:rFonts w:ascii="Arial" w:cs="Arial" w:eastAsia="Arial" w:hAnsi="Arial"/>
                <w:sz w:val="14"/>
                <w:szCs w:val="14"/>
                <w:color w:val="auto"/>
                <w:w w:val="92"/>
              </w:rPr>
              <w:t>CECE</w:t>
            </w:r>
          </w:p>
        </w:tc>
        <w:tc>
          <w:tcPr>
            <w:tcW w:w="3340" w:type="dxa"/>
            <w:vAlign w:val="bottom"/>
          </w:tcPr>
          <w:p>
            <w:pPr>
              <w:jc w:val="center"/>
              <w:ind w:left="749"/>
              <w:spacing w:after="0"/>
              <w:rPr>
                <w:sz w:val="20"/>
                <w:szCs w:val="20"/>
                <w:color w:val="auto"/>
              </w:rPr>
            </w:pPr>
            <w:r>
              <w:rPr>
                <w:rFonts w:ascii="Arial" w:cs="Arial" w:eastAsia="Arial" w:hAnsi="Arial"/>
                <w:sz w:val="14"/>
                <w:szCs w:val="14"/>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wp:posOffset>
            </wp:positionH>
            <wp:positionV relativeFrom="paragraph">
              <wp:posOffset>-238760</wp:posOffset>
            </wp:positionV>
            <wp:extent cx="6830060" cy="264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0060" cy="264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313690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330835</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394970</wp:posOffset>
            </wp:positionV>
            <wp:extent cx="728980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3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19" w:lineRule="exact"/>
        <w:rPr>
          <w:sz w:val="20"/>
          <w:szCs w:val="20"/>
          <w:color w:val="auto"/>
        </w:rPr>
      </w:pPr>
    </w:p>
    <w:p>
      <w:pPr>
        <w:ind w:right="400" w:firstLine="598"/>
        <w:spacing w:after="0" w:line="302" w:lineRule="auto"/>
        <w:rPr>
          <w:sz w:val="20"/>
          <w:szCs w:val="20"/>
          <w:color w:val="auto"/>
        </w:rPr>
      </w:pPr>
      <w:r>
        <w:rPr>
          <w:rFonts w:ascii="Arial" w:cs="Arial" w:eastAsia="Arial" w:hAnsi="Arial"/>
          <w:sz w:val="17"/>
          <w:szCs w:val="17"/>
          <w:color w:val="auto"/>
        </w:rPr>
        <w:t>On May 8, 2019, CECO Environmental Corp., a Delaware corporation, issued a press release announcing its financial results for the three months ended March 31, 2019. A copy of the press release is furnished as Exhibit 99.1 to this report and is incorporated herein by reference.</w:t>
      </w:r>
    </w:p>
    <w:p>
      <w:pPr>
        <w:spacing w:after="0" w:line="152" w:lineRule="exact"/>
        <w:rPr>
          <w:sz w:val="20"/>
          <w:szCs w:val="20"/>
          <w:color w:val="auto"/>
        </w:rPr>
      </w:pPr>
    </w:p>
    <w:p>
      <w:pPr>
        <w:ind w:right="120" w:firstLine="598"/>
        <w:spacing w:after="0" w:line="260"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600" w:hanging="593"/>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940" w:type="dxa"/>
            <w:vAlign w:val="bottom"/>
            <w:tcBorders>
              <w:top w:val="single" w:sz="8" w:color="auto"/>
            </w:tcBorders>
          </w:tcPr>
          <w:p>
            <w:pPr>
              <w:jc w:val="right"/>
              <w:ind w:right="543"/>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Press Release, dated May 8, 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60" w:type="dxa"/>
            <w:vAlign w:val="bottom"/>
            <w:tcBorders>
              <w:top w:val="single" w:sz="8" w:color="0000EE"/>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firstLine="598"/>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6"/>
          <w:szCs w:val="16"/>
          <w:color w:val="auto"/>
        </w:rPr>
        <w:t>CECO Environmental Corp.</w:t>
      </w:r>
    </w:p>
    <w:p>
      <w:pPr>
        <w:spacing w:after="0" w:line="222" w:lineRule="exact"/>
        <w:rPr>
          <w:sz w:val="20"/>
          <w:szCs w:val="20"/>
          <w:color w:val="auto"/>
        </w:rPr>
      </w:pPr>
    </w:p>
    <w:p>
      <w:pPr>
        <w:ind w:left="688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-130175</wp:posOffset>
            </wp:positionV>
            <wp:extent cx="260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20"/>
          </w:cols>
          <w:pgMar w:left="240" w:top="121"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090295" cy="511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0295" cy="51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CECO Environmental Corp. Reports First Quarter 2019 Results;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Significant Increase in Revenues, Bookings and Backlog</w:t>
      </w:r>
    </w:p>
    <w:p>
      <w:pPr>
        <w:spacing w:after="0" w:line="239" w:lineRule="exact"/>
        <w:rPr>
          <w:sz w:val="20"/>
          <w:szCs w:val="20"/>
          <w:color w:val="auto"/>
        </w:rPr>
      </w:pPr>
    </w:p>
    <w:p>
      <w:pPr>
        <w:ind w:left="120" w:right="80"/>
        <w:spacing w:after="0" w:line="255" w:lineRule="auto"/>
        <w:rPr>
          <w:sz w:val="20"/>
          <w:szCs w:val="20"/>
          <w:color w:val="auto"/>
        </w:rPr>
      </w:pPr>
      <w:r>
        <w:rPr>
          <w:rFonts w:ascii="Arial" w:cs="Arial" w:eastAsia="Arial" w:hAnsi="Arial"/>
          <w:sz w:val="20"/>
          <w:szCs w:val="20"/>
          <w:b w:val="1"/>
          <w:bCs w:val="1"/>
          <w:color w:val="auto"/>
        </w:rPr>
        <w:t xml:space="preserve">DALLAS, Texas, May 8, 2019 -- CECO Environmental Corp. (Nasdaq: CECE), </w:t>
      </w:r>
      <w:r>
        <w:rPr>
          <w:rFonts w:ascii="Arial" w:cs="Arial" w:eastAsia="Arial" w:hAnsi="Arial"/>
          <w:sz w:val="20"/>
          <w:szCs w:val="20"/>
          <w:color w:val="auto"/>
        </w:rPr>
        <w:t>a leading global air quality and fluid handling</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serving the energy, industrial and other niche markets, today reported its financial results for the first quarter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First Quarter 2019*</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of $86.0 million, compared with $74.1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of $86.0 million, compared with organic revenue of $67.6 million, up 27.2%</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Gross profit of $28.4 million (33.0% margin), compared with $25.6 million (34.5% margin)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income of $4.9 million, compared with $12.2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operating income of $7.2 million, compared with $4.0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was $1.9 million, compared with $5.8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of $4.1 million, compared with $1.7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Net income per diluted share was $0.05, compared with $0.17</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Non-GAAP net income per diluted share of $0.12, compared with $0.05</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EBITDA of $8.5 million, compared with $5.6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Bookings of $97.3 million, compared with $95.0 million</w:t>
      </w:r>
    </w:p>
    <w:p>
      <w:pPr>
        <w:ind w:left="760" w:hanging="377"/>
        <w:spacing w:after="0" w:line="223" w:lineRule="auto"/>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Organic bookings of $97.3 million, compared with $90.3 million</w:t>
      </w:r>
    </w:p>
    <w:p>
      <w:pPr>
        <w:ind w:left="760" w:hanging="377"/>
        <w:spacing w:after="0"/>
        <w:tabs>
          <w:tab w:leader="none" w:pos="760" w:val="left"/>
        </w:tabs>
        <w:numPr>
          <w:ilvl w:val="1"/>
          <w:numId w:val="3"/>
        </w:numPr>
        <w:rPr>
          <w:rFonts w:ascii="Arial" w:cs="Arial" w:eastAsia="Arial" w:hAnsi="Arial"/>
          <w:sz w:val="20"/>
          <w:szCs w:val="20"/>
          <w:color w:val="auto"/>
        </w:rPr>
      </w:pPr>
      <w:r>
        <w:rPr>
          <w:rFonts w:ascii="Arial" w:cs="Arial" w:eastAsia="Arial" w:hAnsi="Arial"/>
          <w:sz w:val="20"/>
          <w:szCs w:val="20"/>
          <w:color w:val="auto"/>
        </w:rPr>
        <w:t>Backlog of $193.8 million, compared with $182.1 million as of December 31, 2018</w:t>
      </w:r>
    </w:p>
    <w:p>
      <w:pPr>
        <w:spacing w:after="0" w:line="219"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16"/>
          <w:szCs w:val="16"/>
          <w:color w:val="auto"/>
        </w:rPr>
        <w:t>* All comparisons are versus the comparable prior-year period, which include results from divestitures, unless otherwise stated.</w:t>
      </w:r>
    </w:p>
    <w:p>
      <w:pPr>
        <w:spacing w:after="0" w:line="238" w:lineRule="exact"/>
        <w:rPr>
          <w:sz w:val="20"/>
          <w:szCs w:val="20"/>
          <w:color w:val="auto"/>
        </w:rPr>
      </w:pPr>
    </w:p>
    <w:p>
      <w:pPr>
        <w:ind w:left="120" w:right="240"/>
        <w:spacing w:after="0" w:line="229" w:lineRule="auto"/>
        <w:rPr>
          <w:sz w:val="20"/>
          <w:szCs w:val="20"/>
          <w:color w:val="auto"/>
        </w:rPr>
      </w:pPr>
      <w:r>
        <w:rPr>
          <w:rFonts w:ascii="Arial" w:cs="Arial" w:eastAsia="Arial" w:hAnsi="Arial"/>
          <w:sz w:val="20"/>
          <w:szCs w:val="20"/>
          <w:color w:val="auto"/>
        </w:rPr>
        <w:t>CECO’s Chief Executive Officer Dennis Sadlowski commented, “I am very pleased that the significant momentum we built throughout 2018 has carried over to the first quarter of this year. We generated revenue of $86 million which was an impressive 27% growth year-over-year on the strength of our increasing backlog and the continued focus on new orders. We also saw gross margins improve sequentially as the markets increasingly recognize the value that CECO offers.”</w:t>
      </w:r>
    </w:p>
    <w:p>
      <w:pPr>
        <w:spacing w:after="0" w:line="209" w:lineRule="exact"/>
        <w:rPr>
          <w:sz w:val="20"/>
          <w:szCs w:val="20"/>
          <w:color w:val="auto"/>
        </w:rPr>
      </w:pPr>
    </w:p>
    <w:p>
      <w:pPr>
        <w:ind w:left="120" w:right="100"/>
        <w:spacing w:after="0" w:line="228" w:lineRule="auto"/>
        <w:rPr>
          <w:sz w:val="20"/>
          <w:szCs w:val="20"/>
          <w:color w:val="auto"/>
        </w:rPr>
      </w:pPr>
      <w:r>
        <w:rPr>
          <w:rFonts w:ascii="Arial" w:cs="Arial" w:eastAsia="Arial" w:hAnsi="Arial"/>
          <w:sz w:val="20"/>
          <w:szCs w:val="20"/>
          <w:color w:val="auto"/>
        </w:rPr>
        <w:t>Mr. Sadlowski added, “Driven by the need for clean air and carbon reduction, the long-term prospects for CECO Environmental continue to improve. Our fast start out of the gate in 2019 is another step towards meeting our aggressive three-year financial targets. Strong orders of $97 million, up 30% sequentially and 8% year-over-year, along with an improving sales pipeline, gives us strong optimism for sustained growth in 2019 as we continue to capitalize on our significant competitive position and win market share.”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FIRST QUARTER RESULTS</w:t>
      </w:r>
    </w:p>
    <w:p>
      <w:pPr>
        <w:spacing w:after="0" w:line="237" w:lineRule="exact"/>
        <w:rPr>
          <w:sz w:val="20"/>
          <w:szCs w:val="20"/>
          <w:color w:val="auto"/>
        </w:rPr>
      </w:pPr>
    </w:p>
    <w:p>
      <w:pPr>
        <w:jc w:val="both"/>
        <w:ind w:left="120" w:right="80"/>
        <w:spacing w:after="0" w:line="235" w:lineRule="auto"/>
        <w:rPr>
          <w:sz w:val="20"/>
          <w:szCs w:val="20"/>
          <w:color w:val="auto"/>
        </w:rPr>
      </w:pPr>
      <w:r>
        <w:rPr>
          <w:rFonts w:ascii="Arial" w:cs="Arial" w:eastAsia="Arial" w:hAnsi="Arial"/>
          <w:sz w:val="20"/>
          <w:szCs w:val="20"/>
          <w:color w:val="auto"/>
        </w:rPr>
        <w:t>Revenue in the first quarter of 2019 was $86.0 million, up 16.0% from $74.1 million in the prior-year period. Excluding revenue of $6.5 million attributable to the businesses divested in 2018, organic revenues increased 27.2%.</w:t>
      </w:r>
    </w:p>
    <w:p>
      <w:pPr>
        <w:spacing w:after="0" w:line="207" w:lineRule="exact"/>
        <w:rPr>
          <w:sz w:val="20"/>
          <w:szCs w:val="20"/>
          <w:color w:val="auto"/>
        </w:rPr>
      </w:pPr>
    </w:p>
    <w:p>
      <w:pPr>
        <w:jc w:val="both"/>
        <w:ind w:left="120" w:right="80"/>
        <w:spacing w:after="0" w:line="231" w:lineRule="auto"/>
        <w:rPr>
          <w:sz w:val="20"/>
          <w:szCs w:val="20"/>
          <w:color w:val="auto"/>
        </w:rPr>
      </w:pPr>
      <w:r>
        <w:rPr>
          <w:rFonts w:ascii="Arial" w:cs="Arial" w:eastAsia="Arial" w:hAnsi="Arial"/>
          <w:sz w:val="20"/>
          <w:szCs w:val="20"/>
          <w:color w:val="auto"/>
        </w:rPr>
        <w:t>Operating Income was $4.9 million for the first quarter of 2019, compared with $12.2 million in the prior-year period. Non-GAAP operating income was $7.2 million for the first quarter of 2019 (8.4% margin), compared with $4.0 million in the prior-year period (5.4%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432435</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99.1</w:t>
      </w:r>
    </w:p>
    <w:p>
      <w:pPr>
        <w:spacing w:after="0" w:line="41" w:lineRule="exact"/>
        <w:rPr>
          <w:sz w:val="20"/>
          <w:szCs w:val="20"/>
          <w:color w:val="auto"/>
        </w:rPr>
      </w:pPr>
    </w:p>
    <w:p>
      <w:pPr>
        <w:jc w:val="both"/>
        <w:ind w:left="120" w:right="100"/>
        <w:spacing w:after="0" w:line="235" w:lineRule="auto"/>
        <w:rPr>
          <w:sz w:val="20"/>
          <w:szCs w:val="20"/>
          <w:color w:val="auto"/>
        </w:rPr>
      </w:pPr>
      <w:r>
        <w:rPr>
          <w:rFonts w:ascii="Arial" w:cs="Arial" w:eastAsia="Arial" w:hAnsi="Arial"/>
          <w:sz w:val="20"/>
          <w:szCs w:val="20"/>
          <w:color w:val="auto"/>
        </w:rPr>
        <w:t>Net income was $1.9 million for the first quarter of 2019, compared with $5.8 million in the prior-year period. Net income on a non-GAAP basis was $4.1 million for the first quarter of 2019, compared with $1.7 million in the prior-year period.</w:t>
      </w:r>
    </w:p>
    <w:p>
      <w:pPr>
        <w:spacing w:after="0" w:line="207" w:lineRule="exact"/>
        <w:rPr>
          <w:sz w:val="20"/>
          <w:szCs w:val="20"/>
          <w:color w:val="auto"/>
        </w:rPr>
      </w:pPr>
    </w:p>
    <w:p>
      <w:pPr>
        <w:jc w:val="both"/>
        <w:ind w:left="120" w:right="100"/>
        <w:spacing w:after="0" w:line="235" w:lineRule="auto"/>
        <w:rPr>
          <w:sz w:val="20"/>
          <w:szCs w:val="20"/>
          <w:color w:val="auto"/>
        </w:rPr>
      </w:pPr>
      <w:r>
        <w:rPr>
          <w:rFonts w:ascii="Arial" w:cs="Arial" w:eastAsia="Arial" w:hAnsi="Arial"/>
          <w:sz w:val="20"/>
          <w:szCs w:val="20"/>
          <w:color w:val="auto"/>
        </w:rPr>
        <w:t>Net income per diluted share was $0.05 for the first quarter of 2019, compared with $0.17 in the prior-year period. Non-GAAP net income per diluted share was $0.12 for the first quarter of 2019, compared with $0.05 for the prior-year period.</w:t>
      </w:r>
    </w:p>
    <w:p>
      <w:pPr>
        <w:spacing w:after="0" w:line="193" w:lineRule="exact"/>
        <w:rPr>
          <w:sz w:val="20"/>
          <w:szCs w:val="20"/>
          <w:color w:val="auto"/>
        </w:rPr>
      </w:pPr>
    </w:p>
    <w:p>
      <w:pPr>
        <w:jc w:val="both"/>
        <w:ind w:left="120" w:right="80"/>
        <w:spacing w:after="0" w:line="235" w:lineRule="auto"/>
        <w:rPr>
          <w:sz w:val="20"/>
          <w:szCs w:val="20"/>
          <w:color w:val="auto"/>
        </w:rPr>
      </w:pPr>
      <w:r>
        <w:rPr>
          <w:rFonts w:ascii="Arial" w:cs="Arial" w:eastAsia="Arial" w:hAnsi="Arial"/>
          <w:sz w:val="20"/>
          <w:szCs w:val="20"/>
          <w:color w:val="auto"/>
        </w:rPr>
        <w:t>Cash and cash equivalents were $28.2 million and bank debt was $76.1 million as of March 31, 2019, compared with $43.7 million and $76.1 million, respectively, as of December 31, 2018.</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37" w:lineRule="exact"/>
        <w:rPr>
          <w:sz w:val="20"/>
          <w:szCs w:val="20"/>
          <w:color w:val="auto"/>
        </w:rPr>
      </w:pPr>
    </w:p>
    <w:p>
      <w:pPr>
        <w:jc w:val="both"/>
        <w:ind w:left="120" w:right="80"/>
        <w:spacing w:after="0" w:line="231" w:lineRule="auto"/>
        <w:rPr>
          <w:sz w:val="20"/>
          <w:szCs w:val="20"/>
          <w:color w:val="auto"/>
        </w:rPr>
      </w:pPr>
      <w:r>
        <w:rPr>
          <w:rFonts w:ascii="Arial" w:cs="Arial" w:eastAsia="Arial" w:hAnsi="Arial"/>
          <w:sz w:val="20"/>
          <w:szCs w:val="20"/>
          <w:color w:val="auto"/>
        </w:rPr>
        <w:t>Total backlog at March 31, 2019 was $193.8 million as compared with $182.1 million as of both December 31, 2018 and March 31, 2018, respectively. In the first quarter of 2018, $8.8 million of backlog was attributable to the divested businesses. Adjusted for divestitures, backlog increased $20.5 million from first quarter 2018 to first quarter 2019.</w:t>
      </w:r>
    </w:p>
    <w:p>
      <w:pPr>
        <w:spacing w:after="0" w:line="208" w:lineRule="exact"/>
        <w:rPr>
          <w:sz w:val="20"/>
          <w:szCs w:val="20"/>
          <w:color w:val="auto"/>
        </w:rPr>
      </w:pPr>
    </w:p>
    <w:p>
      <w:pPr>
        <w:jc w:val="both"/>
        <w:ind w:left="120" w:right="100"/>
        <w:spacing w:after="0" w:line="231" w:lineRule="auto"/>
        <w:rPr>
          <w:sz w:val="20"/>
          <w:szCs w:val="20"/>
          <w:color w:val="auto"/>
        </w:rPr>
      </w:pPr>
      <w:r>
        <w:rPr>
          <w:rFonts w:ascii="Arial" w:cs="Arial" w:eastAsia="Arial" w:hAnsi="Arial"/>
          <w:sz w:val="20"/>
          <w:szCs w:val="20"/>
          <w:color w:val="auto"/>
        </w:rPr>
        <w:t>Bookings were $97.3 million for the first quarter of 2019, compared with $95.0 million in the prior-year period and $74.5 million in the fourth quarter of 2018. Excluding bookings of $4.7 million attributable to the businesses divested in 2018, 2019 organic bookings increased $7.0 million, or 7.7%.</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37"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auto"/>
        </w:rPr>
        <w:t>A conference call is scheduled for today at 8:30 a.m. ET to discuss the first quarter 2019 financial results. The conference call may also be accessed by dialing (888) 346-4547 (Toll-Free) within the U.S., (855) 669-9657 (Toll-Free) within Canada or Toll/International (412) 317-5251.</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13" w:lineRule="exact"/>
        <w:rPr>
          <w:sz w:val="20"/>
          <w:szCs w:val="20"/>
          <w:color w:val="auto"/>
        </w:rPr>
      </w:pPr>
    </w:p>
    <w:p>
      <w:pPr>
        <w:ind w:left="120"/>
        <w:spacing w:after="0" w:line="231"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(877) 344-7529 (Toll-Free) within the U.S., (855) 669-9658 (Toll-Free) within Canada, or Toll/International (412) 317-0088 and entering access code 10130867.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4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278765</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3" w:lineRule="exact"/>
        <w:rPr>
          <w:sz w:val="20"/>
          <w:szCs w:val="20"/>
          <w:color w:val="auto"/>
        </w:rPr>
      </w:pPr>
    </w:p>
    <w:p>
      <w:pPr>
        <w:jc w:val="both"/>
        <w:ind w:left="120" w:right="80"/>
        <w:spacing w:after="0" w:line="239" w:lineRule="auto"/>
        <w:rPr>
          <w:sz w:val="20"/>
          <w:szCs w:val="20"/>
          <w:color w:val="auto"/>
        </w:rPr>
      </w:pPr>
      <w:r>
        <w:rPr>
          <w:rFonts w:ascii="Arial" w:cs="Arial" w:eastAsia="Arial" w:hAnsi="Arial"/>
          <w:sz w:val="19"/>
          <w:szCs w:val="19"/>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560" w:firstLine="7"/>
        <w:spacing w:after="0" w:line="254" w:lineRule="auto"/>
        <w:tabs>
          <w:tab w:leader="none" w:pos="514"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5474335</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5627370</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7"/>
        </w:trPr>
        <w:tc>
          <w:tcPr>
            <w:tcW w:w="806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CECO ENVIRONMENTAL CORP. AND SUBSIDIARIES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060" w:type="dxa"/>
            <w:vAlign w:val="bottom"/>
          </w:tcPr>
          <w:p>
            <w:pPr>
              <w:ind w:left="3580"/>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7"/>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9"/>
              </w:rPr>
              <w:t>MARCH 31, 2019</w:t>
            </w:r>
          </w:p>
        </w:tc>
        <w:tc>
          <w:tcPr>
            <w:tcW w:w="10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DECEMBER 31, 2018</w:t>
            </w:r>
          </w:p>
        </w:tc>
        <w:tc>
          <w:tcPr>
            <w:tcW w:w="0" w:type="dxa"/>
            <w:vAlign w:val="bottom"/>
          </w:tcPr>
          <w:p>
            <w:pPr>
              <w:spacing w:after="0"/>
              <w:rPr>
                <w:sz w:val="1"/>
                <w:szCs w:val="1"/>
                <w:color w:val="auto"/>
              </w:rPr>
            </w:pPr>
          </w:p>
        </w:tc>
      </w:tr>
      <w:tr>
        <w:trPr>
          <w:trHeight w:val="221"/>
        </w:trPr>
        <w:tc>
          <w:tcPr>
            <w:tcW w:w="8060" w:type="dxa"/>
            <w:vAlign w:val="bottom"/>
            <w:tcBorders>
              <w:top w:val="single" w:sz="8" w:color="CFF0FC"/>
            </w:tcBorders>
            <w:shd w:val="clear" w:color="auto" w:fill="CFF0FC"/>
          </w:tcPr>
          <w:p>
            <w:pPr>
              <w:ind w:left="328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152,066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396,669</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FF0FC"/>
          </w:tcPr>
          <w:p>
            <w:pPr>
              <w:ind w:left="168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Note payable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103,934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6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219,279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34,979,895 and</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34,953,825 shares issued and outstanding at March 31, 2019 and December 31, 2018,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252,199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(62,165)</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(12,637)</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2"/>
        </w:trPr>
        <w:tc>
          <w:tcPr>
            <w:tcW w:w="8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177,746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March 31, 2019 and December 31, 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2"/>
        </w:trPr>
        <w:tc>
          <w:tcPr>
            <w:tcW w:w="8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177,390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6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396,669</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6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160" w:type="dxa"/>
            <w:vAlign w:val="bottom"/>
            <w:tcBorders>
              <w:bottom w:val="single" w:sz="8" w:color="D9D9D9"/>
            </w:tcBorders>
          </w:tcPr>
          <w:p>
            <w:pPr>
              <w:spacing w:after="0"/>
              <w:rPr>
                <w:sz w:val="16"/>
                <w:szCs w:val="16"/>
                <w:color w:val="auto"/>
              </w:rPr>
            </w:pPr>
          </w:p>
        </w:tc>
        <w:tc>
          <w:tcPr>
            <w:tcW w:w="1300" w:type="dxa"/>
            <w:vAlign w:val="bottom"/>
            <w:tcBorders>
              <w:bottom w:val="single" w:sz="8" w:color="D9D9D9"/>
            </w:tcBorders>
          </w:tcPr>
          <w:p>
            <w:pPr>
              <w:spacing w:after="0"/>
              <w:rPr>
                <w:sz w:val="16"/>
                <w:szCs w:val="16"/>
                <w:color w:val="auto"/>
              </w:rPr>
            </w:pPr>
          </w:p>
        </w:tc>
        <w:tc>
          <w:tcPr>
            <w:tcW w:w="26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1340" w:type="dxa"/>
            <w:vAlign w:val="bottom"/>
            <w:tcBorders>
              <w:bottom w:val="single" w:sz="8" w:color="D9D9D9"/>
            </w:tcBorders>
          </w:tcPr>
          <w:p>
            <w:pPr>
              <w:spacing w:after="0"/>
              <w:rPr>
                <w:sz w:val="16"/>
                <w:szCs w:val="16"/>
                <w:color w:val="auto"/>
              </w:rPr>
            </w:pPr>
          </w:p>
        </w:tc>
        <w:tc>
          <w:tcPr>
            <w:tcW w:w="10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0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3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1054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80" w:type="dxa"/>
            <w:vAlign w:val="bottom"/>
          </w:tcPr>
          <w:p>
            <w:pPr>
              <w:spacing w:after="0"/>
              <w:rPr>
                <w:sz w:val="14"/>
                <w:szCs w:val="14"/>
                <w:color w:val="auto"/>
              </w:rPr>
            </w:pPr>
          </w:p>
        </w:tc>
        <w:tc>
          <w:tcPr>
            <w:tcW w:w="32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4"/>
        </w:trPr>
        <w:tc>
          <w:tcPr>
            <w:tcW w:w="786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Loss (gain) on divestitures, net of selling costs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2"/>
        </w:trPr>
        <w:tc>
          <w:tcPr>
            <w:tcW w:w="78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60" w:type="dxa"/>
            <w:vAlign w:val="bottom"/>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6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34,835,550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34,592,803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35,360,042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34,641,390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561975</wp:posOffset>
            </wp:positionV>
            <wp:extent cx="724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000" w:type="dxa"/>
            <w:vAlign w:val="bottom"/>
            <w:gridSpan w:val="4"/>
            <w:vMerge w:val="restart"/>
          </w:tcPr>
          <w:p>
            <w:pPr>
              <w:ind w:left="3440"/>
              <w:spacing w:after="0"/>
              <w:rPr>
                <w:sz w:val="20"/>
                <w:szCs w:val="20"/>
                <w:color w:val="auto"/>
              </w:rPr>
            </w:pPr>
            <w:r>
              <w:rPr>
                <w:rFonts w:ascii="Arial" w:cs="Arial" w:eastAsia="Arial" w:hAnsi="Arial"/>
                <w:sz w:val="18"/>
                <w:szCs w:val="18"/>
                <w:b w:val="1"/>
                <w:bCs w:val="1"/>
                <w:color w:val="auto"/>
              </w:rPr>
              <w:t>CECO ENVIRONMENTAL CORP. AND SUBSIDIARIES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0" w:type="dxa"/>
            <w:vAlign w:val="bottom"/>
            <w:gridSpan w:val="4"/>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460" w:type="dxa"/>
            <w:vAlign w:val="bottom"/>
            <w:gridSpan w:val="9"/>
          </w:tcPr>
          <w:p>
            <w:pPr>
              <w:ind w:left="3300"/>
              <w:spacing w:after="0"/>
              <w:rPr>
                <w:sz w:val="20"/>
                <w:szCs w:val="20"/>
                <w:color w:val="auto"/>
              </w:rPr>
            </w:pPr>
            <w:r>
              <w:rPr>
                <w:rFonts w:ascii="Arial" w:cs="Arial" w:eastAsia="Arial" w:hAnsi="Arial"/>
                <w:sz w:val="18"/>
                <w:szCs w:val="18"/>
                <w:b w:val="1"/>
                <w:bCs w:val="1"/>
                <w:color w:val="auto"/>
              </w:rPr>
              <w:t>RECONCILIATION OF GAAP TO NON-GAAP MEASURES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gridSpan w:val="12"/>
          </w:tcPr>
          <w:p>
            <w:pPr>
              <w:ind w:left="18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4"/>
        </w:trPr>
        <w:tc>
          <w:tcPr>
            <w:tcW w:w="73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as reported in accordance with GAAP</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Less revenue attributable to divestitures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Organic revenue</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1"/>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gridSpan w:val="12"/>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4"/>
        </w:trPr>
        <w:tc>
          <w:tcPr>
            <w:tcW w:w="73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8"/>
                <w:szCs w:val="18"/>
                <w:i w:val="1"/>
                <w:iCs w:val="1"/>
                <w:color w:val="auto"/>
              </w:rPr>
              <w:t>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i w:val="1"/>
                <w:iCs w:val="1"/>
                <w:color w:val="auto"/>
              </w:rPr>
              <w:t>16.5%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expenses</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Loss (gain) on divestitures, net of selling costs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expenses</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60" w:type="dxa"/>
            <w:vAlign w:val="bottom"/>
            <w:gridSpan w:val="5"/>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60" w:type="dxa"/>
            <w:vAlign w:val="bottom"/>
            <w:gridSpan w:val="2"/>
          </w:tcPr>
          <w:p>
            <w:pPr>
              <w:spacing w:after="0"/>
              <w:rPr>
                <w:sz w:val="19"/>
                <w:szCs w:val="19"/>
                <w:color w:val="auto"/>
              </w:rPr>
            </w:pPr>
          </w:p>
        </w:tc>
        <w:tc>
          <w:tcPr>
            <w:tcW w:w="520" w:type="dxa"/>
            <w:vAlign w:val="bottom"/>
            <w:tcBorders>
              <w:top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spacing w:after="0"/>
              <w:rPr>
                <w:sz w:val="20"/>
                <w:szCs w:val="20"/>
                <w:color w:val="auto"/>
              </w:rPr>
            </w:pPr>
            <w:r>
              <w:rPr>
                <w:rFonts w:ascii="Arial" w:cs="Arial" w:eastAsia="Arial" w:hAnsi="Arial"/>
                <w:sz w:val="18"/>
                <w:szCs w:val="18"/>
                <w:i w:val="1"/>
                <w:iCs w:val="1"/>
                <w:color w:val="auto"/>
              </w:rPr>
              <w:t>5.4%</w:t>
            </w:r>
          </w:p>
        </w:tc>
        <w:tc>
          <w:tcPr>
            <w:tcW w:w="0" w:type="dxa"/>
            <w:vAlign w:val="bottom"/>
          </w:tcPr>
          <w:p>
            <w:pPr>
              <w:spacing w:after="0"/>
              <w:rPr>
                <w:sz w:val="1"/>
                <w:szCs w:val="1"/>
                <w:color w:val="auto"/>
              </w:rPr>
            </w:pPr>
          </w:p>
        </w:tc>
      </w:tr>
      <w:tr>
        <w:trPr>
          <w:trHeight w:val="644"/>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gridSpan w:val="12"/>
          </w:tcPr>
          <w:p>
            <w:pPr>
              <w:jc w:val="right"/>
              <w:ind w:right="1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4"/>
        </w:trPr>
        <w:tc>
          <w:tcPr>
            <w:tcW w:w="734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as reported in accordance with GAAP</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Amortization and earnout expenses, net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on divestiture, net of selling costs</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remeasurement</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Tax (benefit) expense of adjustments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Non-cash stock compensation</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per share:</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519430</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673100</wp:posOffset>
            </wp:positionV>
            <wp:extent cx="724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CECO is providing organic revenue for comparability purposes given the impact of divestitures.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09"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loss on divestitures, net of selling costs, acquisition and integration expense activities including retention, legal, accounting, banking, amortization and contingent earn-out expenses, foreign currency re-measurement, other nonrecurring or infrequent items and the associated tax benefit of these items. Organic revenue, as we present them in the financial data included in this press release, excludes revenue attributable to divested businesses.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7" w:lineRule="exact"/>
        <w:rPr>
          <w:sz w:val="20"/>
          <w:szCs w:val="20"/>
          <w:color w:val="auto"/>
        </w:rPr>
      </w:pPr>
    </w:p>
    <w:p>
      <w:pPr>
        <w:ind w:right="360"/>
        <w:spacing w:after="0" w:line="227" w:lineRule="auto"/>
        <w:rPr>
          <w:sz w:val="20"/>
          <w:szCs w:val="20"/>
          <w:color w:val="auto"/>
        </w:rPr>
      </w:pPr>
      <w:r>
        <w:rPr>
          <w:rFonts w:ascii="Arial" w:cs="Arial" w:eastAsia="Arial" w:hAnsi="Arial"/>
          <w:sz w:val="20"/>
          <w:szCs w:val="20"/>
          <w:color w:val="auto"/>
        </w:rPr>
        <w:t>Organic revenue, 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0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organic revenue,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24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415925</wp:posOffset>
            </wp:positionV>
            <wp:extent cx="7247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208280</wp:posOffset>
            </wp:positionV>
            <wp:extent cx="728980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3" w:lineRule="exact"/>
        <w:rPr>
          <w:sz w:val="20"/>
          <w:szCs w:val="20"/>
          <w:color w:val="auto"/>
        </w:rPr>
      </w:pPr>
    </w:p>
    <w:p>
      <w:pPr>
        <w:ind w:right="40" w:firstLine="518"/>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247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506095</wp:posOffset>
            </wp:positionV>
            <wp:extent cx="7247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2019-12-02T22:33:31Z</dcterms:created>
  <dcterms:modified xsi:type="dcterms:W3CDTF">2019-12-02T22:33:31Z</dcterms:modified>
</cp:coreProperties>
</file>