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4"/>
          <w:szCs w:val="4"/>
          <w:b w:val="1"/>
          <w:bCs w:val="1"/>
          <w:color w:val="auto"/>
        </w:rPr>
        <w: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124460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152400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October 24,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139700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CECO Environmental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133350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ectPr>
          <w:pgSz w:w="11900" w:h="16838" w:orient="portrait"/>
          <w:cols w:equalWidth="0" w:num="1">
            <w:col w:w="11400"/>
          </w:cols>
          <w:pgMar w:left="240" w:top="239" w:right="25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31" w:lineRule="exact"/>
        <w:rPr>
          <w:sz w:val="24"/>
          <w:szCs w:val="24"/>
          <w:color w:val="auto"/>
        </w:rPr>
      </w:pPr>
    </w:p>
    <w:p>
      <w:pPr>
        <w:sectPr>
          <w:pgSz w:w="11900" w:h="16838" w:orient="portrait"/>
          <w:cols w:equalWidth="0" w:num="3">
            <w:col w:w="4660" w:space="720"/>
            <w:col w:w="3060" w:space="720"/>
            <w:col w:w="2240"/>
          </w:cols>
          <w:pgMar w:left="240" w:top="239" w:right="259" w:bottom="1440" w:gutter="0" w:footer="0" w:header="0"/>
          <w:type w:val="continuous"/>
        </w:sectPr>
      </w:pPr>
    </w:p>
    <w:p>
      <w:pPr>
        <w:spacing w:after="0" w:line="12" w:lineRule="exact"/>
        <w:rPr>
          <w:sz w:val="24"/>
          <w:szCs w:val="24"/>
          <w:color w:val="auto"/>
        </w:rPr>
      </w:pPr>
    </w:p>
    <w:p>
      <w:pPr>
        <w:jc w:val="center"/>
        <w:ind w:right="920"/>
        <w:spacing w:after="0"/>
        <w:rPr>
          <w:sz w:val="20"/>
          <w:szCs w:val="20"/>
          <w:color w:val="auto"/>
        </w:rPr>
      </w:pPr>
      <w:r>
        <w:rPr>
          <w:rFonts w:ascii="Arial" w:cs="Arial" w:eastAsia="Arial" w:hAnsi="Arial"/>
          <w:sz w:val="13"/>
          <w:szCs w:val="13"/>
          <w:b w:val="1"/>
          <w:bCs w:val="1"/>
          <w:color w:val="auto"/>
        </w:rPr>
        <w:t>(State or other jurisdiction</w:t>
      </w:r>
    </w:p>
    <w:p>
      <w:pPr>
        <w:jc w:val="center"/>
        <w:ind w:right="9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4"/>
          <w:szCs w:val="14"/>
          <w:b w:val="1"/>
          <w:bCs w:val="1"/>
          <w:color w:val="auto"/>
        </w:rPr>
        <w:t>(IRS Employer</w:t>
      </w:r>
    </w:p>
    <w:p>
      <w:pPr>
        <w:jc w:val="center"/>
        <w:ind w:right="124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600" w:space="720"/>
            <w:col w:w="3000" w:space="720"/>
            <w:col w:w="2360"/>
          </w:cols>
          <w:pgMar w:left="240" w:top="239" w:right="259" w:bottom="1440" w:gutter="0" w:footer="0" w:header="0"/>
          <w:type w:val="continuous"/>
        </w:sectPr>
      </w:pPr>
    </w:p>
    <w:p>
      <w:pPr>
        <w:jc w:val="center"/>
        <w:ind w:right="2060"/>
        <w:spacing w:after="0"/>
        <w:rPr>
          <w:sz w:val="20"/>
          <w:szCs w:val="20"/>
          <w:color w:val="auto"/>
        </w:rPr>
      </w:pPr>
      <w:r>
        <w:rPr>
          <w:rFonts w:ascii="Arial" w:cs="Arial" w:eastAsia="Arial" w:hAnsi="Arial"/>
          <w:sz w:val="16"/>
          <w:szCs w:val="16"/>
          <w:b w:val="1"/>
          <w:bCs w:val="1"/>
          <w:color w:val="auto"/>
        </w:rPr>
        <w:t>14651 North Dallas Parkway</w:t>
      </w:r>
    </w:p>
    <w:p>
      <w:pPr>
        <w:spacing w:after="0" w:line="50"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Dallas, TX</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75254</w:t>
      </w:r>
    </w:p>
    <w:p>
      <w:pPr>
        <w:spacing w:after="0" w:line="61" w:lineRule="exact"/>
        <w:rPr>
          <w:sz w:val="24"/>
          <w:szCs w:val="24"/>
          <w:color w:val="auto"/>
        </w:rPr>
      </w:pPr>
    </w:p>
    <w:p>
      <w:pPr>
        <w:sectPr>
          <w:pgSz w:w="11900" w:h="16838" w:orient="portrait"/>
          <w:cols w:equalWidth="0" w:num="2">
            <w:col w:w="7680" w:space="720"/>
            <w:col w:w="3000"/>
          </w:cols>
          <w:pgMar w:left="240" w:top="239" w:right="25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580" w:space="720"/>
            <w:col w:w="3100"/>
          </w:cols>
          <w:pgMar w:left="240" w:top="239" w:right="2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(513) 458-2600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154940</wp:posOffset>
            </wp:positionV>
            <wp:extent cx="167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8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40"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121285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9"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October 24, 2018, CECO Environmental Corp. (the “Company”), through two of its subsidiaries (“Seller”), and Jiangsu Zhongli Environmental Technology Co., Ltd (the “Purchaser”) entered into a purchase and sale agreement (the “Agreement”). Pursuant to the terms of the Agreement, the Purchaser has agreed to acquire the Company’s Zhongli business (the “Zhongli Business”). The closing of the transaction is expected to occur in the next 90 days, subject to customer closing conditions and Chinese regulatory approvals.</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result of the Company’s entry into the Agreement, under United States generally accepted accounting principles, the Zhongli Business will be classified as “held for sale” in our third quarter financial statements. Accordingly, the Company will be required to record the assets related to the Zhongli Business at fair value, less an amount of estimated sale costs. The Company currently estimates that recording the assets related to the Zhongli Business at fair value will result in a charge of approximately $15 million in the third quarter.</w:t>
      </w: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CECO Environmental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2018</w:t>
      </w:r>
    </w:p>
    <w:sectPr>
      <w:pgSz w:w="11900" w:h="16838" w:orient="portrait"/>
      <w:cols w:equalWidth="0" w:num="1">
        <w:col w:w="11320"/>
      </w:cols>
      <w:pgMar w:left="24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2020-01-12T00:16:39Z</dcterms:created>
  <dcterms:modified xsi:type="dcterms:W3CDTF">2020-01-12T00:16:39Z</dcterms:modified>
</cp:coreProperties>
</file>